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8B" w:rsidRPr="0006269A" w:rsidRDefault="00C2767A" w:rsidP="00A442E4">
      <w:pPr>
        <w:pStyle w:val="Articletitle"/>
        <w:numPr>
          <w:ilvl w:val="0"/>
          <w:numId w:val="27"/>
        </w:numPr>
        <w:spacing w:after="0" w:line="360" w:lineRule="auto"/>
        <w:rPr>
          <w:b w:val="0"/>
          <w:sz w:val="20"/>
          <w:szCs w:val="20"/>
        </w:rPr>
      </w:pPr>
      <w:bookmarkStart w:id="0" w:name="_Ref203645757"/>
      <w:bookmarkStart w:id="1" w:name="_Toc211237669"/>
      <w:bookmarkStart w:id="2" w:name="_Toc220890605"/>
      <w:bookmarkStart w:id="3" w:name="_GoBack"/>
      <w:bookmarkEnd w:id="3"/>
      <w:r>
        <w:rPr>
          <w:b w:val="0"/>
          <w:sz w:val="20"/>
          <w:szCs w:val="20"/>
        </w:rPr>
        <w:t>Paper</w:t>
      </w:r>
    </w:p>
    <w:p w:rsidR="0003108B" w:rsidRPr="0006269A" w:rsidRDefault="00BC523B" w:rsidP="00A442E4">
      <w:pPr>
        <w:pStyle w:val="Authorname"/>
        <w:numPr>
          <w:ilvl w:val="0"/>
          <w:numId w:val="27"/>
        </w:numPr>
        <w:spacing w:after="0" w:line="360" w:lineRule="auto"/>
        <w:rPr>
          <w:sz w:val="20"/>
        </w:rPr>
      </w:pPr>
      <w:r>
        <w:rPr>
          <w:sz w:val="20"/>
        </w:rPr>
        <w:t>10</w:t>
      </w:r>
      <w:r w:rsidRPr="00CC1827">
        <w:rPr>
          <w:sz w:val="20"/>
          <w:vertAlign w:val="superscript"/>
        </w:rPr>
        <w:t>th</w:t>
      </w:r>
      <w:r>
        <w:rPr>
          <w:sz w:val="20"/>
        </w:rPr>
        <w:t xml:space="preserve"> December</w:t>
      </w:r>
      <w:r w:rsidR="00C2767A">
        <w:rPr>
          <w:sz w:val="20"/>
        </w:rPr>
        <w:t xml:space="preserve"> 2014</w:t>
      </w:r>
    </w:p>
    <w:p w:rsidR="0003108B" w:rsidRPr="0006269A" w:rsidRDefault="00C2767A" w:rsidP="0006269A">
      <w:pPr>
        <w:pStyle w:val="Authoraffiliations"/>
        <w:numPr>
          <w:ilvl w:val="0"/>
          <w:numId w:val="27"/>
        </w:numPr>
      </w:pPr>
      <w:r>
        <w:t xml:space="preserve">Number of words in </w:t>
      </w:r>
      <w:r w:rsidR="0003108B" w:rsidRPr="0006269A">
        <w:t>main text and tables</w:t>
      </w:r>
      <w:r w:rsidR="00961114">
        <w:t xml:space="preserve"> - </w:t>
      </w:r>
      <w:r w:rsidR="00BC523B">
        <w:t>5937</w:t>
      </w:r>
      <w:r>
        <w:t xml:space="preserve">; </w:t>
      </w:r>
      <w:r w:rsidR="0003108B" w:rsidRPr="0006269A">
        <w:t>number of figures</w:t>
      </w:r>
      <w:r>
        <w:t xml:space="preserve"> - 4</w:t>
      </w:r>
      <w:r w:rsidR="0003108B" w:rsidRPr="0006269A">
        <w:t>.</w:t>
      </w:r>
    </w:p>
    <w:p w:rsidR="0003108B" w:rsidRPr="00A442E4" w:rsidRDefault="00A442E4" w:rsidP="00A442E4">
      <w:pPr>
        <w:pStyle w:val="Articletitle"/>
        <w:spacing w:after="0" w:line="360" w:lineRule="auto"/>
        <w:rPr>
          <w:sz w:val="20"/>
          <w:szCs w:val="20"/>
        </w:rPr>
      </w:pPr>
      <w:r>
        <w:rPr>
          <w:sz w:val="20"/>
          <w:szCs w:val="20"/>
        </w:rPr>
        <w:t>-------------------------------------------------------------------------------------------------------------------------------</w:t>
      </w:r>
    </w:p>
    <w:p w:rsidR="00A442E4" w:rsidRDefault="00A442E4" w:rsidP="00A442E4">
      <w:pPr>
        <w:pStyle w:val="Articletitle"/>
        <w:spacing w:after="0" w:line="360" w:lineRule="auto"/>
        <w:rPr>
          <w:sz w:val="20"/>
          <w:szCs w:val="20"/>
        </w:rPr>
      </w:pPr>
    </w:p>
    <w:p w:rsidR="0003108B" w:rsidRPr="00A442E4" w:rsidRDefault="00CB7F15" w:rsidP="00A442E4">
      <w:pPr>
        <w:pStyle w:val="Articletitle"/>
        <w:spacing w:after="0" w:line="360" w:lineRule="auto"/>
        <w:rPr>
          <w:sz w:val="20"/>
          <w:szCs w:val="20"/>
        </w:rPr>
      </w:pPr>
      <w:r w:rsidRPr="00CB7F15">
        <w:rPr>
          <w:sz w:val="20"/>
          <w:szCs w:val="20"/>
        </w:rPr>
        <w:t>Post construction thermal testing: Some recent measurements</w:t>
      </w:r>
    </w:p>
    <w:p w:rsidR="0003108B" w:rsidRDefault="0003108B" w:rsidP="00A442E4">
      <w:pPr>
        <w:pStyle w:val="Authorname"/>
        <w:spacing w:after="0" w:line="360" w:lineRule="auto"/>
        <w:rPr>
          <w:sz w:val="20"/>
        </w:rPr>
      </w:pPr>
    </w:p>
    <w:p w:rsidR="0003108B" w:rsidRPr="0006269A" w:rsidRDefault="0003108B" w:rsidP="000B38F8">
      <w:pPr>
        <w:pStyle w:val="Authorname"/>
        <w:spacing w:after="0" w:line="360" w:lineRule="auto"/>
        <w:rPr>
          <w:sz w:val="20"/>
        </w:rPr>
      </w:pPr>
    </w:p>
    <w:p w:rsidR="00851855" w:rsidRPr="00851855" w:rsidRDefault="00CB7F15" w:rsidP="00851855">
      <w:pPr>
        <w:pStyle w:val="Authoraffiliations"/>
        <w:numPr>
          <w:ilvl w:val="0"/>
          <w:numId w:val="28"/>
        </w:numPr>
      </w:pPr>
      <w:r>
        <w:t>Professor David Johnston</w:t>
      </w:r>
      <w:r w:rsidR="000B38F8">
        <w:t>*</w:t>
      </w:r>
      <w:r w:rsidR="00311843">
        <w:t xml:space="preserve">, </w:t>
      </w:r>
      <w:r>
        <w:t>BEng (Hons), MSc, PhD</w:t>
      </w:r>
    </w:p>
    <w:p w:rsidR="00CB7F15" w:rsidRDefault="00235970" w:rsidP="000B38F8">
      <w:pPr>
        <w:pStyle w:val="Authoraffiliations"/>
        <w:numPr>
          <w:ilvl w:val="0"/>
          <w:numId w:val="28"/>
        </w:numPr>
      </w:pPr>
      <w:r>
        <w:t xml:space="preserve">Professor of Building Performance Evaluation, </w:t>
      </w:r>
      <w:r w:rsidR="00CB7F15" w:rsidRPr="00CB7F15">
        <w:t>Centre for the Built Environment</w:t>
      </w:r>
      <w:r w:rsidR="00CB7F15">
        <w:t xml:space="preserve"> (CeBE) Group</w:t>
      </w:r>
      <w:r w:rsidR="00CB7F15" w:rsidRPr="00CB7F15">
        <w:t>, Leeds Sustainabili</w:t>
      </w:r>
      <w:r w:rsidR="00CB7F15">
        <w:t>ty Institute, Leeds Beckett</w:t>
      </w:r>
      <w:r w:rsidR="00CB7F15" w:rsidRPr="00CB7F15">
        <w:t xml:space="preserve"> University, City Campus, Leeds LS2 9EN</w:t>
      </w:r>
      <w:r w:rsidR="00CB7F15">
        <w:t>, UK</w:t>
      </w:r>
    </w:p>
    <w:p w:rsidR="0003108B" w:rsidRPr="0006269A" w:rsidRDefault="0003108B" w:rsidP="000B38F8">
      <w:pPr>
        <w:pStyle w:val="Authorname"/>
        <w:spacing w:after="0" w:line="360" w:lineRule="auto"/>
        <w:rPr>
          <w:sz w:val="20"/>
        </w:rPr>
      </w:pPr>
    </w:p>
    <w:p w:rsidR="0003108B" w:rsidRPr="000B38F8" w:rsidRDefault="000B38F8" w:rsidP="00311843">
      <w:pPr>
        <w:pStyle w:val="Authoraffiliations"/>
        <w:numPr>
          <w:ilvl w:val="0"/>
          <w:numId w:val="29"/>
        </w:numPr>
      </w:pPr>
      <w:r w:rsidRPr="000B38F8">
        <w:t>Dominic Mile</w:t>
      </w:r>
      <w:r w:rsidR="00EC6B6E">
        <w:t>s</w:t>
      </w:r>
      <w:r w:rsidRPr="000B38F8">
        <w:t>-Shenton</w:t>
      </w:r>
      <w:r w:rsidR="00311843" w:rsidRPr="00311843">
        <w:t xml:space="preserve"> BSc (Hons)</w:t>
      </w:r>
    </w:p>
    <w:p w:rsidR="000B38F8" w:rsidRPr="000B38F8" w:rsidRDefault="00235970" w:rsidP="000B38F8">
      <w:pPr>
        <w:pStyle w:val="ListParagraph"/>
        <w:numPr>
          <w:ilvl w:val="0"/>
          <w:numId w:val="29"/>
        </w:numPr>
        <w:spacing w:line="360" w:lineRule="auto"/>
        <w:rPr>
          <w:sz w:val="20"/>
          <w:szCs w:val="20"/>
          <w:lang w:val="en-US"/>
        </w:rPr>
      </w:pPr>
      <w:r>
        <w:rPr>
          <w:sz w:val="20"/>
          <w:szCs w:val="20"/>
          <w:lang w:val="en-US"/>
        </w:rPr>
        <w:t xml:space="preserve">Senior Research Fellow, </w:t>
      </w:r>
      <w:r w:rsidR="000B38F8" w:rsidRPr="000B38F8">
        <w:rPr>
          <w:sz w:val="20"/>
          <w:szCs w:val="20"/>
          <w:lang w:val="en-US"/>
        </w:rPr>
        <w:t>Centre for the Built Environment (CeBE) Group, Leeds Sustainability Institute, Leeds Beckett University, City Campus, Leeds LS2 9EN, UK</w:t>
      </w:r>
    </w:p>
    <w:p w:rsidR="000B38F8" w:rsidRPr="000B38F8" w:rsidRDefault="000B38F8" w:rsidP="000B38F8">
      <w:pPr>
        <w:spacing w:line="360" w:lineRule="auto"/>
        <w:rPr>
          <w:sz w:val="20"/>
          <w:szCs w:val="20"/>
          <w:lang w:val="en-US"/>
        </w:rPr>
      </w:pPr>
    </w:p>
    <w:p w:rsidR="000B38F8" w:rsidRPr="000B38F8" w:rsidRDefault="000B38F8" w:rsidP="000B38F8">
      <w:pPr>
        <w:pStyle w:val="ListParagraph"/>
        <w:numPr>
          <w:ilvl w:val="0"/>
          <w:numId w:val="29"/>
        </w:numPr>
        <w:spacing w:line="360" w:lineRule="auto"/>
        <w:rPr>
          <w:sz w:val="20"/>
          <w:szCs w:val="20"/>
          <w:lang w:val="en-US"/>
        </w:rPr>
      </w:pPr>
      <w:r w:rsidRPr="000B38F8">
        <w:rPr>
          <w:sz w:val="20"/>
          <w:szCs w:val="20"/>
        </w:rPr>
        <w:t>David Farmer</w:t>
      </w:r>
      <w:r w:rsidR="00311843">
        <w:rPr>
          <w:sz w:val="20"/>
          <w:szCs w:val="20"/>
        </w:rPr>
        <w:t xml:space="preserve"> BSc (Hons)</w:t>
      </w:r>
    </w:p>
    <w:p w:rsidR="000B38F8" w:rsidRPr="000B38F8" w:rsidRDefault="00235970" w:rsidP="000B38F8">
      <w:pPr>
        <w:pStyle w:val="ListParagraph"/>
        <w:numPr>
          <w:ilvl w:val="0"/>
          <w:numId w:val="29"/>
        </w:numPr>
        <w:spacing w:line="360" w:lineRule="auto"/>
        <w:rPr>
          <w:sz w:val="20"/>
          <w:szCs w:val="20"/>
          <w:lang w:val="en-US"/>
        </w:rPr>
      </w:pPr>
      <w:r>
        <w:rPr>
          <w:sz w:val="20"/>
          <w:szCs w:val="20"/>
        </w:rPr>
        <w:t xml:space="preserve">Research Assistant, </w:t>
      </w:r>
      <w:r w:rsidR="000B38F8" w:rsidRPr="000B38F8">
        <w:rPr>
          <w:sz w:val="20"/>
          <w:szCs w:val="20"/>
        </w:rPr>
        <w:t>Centre for the Built Environment (CeBE) Group, Leeds Sustainability Institute, Leeds Beckett University, City Campus, Leeds LS2 9EN, UK</w:t>
      </w:r>
    </w:p>
    <w:p w:rsidR="000B38F8" w:rsidRPr="000B38F8" w:rsidRDefault="000B38F8" w:rsidP="000B38F8">
      <w:pPr>
        <w:spacing w:line="360" w:lineRule="auto"/>
        <w:rPr>
          <w:sz w:val="20"/>
          <w:szCs w:val="20"/>
          <w:lang w:val="en-US"/>
        </w:rPr>
      </w:pPr>
    </w:p>
    <w:p w:rsidR="000B38F8" w:rsidRPr="000B38F8" w:rsidRDefault="000B38F8" w:rsidP="002766A1">
      <w:pPr>
        <w:pStyle w:val="ListParagraph"/>
        <w:numPr>
          <w:ilvl w:val="0"/>
          <w:numId w:val="29"/>
        </w:numPr>
        <w:spacing w:line="360" w:lineRule="auto"/>
        <w:rPr>
          <w:sz w:val="20"/>
          <w:szCs w:val="20"/>
          <w:lang w:val="en-US"/>
        </w:rPr>
      </w:pPr>
      <w:r w:rsidRPr="000B38F8">
        <w:rPr>
          <w:sz w:val="20"/>
          <w:szCs w:val="20"/>
          <w:lang w:val="en-US"/>
        </w:rPr>
        <w:t>Matthew Brooke-Peat</w:t>
      </w:r>
      <w:r w:rsidR="00311843">
        <w:rPr>
          <w:sz w:val="20"/>
          <w:szCs w:val="20"/>
          <w:lang w:val="en-US"/>
        </w:rPr>
        <w:t xml:space="preserve"> </w:t>
      </w:r>
      <w:r w:rsidR="00311843" w:rsidRPr="00311843">
        <w:rPr>
          <w:sz w:val="20"/>
          <w:szCs w:val="20"/>
          <w:lang w:val="en-US"/>
        </w:rPr>
        <w:t>BSc (Hons)</w:t>
      </w:r>
      <w:r w:rsidR="002766A1" w:rsidRPr="002766A1">
        <w:t xml:space="preserve"> </w:t>
      </w:r>
      <w:r w:rsidR="002766A1" w:rsidRPr="002766A1">
        <w:rPr>
          <w:sz w:val="20"/>
          <w:szCs w:val="20"/>
          <w:lang w:val="en-US"/>
        </w:rPr>
        <w:t>MSc CEnv MCIOB MCIAT LCGI</w:t>
      </w:r>
    </w:p>
    <w:p w:rsidR="000B38F8" w:rsidRPr="000B38F8" w:rsidRDefault="00235970" w:rsidP="000B38F8">
      <w:pPr>
        <w:pStyle w:val="ListParagraph"/>
        <w:numPr>
          <w:ilvl w:val="0"/>
          <w:numId w:val="29"/>
        </w:numPr>
        <w:spacing w:line="360" w:lineRule="auto"/>
        <w:rPr>
          <w:sz w:val="20"/>
          <w:szCs w:val="20"/>
          <w:lang w:val="en-US"/>
        </w:rPr>
      </w:pPr>
      <w:r>
        <w:rPr>
          <w:sz w:val="20"/>
          <w:szCs w:val="20"/>
          <w:lang w:val="en-US"/>
        </w:rPr>
        <w:t xml:space="preserve">Research Fellow, </w:t>
      </w:r>
      <w:r w:rsidR="000B38F8" w:rsidRPr="000B38F8">
        <w:rPr>
          <w:sz w:val="20"/>
          <w:szCs w:val="20"/>
          <w:lang w:val="en-US"/>
        </w:rPr>
        <w:t>Centre for the Built Environment (CeBE) Group, Leeds Sustainability Institute, Leeds Beckett University, City Campus, Leeds LS2 9EN, UK</w:t>
      </w:r>
    </w:p>
    <w:p w:rsidR="0003108B" w:rsidRPr="00A442E4" w:rsidRDefault="0003108B" w:rsidP="000B38F8">
      <w:pPr>
        <w:spacing w:line="360" w:lineRule="auto"/>
        <w:outlineLvl w:val="0"/>
        <w:rPr>
          <w:b/>
          <w:sz w:val="20"/>
          <w:szCs w:val="20"/>
        </w:rPr>
      </w:pPr>
    </w:p>
    <w:p w:rsidR="0003108B" w:rsidRPr="00A442E4" w:rsidRDefault="000B38F8" w:rsidP="000B38F8">
      <w:pPr>
        <w:spacing w:line="360" w:lineRule="auto"/>
        <w:rPr>
          <w:b/>
          <w:sz w:val="20"/>
          <w:szCs w:val="20"/>
        </w:rPr>
      </w:pPr>
      <w:r>
        <w:rPr>
          <w:b/>
          <w:sz w:val="20"/>
          <w:szCs w:val="20"/>
        </w:rPr>
        <w:t>* D.Johnston@leedsbeckett</w:t>
      </w:r>
      <w:r w:rsidRPr="000B38F8">
        <w:rPr>
          <w:b/>
          <w:sz w:val="20"/>
          <w:szCs w:val="20"/>
        </w:rPr>
        <w:t>.ac.uk 01138127638</w:t>
      </w:r>
      <w:r w:rsidR="0003108B" w:rsidRPr="008C6E90">
        <w:rPr>
          <w:b/>
          <w:sz w:val="20"/>
          <w:szCs w:val="20"/>
        </w:rPr>
        <w:br w:type="page"/>
      </w:r>
    </w:p>
    <w:p w:rsidR="0003108B" w:rsidRPr="00A442E4" w:rsidRDefault="00C2767A" w:rsidP="008C6E90">
      <w:pPr>
        <w:spacing w:line="360" w:lineRule="auto"/>
        <w:outlineLvl w:val="0"/>
        <w:rPr>
          <w:b/>
          <w:sz w:val="20"/>
          <w:szCs w:val="20"/>
        </w:rPr>
      </w:pPr>
      <w:r>
        <w:rPr>
          <w:b/>
          <w:sz w:val="20"/>
          <w:szCs w:val="20"/>
        </w:rPr>
        <w:lastRenderedPageBreak/>
        <w:t>Abstract</w:t>
      </w:r>
    </w:p>
    <w:p w:rsidR="0003108B" w:rsidRPr="00A442E4" w:rsidRDefault="0003108B" w:rsidP="008C6E90">
      <w:pPr>
        <w:spacing w:line="360" w:lineRule="auto"/>
        <w:outlineLvl w:val="0"/>
        <w:rPr>
          <w:b/>
          <w:sz w:val="20"/>
          <w:szCs w:val="20"/>
        </w:rPr>
      </w:pPr>
    </w:p>
    <w:p w:rsidR="0003108B" w:rsidRPr="00A442E4" w:rsidRDefault="000B38F8" w:rsidP="008C6E90">
      <w:pPr>
        <w:spacing w:line="360" w:lineRule="auto"/>
        <w:rPr>
          <w:sz w:val="20"/>
          <w:szCs w:val="20"/>
        </w:rPr>
      </w:pPr>
      <w:r w:rsidRPr="000B38F8">
        <w:rPr>
          <w:sz w:val="20"/>
          <w:szCs w:val="20"/>
        </w:rPr>
        <w:t xml:space="preserve">In the UK, it has become apparent in recent years that there is often a discrepancy between the steady state predicted and the measured </w:t>
      </w:r>
      <w:r w:rsidRPr="00743BEC">
        <w:rPr>
          <w:i/>
          <w:sz w:val="20"/>
          <w:szCs w:val="20"/>
        </w:rPr>
        <w:t>in situ</w:t>
      </w:r>
      <w:r w:rsidRPr="000B38F8">
        <w:rPr>
          <w:sz w:val="20"/>
          <w:szCs w:val="20"/>
        </w:rPr>
        <w:t xml:space="preserve"> thermal performance of the building fabric, with the measured </w:t>
      </w:r>
      <w:r w:rsidRPr="00507880">
        <w:rPr>
          <w:i/>
          <w:sz w:val="20"/>
          <w:szCs w:val="20"/>
        </w:rPr>
        <w:t>in situ</w:t>
      </w:r>
      <w:r w:rsidRPr="000B38F8">
        <w:rPr>
          <w:sz w:val="20"/>
          <w:szCs w:val="20"/>
        </w:rPr>
        <w:t xml:space="preserve"> performance being greater than that which has been predicted. This discrepancy or </w:t>
      </w:r>
      <w:r w:rsidRPr="00743BEC">
        <w:rPr>
          <w:i/>
          <w:sz w:val="20"/>
          <w:szCs w:val="20"/>
        </w:rPr>
        <w:t>‘gap’</w:t>
      </w:r>
      <w:r w:rsidRPr="000B38F8">
        <w:rPr>
          <w:sz w:val="20"/>
          <w:szCs w:val="20"/>
        </w:rPr>
        <w:t xml:space="preserve"> in the thermal performance of the building fabric is commonly referred to as the</w:t>
      </w:r>
      <w:r w:rsidR="00B15218">
        <w:rPr>
          <w:sz w:val="20"/>
          <w:szCs w:val="20"/>
        </w:rPr>
        <w:t xml:space="preserve"> building fabric</w:t>
      </w:r>
      <w:r w:rsidRPr="00743BEC">
        <w:rPr>
          <w:i/>
          <w:sz w:val="20"/>
          <w:szCs w:val="20"/>
        </w:rPr>
        <w:t xml:space="preserve"> ‘performance gap’</w:t>
      </w:r>
      <w:r w:rsidRPr="000B38F8">
        <w:rPr>
          <w:sz w:val="20"/>
          <w:szCs w:val="20"/>
        </w:rPr>
        <w:t>. This paper presents the results and key messages that have b</w:t>
      </w:r>
      <w:r w:rsidR="00433464">
        <w:rPr>
          <w:sz w:val="20"/>
          <w:szCs w:val="20"/>
        </w:rPr>
        <w:t xml:space="preserve">een obtained from undertaking a </w:t>
      </w:r>
      <w:r w:rsidR="00703DD7">
        <w:rPr>
          <w:sz w:val="20"/>
          <w:szCs w:val="20"/>
        </w:rPr>
        <w:t xml:space="preserve">whole building </w:t>
      </w:r>
      <w:r w:rsidR="00160067">
        <w:rPr>
          <w:sz w:val="20"/>
          <w:szCs w:val="20"/>
        </w:rPr>
        <w:t xml:space="preserve">heat loss test, a </w:t>
      </w:r>
      <w:r w:rsidR="00160067" w:rsidRPr="00743BEC">
        <w:rPr>
          <w:sz w:val="20"/>
          <w:szCs w:val="20"/>
        </w:rPr>
        <w:t>coheating</w:t>
      </w:r>
      <w:r w:rsidR="00160067">
        <w:rPr>
          <w:sz w:val="20"/>
          <w:szCs w:val="20"/>
        </w:rPr>
        <w:t xml:space="preserve"> test, </w:t>
      </w:r>
      <w:r w:rsidRPr="000B38F8">
        <w:rPr>
          <w:sz w:val="20"/>
          <w:szCs w:val="20"/>
        </w:rPr>
        <w:t xml:space="preserve">on seven new build dwellings as part of the Technology Strategy Board’s Building Performance Evaluation Programme. While the total number of dwellings involved in the work reported here is small, the results illustrate that a wide range of discrepancies in thermal performance was measured for the tested dwellings. Despite this, the results also indicate that it is possible to construct dwellings where the building fabric performs thermally more or less as predicted, thus effectively bridging the traditional </w:t>
      </w:r>
      <w:r w:rsidR="00B15218">
        <w:rPr>
          <w:sz w:val="20"/>
          <w:szCs w:val="20"/>
        </w:rPr>
        <w:t xml:space="preserve">building fabric </w:t>
      </w:r>
      <w:r w:rsidRPr="00720F98">
        <w:rPr>
          <w:i/>
          <w:sz w:val="20"/>
          <w:szCs w:val="20"/>
        </w:rPr>
        <w:t>‘performance gap’</w:t>
      </w:r>
      <w:r w:rsidRPr="000B38F8">
        <w:rPr>
          <w:sz w:val="20"/>
          <w:szCs w:val="20"/>
        </w:rPr>
        <w:t xml:space="preserve"> that exists in mainstream housing in the UK. </w:t>
      </w:r>
    </w:p>
    <w:p w:rsidR="0003108B" w:rsidRPr="00A442E4" w:rsidRDefault="0003108B" w:rsidP="00A442E4">
      <w:pPr>
        <w:pStyle w:val="Keywords"/>
        <w:spacing w:before="0" w:line="360" w:lineRule="auto"/>
        <w:ind w:left="0"/>
        <w:rPr>
          <w:sz w:val="20"/>
          <w:szCs w:val="20"/>
        </w:rPr>
      </w:pPr>
    </w:p>
    <w:p w:rsidR="0003108B" w:rsidRPr="00A442E4" w:rsidRDefault="0003108B" w:rsidP="00A442E4">
      <w:pPr>
        <w:pStyle w:val="Keywords"/>
        <w:spacing w:before="0" w:line="360" w:lineRule="auto"/>
        <w:ind w:left="0"/>
        <w:rPr>
          <w:sz w:val="20"/>
          <w:szCs w:val="20"/>
        </w:rPr>
      </w:pPr>
      <w:r w:rsidRPr="00A442E4">
        <w:rPr>
          <w:b/>
          <w:sz w:val="20"/>
          <w:szCs w:val="20"/>
        </w:rPr>
        <w:t>Keywords</w:t>
      </w:r>
      <w:r w:rsidRPr="00A442E4">
        <w:rPr>
          <w:sz w:val="20"/>
          <w:szCs w:val="20"/>
        </w:rPr>
        <w:t xml:space="preserve"> </w:t>
      </w:r>
      <w:r w:rsidRPr="00A442E4">
        <w:rPr>
          <w:b/>
          <w:sz w:val="20"/>
          <w:szCs w:val="20"/>
        </w:rPr>
        <w:t>chosen from ICE Publishing list</w:t>
      </w:r>
    </w:p>
    <w:p w:rsidR="0003108B" w:rsidRPr="00A442E4" w:rsidRDefault="00D61EE0" w:rsidP="00A442E4">
      <w:pPr>
        <w:pStyle w:val="Keywords"/>
        <w:spacing w:before="0" w:line="360" w:lineRule="auto"/>
        <w:ind w:left="0"/>
        <w:rPr>
          <w:sz w:val="20"/>
          <w:szCs w:val="20"/>
        </w:rPr>
      </w:pPr>
      <w:r>
        <w:rPr>
          <w:sz w:val="20"/>
          <w:szCs w:val="20"/>
        </w:rPr>
        <w:t>Energy</w:t>
      </w:r>
      <w:r w:rsidR="0003108B" w:rsidRPr="00A442E4">
        <w:rPr>
          <w:sz w:val="20"/>
          <w:szCs w:val="20"/>
        </w:rPr>
        <w:t xml:space="preserve">; </w:t>
      </w:r>
      <w:r w:rsidR="00B15218">
        <w:rPr>
          <w:sz w:val="20"/>
          <w:szCs w:val="20"/>
        </w:rPr>
        <w:t xml:space="preserve">field testing &amp; monitoring; </w:t>
      </w:r>
      <w:r>
        <w:rPr>
          <w:sz w:val="20"/>
          <w:szCs w:val="20"/>
        </w:rPr>
        <w:t>thermal effects.</w:t>
      </w:r>
    </w:p>
    <w:p w:rsidR="0003108B" w:rsidRPr="00A442E4" w:rsidRDefault="0003108B" w:rsidP="008C6E90">
      <w:pPr>
        <w:spacing w:line="360" w:lineRule="auto"/>
        <w:rPr>
          <w:b/>
          <w:sz w:val="20"/>
          <w:szCs w:val="20"/>
        </w:rPr>
      </w:pPr>
    </w:p>
    <w:p w:rsidR="0003108B" w:rsidRPr="00A442E4" w:rsidRDefault="0003108B" w:rsidP="008C6E90">
      <w:pPr>
        <w:spacing w:line="360" w:lineRule="auto"/>
        <w:rPr>
          <w:b/>
          <w:sz w:val="20"/>
          <w:szCs w:val="20"/>
        </w:rPr>
      </w:pPr>
      <w:r w:rsidRPr="00A442E4">
        <w:rPr>
          <w:b/>
          <w:sz w:val="20"/>
          <w:szCs w:val="20"/>
        </w:rPr>
        <w:t>List of notation</w:t>
      </w:r>
    </w:p>
    <w:p w:rsidR="00E92763" w:rsidRPr="00E92763" w:rsidRDefault="00E92763" w:rsidP="00E92763">
      <w:pPr>
        <w:spacing w:line="360" w:lineRule="auto"/>
        <w:rPr>
          <w:sz w:val="20"/>
          <w:szCs w:val="20"/>
        </w:rPr>
      </w:pPr>
      <w:r>
        <w:rPr>
          <w:i/>
          <w:sz w:val="20"/>
          <w:szCs w:val="20"/>
        </w:rPr>
        <w:t>ΔT</w:t>
      </w:r>
      <w:r w:rsidRPr="008C6E90">
        <w:rPr>
          <w:i/>
          <w:sz w:val="20"/>
          <w:szCs w:val="20"/>
        </w:rPr>
        <w:tab/>
      </w:r>
      <w:r w:rsidRPr="00A442E4">
        <w:rPr>
          <w:sz w:val="20"/>
          <w:szCs w:val="20"/>
        </w:rPr>
        <w:t>is the</w:t>
      </w:r>
      <w:r>
        <w:rPr>
          <w:sz w:val="20"/>
          <w:szCs w:val="20"/>
        </w:rPr>
        <w:t xml:space="preserve"> difference between the mean internal and external </w:t>
      </w:r>
      <w:r w:rsidR="008D150D">
        <w:rPr>
          <w:sz w:val="20"/>
          <w:szCs w:val="20"/>
        </w:rPr>
        <w:t xml:space="preserve">air </w:t>
      </w:r>
      <w:r>
        <w:rPr>
          <w:sz w:val="20"/>
          <w:szCs w:val="20"/>
        </w:rPr>
        <w:t>temperature.</w:t>
      </w:r>
    </w:p>
    <w:p w:rsidR="0003108B" w:rsidRPr="00A442E4" w:rsidRDefault="0003108B" w:rsidP="001D78A9">
      <w:pPr>
        <w:spacing w:line="360" w:lineRule="auto"/>
        <w:rPr>
          <w:b/>
          <w:sz w:val="20"/>
          <w:szCs w:val="20"/>
        </w:rPr>
      </w:pPr>
      <w:r w:rsidRPr="008C6E90">
        <w:rPr>
          <w:b/>
          <w:sz w:val="20"/>
          <w:szCs w:val="20"/>
        </w:rPr>
        <w:br w:type="page"/>
      </w:r>
      <w:r w:rsidRPr="00A442E4">
        <w:rPr>
          <w:b/>
          <w:sz w:val="20"/>
          <w:szCs w:val="20"/>
        </w:rPr>
        <w:lastRenderedPageBreak/>
        <w:t>1. Introduction</w:t>
      </w:r>
    </w:p>
    <w:p w:rsidR="00965665" w:rsidRDefault="00965665" w:rsidP="00A442E4">
      <w:pPr>
        <w:spacing w:line="360" w:lineRule="auto"/>
        <w:rPr>
          <w:sz w:val="20"/>
          <w:szCs w:val="20"/>
        </w:rPr>
      </w:pPr>
    </w:p>
    <w:p w:rsidR="00BF4846" w:rsidRPr="00876F98" w:rsidRDefault="00450314" w:rsidP="00876F98">
      <w:pPr>
        <w:spacing w:line="360" w:lineRule="auto"/>
        <w:rPr>
          <w:sz w:val="20"/>
          <w:szCs w:val="20"/>
        </w:rPr>
      </w:pPr>
      <w:r w:rsidRPr="00450314">
        <w:rPr>
          <w:sz w:val="20"/>
          <w:szCs w:val="20"/>
        </w:rPr>
        <w:t xml:space="preserve">In response to </w:t>
      </w:r>
      <w:r w:rsidR="007D67D7">
        <w:rPr>
          <w:sz w:val="20"/>
          <w:szCs w:val="20"/>
        </w:rPr>
        <w:t xml:space="preserve">concerns regarding </w:t>
      </w:r>
      <w:r w:rsidR="00AE300C">
        <w:rPr>
          <w:sz w:val="20"/>
          <w:szCs w:val="20"/>
        </w:rPr>
        <w:t xml:space="preserve">stabilisation of </w:t>
      </w:r>
      <w:r w:rsidR="00AE300C" w:rsidRPr="00BF4846">
        <w:rPr>
          <w:sz w:val="20"/>
          <w:szCs w:val="20"/>
        </w:rPr>
        <w:t xml:space="preserve">atmospheric greenhouse gas concentrations </w:t>
      </w:r>
      <w:r w:rsidR="00AE300C">
        <w:rPr>
          <w:sz w:val="20"/>
          <w:szCs w:val="20"/>
        </w:rPr>
        <w:t xml:space="preserve">and the potential risks posed by climate change, </w:t>
      </w:r>
      <w:r w:rsidR="00153CD6">
        <w:rPr>
          <w:sz w:val="20"/>
          <w:szCs w:val="20"/>
        </w:rPr>
        <w:t xml:space="preserve">the UK Government </w:t>
      </w:r>
      <w:r>
        <w:rPr>
          <w:sz w:val="20"/>
          <w:szCs w:val="20"/>
        </w:rPr>
        <w:t xml:space="preserve">published </w:t>
      </w:r>
      <w:r w:rsidR="007D67D7">
        <w:rPr>
          <w:sz w:val="20"/>
          <w:szCs w:val="20"/>
        </w:rPr>
        <w:t>the Climate Change Act in 2008</w:t>
      </w:r>
      <w:r w:rsidR="00BF4846">
        <w:rPr>
          <w:sz w:val="20"/>
          <w:szCs w:val="20"/>
        </w:rPr>
        <w:t xml:space="preserve"> (HMSO, 2008)</w:t>
      </w:r>
      <w:r w:rsidR="007D67D7">
        <w:rPr>
          <w:sz w:val="20"/>
          <w:szCs w:val="20"/>
        </w:rPr>
        <w:t>. T</w:t>
      </w:r>
      <w:r w:rsidR="00153CD6">
        <w:rPr>
          <w:sz w:val="20"/>
          <w:szCs w:val="20"/>
        </w:rPr>
        <w:t>his was the</w:t>
      </w:r>
      <w:r w:rsidR="007D67D7">
        <w:rPr>
          <w:sz w:val="20"/>
          <w:szCs w:val="20"/>
        </w:rPr>
        <w:t xml:space="preserve"> world’s first </w:t>
      </w:r>
      <w:r w:rsidR="007D67D7" w:rsidRPr="007D67D7">
        <w:rPr>
          <w:sz w:val="20"/>
          <w:szCs w:val="20"/>
        </w:rPr>
        <w:t xml:space="preserve">legally-binding </w:t>
      </w:r>
      <w:r w:rsidR="00BF4846" w:rsidRPr="00BF4846">
        <w:rPr>
          <w:sz w:val="20"/>
          <w:szCs w:val="20"/>
        </w:rPr>
        <w:t xml:space="preserve">national framework </w:t>
      </w:r>
      <w:r w:rsidR="00BF4846">
        <w:rPr>
          <w:sz w:val="20"/>
          <w:szCs w:val="20"/>
        </w:rPr>
        <w:t xml:space="preserve">designed </w:t>
      </w:r>
      <w:r w:rsidR="00BF4846" w:rsidRPr="00BF4846">
        <w:rPr>
          <w:sz w:val="20"/>
          <w:szCs w:val="20"/>
        </w:rPr>
        <w:t xml:space="preserve">to reduce </w:t>
      </w:r>
      <w:r w:rsidR="0054346B">
        <w:rPr>
          <w:sz w:val="20"/>
          <w:szCs w:val="20"/>
        </w:rPr>
        <w:t xml:space="preserve">anthropogenic </w:t>
      </w:r>
      <w:r w:rsidR="00BF4846" w:rsidRPr="00BF4846">
        <w:rPr>
          <w:sz w:val="20"/>
          <w:szCs w:val="20"/>
        </w:rPr>
        <w:t>greenhouse gas emissions</w:t>
      </w:r>
      <w:r w:rsidR="00BF4846">
        <w:rPr>
          <w:sz w:val="20"/>
          <w:szCs w:val="20"/>
        </w:rPr>
        <w:t>.</w:t>
      </w:r>
      <w:r w:rsidR="00BF4846" w:rsidRPr="00BF4846">
        <w:t xml:space="preserve"> </w:t>
      </w:r>
      <w:r w:rsidR="00876F98">
        <w:rPr>
          <w:sz w:val="20"/>
          <w:szCs w:val="20"/>
        </w:rPr>
        <w:t xml:space="preserve">The Act committed the UK Government to at least an 80% reduction </w:t>
      </w:r>
      <w:r w:rsidR="00876F98" w:rsidRPr="00876F98">
        <w:rPr>
          <w:sz w:val="20"/>
          <w:szCs w:val="20"/>
        </w:rPr>
        <w:t xml:space="preserve">in national </w:t>
      </w:r>
      <w:r w:rsidR="00507880">
        <w:rPr>
          <w:sz w:val="20"/>
          <w:szCs w:val="20"/>
        </w:rPr>
        <w:t>Carbon Dioxide (</w:t>
      </w:r>
      <w:r w:rsidR="00876F98" w:rsidRPr="00876F98">
        <w:rPr>
          <w:sz w:val="20"/>
          <w:szCs w:val="20"/>
        </w:rPr>
        <w:t>CO</w:t>
      </w:r>
      <w:r w:rsidR="00876F98" w:rsidRPr="00876F98">
        <w:rPr>
          <w:sz w:val="20"/>
          <w:szCs w:val="20"/>
          <w:vertAlign w:val="subscript"/>
        </w:rPr>
        <w:t>2</w:t>
      </w:r>
      <w:r w:rsidR="00507880">
        <w:rPr>
          <w:sz w:val="20"/>
          <w:szCs w:val="20"/>
        </w:rPr>
        <w:t>)</w:t>
      </w:r>
      <w:r w:rsidR="00876F98" w:rsidRPr="00876F98">
        <w:rPr>
          <w:sz w:val="20"/>
          <w:szCs w:val="20"/>
        </w:rPr>
        <w:t xml:space="preserve"> emissions by 2050 based on 1990 levels</w:t>
      </w:r>
      <w:r w:rsidR="00AE300C">
        <w:rPr>
          <w:sz w:val="20"/>
          <w:szCs w:val="20"/>
        </w:rPr>
        <w:t>. It also introduced</w:t>
      </w:r>
      <w:r w:rsidR="00876F98">
        <w:rPr>
          <w:sz w:val="20"/>
          <w:szCs w:val="20"/>
        </w:rPr>
        <w:t xml:space="preserve"> </w:t>
      </w:r>
      <w:r w:rsidR="00AE300C">
        <w:rPr>
          <w:sz w:val="20"/>
          <w:szCs w:val="20"/>
        </w:rPr>
        <w:t xml:space="preserve">a series of five year carbon budgets covering the period up to and including the year 2050, along with </w:t>
      </w:r>
      <w:r w:rsidR="00876F98">
        <w:rPr>
          <w:sz w:val="20"/>
          <w:szCs w:val="20"/>
        </w:rPr>
        <w:t>an interim target of at least a 34% reduction</w:t>
      </w:r>
      <w:r w:rsidR="00876F98" w:rsidRPr="00876F98">
        <w:rPr>
          <w:sz w:val="20"/>
          <w:szCs w:val="20"/>
        </w:rPr>
        <w:t xml:space="preserve"> in </w:t>
      </w:r>
      <w:r w:rsidR="00876F98">
        <w:rPr>
          <w:sz w:val="20"/>
          <w:szCs w:val="20"/>
        </w:rPr>
        <w:t>national CO</w:t>
      </w:r>
      <w:r w:rsidR="00876F98" w:rsidRPr="00876F98">
        <w:rPr>
          <w:sz w:val="20"/>
          <w:szCs w:val="20"/>
          <w:vertAlign w:val="subscript"/>
        </w:rPr>
        <w:t>2</w:t>
      </w:r>
      <w:r w:rsidR="00876F98">
        <w:rPr>
          <w:sz w:val="20"/>
          <w:szCs w:val="20"/>
        </w:rPr>
        <w:t xml:space="preserve"> emissions by 2020</w:t>
      </w:r>
      <w:r w:rsidR="00AE300C">
        <w:rPr>
          <w:sz w:val="20"/>
          <w:szCs w:val="20"/>
        </w:rPr>
        <w:t>,</w:t>
      </w:r>
      <w:r w:rsidR="00876F98">
        <w:rPr>
          <w:sz w:val="20"/>
          <w:szCs w:val="20"/>
        </w:rPr>
        <w:t xml:space="preserve"> based on 1990 levels. </w:t>
      </w:r>
      <w:r w:rsidR="00887319">
        <w:rPr>
          <w:sz w:val="20"/>
          <w:szCs w:val="20"/>
        </w:rPr>
        <w:t>Achieving such significant reductions in CO</w:t>
      </w:r>
      <w:r w:rsidR="00887319" w:rsidRPr="00887319">
        <w:rPr>
          <w:sz w:val="20"/>
          <w:szCs w:val="20"/>
          <w:vertAlign w:val="subscript"/>
        </w:rPr>
        <w:t xml:space="preserve">2 </w:t>
      </w:r>
      <w:r w:rsidR="00887319">
        <w:rPr>
          <w:sz w:val="20"/>
          <w:szCs w:val="20"/>
        </w:rPr>
        <w:t xml:space="preserve">emissions </w:t>
      </w:r>
      <w:r w:rsidR="00AE300C">
        <w:rPr>
          <w:sz w:val="20"/>
          <w:szCs w:val="20"/>
        </w:rPr>
        <w:t xml:space="preserve">in practice </w:t>
      </w:r>
      <w:r w:rsidR="00887319">
        <w:rPr>
          <w:sz w:val="20"/>
          <w:szCs w:val="20"/>
        </w:rPr>
        <w:t>is likely to be technically demanding and will require reductions across all sectors of the economy.</w:t>
      </w:r>
    </w:p>
    <w:p w:rsidR="00062311" w:rsidRDefault="00062311" w:rsidP="00887319">
      <w:pPr>
        <w:spacing w:line="360" w:lineRule="auto"/>
        <w:rPr>
          <w:sz w:val="20"/>
          <w:szCs w:val="20"/>
        </w:rPr>
      </w:pPr>
    </w:p>
    <w:p w:rsidR="00450314" w:rsidRDefault="00DE10F6" w:rsidP="00A442E4">
      <w:pPr>
        <w:spacing w:line="360" w:lineRule="auto"/>
        <w:rPr>
          <w:sz w:val="20"/>
          <w:szCs w:val="20"/>
        </w:rPr>
      </w:pPr>
      <w:r>
        <w:rPr>
          <w:sz w:val="20"/>
          <w:szCs w:val="20"/>
        </w:rPr>
        <w:t xml:space="preserve">In the UK, </w:t>
      </w:r>
      <w:r w:rsidR="002B603A">
        <w:rPr>
          <w:sz w:val="20"/>
          <w:szCs w:val="20"/>
        </w:rPr>
        <w:t>o</w:t>
      </w:r>
      <w:r w:rsidR="00887319">
        <w:rPr>
          <w:sz w:val="20"/>
          <w:szCs w:val="20"/>
        </w:rPr>
        <w:t xml:space="preserve">ne sector which contributes significantly </w:t>
      </w:r>
      <w:r w:rsidR="00887319" w:rsidRPr="00450314">
        <w:rPr>
          <w:sz w:val="20"/>
          <w:szCs w:val="20"/>
        </w:rPr>
        <w:t>to national energy use and CO</w:t>
      </w:r>
      <w:r w:rsidR="00887319" w:rsidRPr="00887319">
        <w:rPr>
          <w:sz w:val="20"/>
          <w:szCs w:val="20"/>
          <w:vertAlign w:val="subscript"/>
        </w:rPr>
        <w:t>2</w:t>
      </w:r>
      <w:r w:rsidR="00887319" w:rsidRPr="00450314">
        <w:rPr>
          <w:sz w:val="20"/>
          <w:szCs w:val="20"/>
        </w:rPr>
        <w:t xml:space="preserve"> emissions</w:t>
      </w:r>
      <w:r w:rsidR="00887319">
        <w:rPr>
          <w:sz w:val="20"/>
          <w:szCs w:val="20"/>
        </w:rPr>
        <w:t xml:space="preserve"> is the domestic sector. </w:t>
      </w:r>
      <w:r w:rsidR="00887319" w:rsidRPr="00E82587">
        <w:rPr>
          <w:sz w:val="20"/>
          <w:szCs w:val="20"/>
        </w:rPr>
        <w:t xml:space="preserve">Currently, there are over 27 million dwellings in the UK (Palmer &amp; Cooper, 2013) </w:t>
      </w:r>
      <w:r w:rsidR="00AE300C">
        <w:rPr>
          <w:sz w:val="20"/>
          <w:szCs w:val="20"/>
        </w:rPr>
        <w:t>which account</w:t>
      </w:r>
      <w:r w:rsidR="00887319" w:rsidRPr="00E82587">
        <w:rPr>
          <w:sz w:val="20"/>
          <w:szCs w:val="20"/>
        </w:rPr>
        <w:t xml:space="preserve"> for just under 30% of the </w:t>
      </w:r>
      <w:r w:rsidR="00887319">
        <w:rPr>
          <w:sz w:val="20"/>
          <w:szCs w:val="20"/>
        </w:rPr>
        <w:t>UK’s total energy consumption (DECC</w:t>
      </w:r>
      <w:r w:rsidR="00F10656">
        <w:rPr>
          <w:sz w:val="20"/>
          <w:szCs w:val="20"/>
        </w:rPr>
        <w:t xml:space="preserve">, 2014) and </w:t>
      </w:r>
      <w:r w:rsidR="00887319" w:rsidRPr="00E82587">
        <w:rPr>
          <w:sz w:val="20"/>
          <w:szCs w:val="20"/>
        </w:rPr>
        <w:t>total CO</w:t>
      </w:r>
      <w:r w:rsidR="00887319" w:rsidRPr="00E82587">
        <w:rPr>
          <w:sz w:val="20"/>
          <w:szCs w:val="20"/>
          <w:vertAlign w:val="subscript"/>
        </w:rPr>
        <w:t>2</w:t>
      </w:r>
      <w:r w:rsidR="00887319">
        <w:rPr>
          <w:sz w:val="20"/>
          <w:szCs w:val="20"/>
        </w:rPr>
        <w:t xml:space="preserve"> emissions (DECC, 2013).</w:t>
      </w:r>
      <w:r w:rsidR="00887319" w:rsidRPr="00E82587">
        <w:rPr>
          <w:sz w:val="20"/>
          <w:szCs w:val="20"/>
        </w:rPr>
        <w:t xml:space="preserve"> </w:t>
      </w:r>
      <w:r w:rsidR="00887319">
        <w:rPr>
          <w:sz w:val="20"/>
          <w:szCs w:val="20"/>
        </w:rPr>
        <w:t xml:space="preserve">Within the domestic sector, the largest single end-use </w:t>
      </w:r>
      <w:r w:rsidR="00F10656">
        <w:rPr>
          <w:sz w:val="20"/>
          <w:szCs w:val="20"/>
        </w:rPr>
        <w:t>category</w:t>
      </w:r>
      <w:r w:rsidR="00887319">
        <w:rPr>
          <w:sz w:val="20"/>
          <w:szCs w:val="20"/>
        </w:rPr>
        <w:t xml:space="preserve"> </w:t>
      </w:r>
      <w:r w:rsidR="00F10656">
        <w:rPr>
          <w:sz w:val="20"/>
          <w:szCs w:val="20"/>
        </w:rPr>
        <w:t>is</w:t>
      </w:r>
      <w:r w:rsidR="00887319">
        <w:rPr>
          <w:sz w:val="20"/>
          <w:szCs w:val="20"/>
        </w:rPr>
        <w:t xml:space="preserve"> space heating, </w:t>
      </w:r>
      <w:r w:rsidR="00F10656">
        <w:rPr>
          <w:sz w:val="20"/>
          <w:szCs w:val="20"/>
        </w:rPr>
        <w:t>accounting</w:t>
      </w:r>
      <w:r w:rsidR="00887319">
        <w:rPr>
          <w:sz w:val="20"/>
          <w:szCs w:val="20"/>
        </w:rPr>
        <w:t xml:space="preserve"> for approximately</w:t>
      </w:r>
      <w:r w:rsidR="00887319" w:rsidRPr="007D0F46">
        <w:rPr>
          <w:sz w:val="20"/>
          <w:szCs w:val="20"/>
        </w:rPr>
        <w:t xml:space="preserve"> 62% of </w:t>
      </w:r>
      <w:r w:rsidR="00887319">
        <w:rPr>
          <w:sz w:val="20"/>
          <w:szCs w:val="20"/>
        </w:rPr>
        <w:t xml:space="preserve">all of </w:t>
      </w:r>
      <w:r w:rsidR="00887319" w:rsidRPr="007D0F46">
        <w:rPr>
          <w:sz w:val="20"/>
          <w:szCs w:val="20"/>
        </w:rPr>
        <w:t xml:space="preserve">the energy delivered to the existing </w:t>
      </w:r>
      <w:r w:rsidR="00887319">
        <w:rPr>
          <w:sz w:val="20"/>
          <w:szCs w:val="20"/>
        </w:rPr>
        <w:t xml:space="preserve">housing stock in 2011 </w:t>
      </w:r>
      <w:r w:rsidR="00F10656">
        <w:rPr>
          <w:sz w:val="20"/>
          <w:szCs w:val="20"/>
        </w:rPr>
        <w:t>(Palmer &amp; Cooper</w:t>
      </w:r>
      <w:r w:rsidR="00887319">
        <w:rPr>
          <w:sz w:val="20"/>
          <w:szCs w:val="20"/>
        </w:rPr>
        <w:t>, 2013)</w:t>
      </w:r>
      <w:r w:rsidR="00887319" w:rsidRPr="007D0F46">
        <w:rPr>
          <w:sz w:val="20"/>
          <w:szCs w:val="20"/>
        </w:rPr>
        <w:t>.</w:t>
      </w:r>
      <w:r w:rsidR="00887319">
        <w:rPr>
          <w:sz w:val="20"/>
          <w:szCs w:val="20"/>
        </w:rPr>
        <w:t xml:space="preserve"> </w:t>
      </w:r>
      <w:r w:rsidR="00F3570C">
        <w:rPr>
          <w:sz w:val="20"/>
          <w:szCs w:val="20"/>
        </w:rPr>
        <w:t xml:space="preserve">Clearly, </w:t>
      </w:r>
      <w:r w:rsidR="00887319" w:rsidRPr="00965665">
        <w:rPr>
          <w:sz w:val="20"/>
          <w:szCs w:val="20"/>
        </w:rPr>
        <w:t xml:space="preserve">if we are to mitigate the effects of climate change and achieve the UK Government’s 80% </w:t>
      </w:r>
      <w:r w:rsidR="00F10656">
        <w:rPr>
          <w:sz w:val="20"/>
          <w:szCs w:val="20"/>
        </w:rPr>
        <w:t xml:space="preserve">national </w:t>
      </w:r>
      <w:r w:rsidR="00887319">
        <w:rPr>
          <w:sz w:val="20"/>
          <w:szCs w:val="20"/>
        </w:rPr>
        <w:t>CO</w:t>
      </w:r>
      <w:r w:rsidR="00887319" w:rsidRPr="00887319">
        <w:rPr>
          <w:sz w:val="20"/>
          <w:szCs w:val="20"/>
          <w:vertAlign w:val="subscript"/>
        </w:rPr>
        <w:t>2</w:t>
      </w:r>
      <w:r w:rsidR="00887319">
        <w:rPr>
          <w:sz w:val="20"/>
          <w:szCs w:val="20"/>
        </w:rPr>
        <w:t xml:space="preserve"> emission </w:t>
      </w:r>
      <w:r w:rsidR="00887319" w:rsidRPr="00965665">
        <w:rPr>
          <w:sz w:val="20"/>
          <w:szCs w:val="20"/>
        </w:rPr>
        <w:t xml:space="preserve">reduction </w:t>
      </w:r>
      <w:r w:rsidR="00887319">
        <w:rPr>
          <w:sz w:val="20"/>
          <w:szCs w:val="20"/>
        </w:rPr>
        <w:t>target</w:t>
      </w:r>
      <w:r w:rsidR="00887319" w:rsidRPr="00965665">
        <w:rPr>
          <w:sz w:val="20"/>
          <w:szCs w:val="20"/>
        </w:rPr>
        <w:t xml:space="preserve">, then significant reductions in the </w:t>
      </w:r>
      <w:r w:rsidR="00CC4E41">
        <w:rPr>
          <w:sz w:val="20"/>
          <w:szCs w:val="20"/>
        </w:rPr>
        <w:t xml:space="preserve">energy use and </w:t>
      </w:r>
      <w:r w:rsidR="00887319" w:rsidRPr="00965665">
        <w:rPr>
          <w:sz w:val="20"/>
          <w:szCs w:val="20"/>
        </w:rPr>
        <w:t xml:space="preserve">carbon emissions </w:t>
      </w:r>
      <w:r w:rsidR="00507880">
        <w:rPr>
          <w:sz w:val="20"/>
          <w:szCs w:val="20"/>
        </w:rPr>
        <w:t>related to</w:t>
      </w:r>
      <w:r w:rsidR="00887319" w:rsidRPr="00965665">
        <w:rPr>
          <w:sz w:val="20"/>
          <w:szCs w:val="20"/>
        </w:rPr>
        <w:t xml:space="preserve"> </w:t>
      </w:r>
      <w:r w:rsidR="00887319">
        <w:rPr>
          <w:sz w:val="20"/>
          <w:szCs w:val="20"/>
        </w:rPr>
        <w:t xml:space="preserve">domestic space heating </w:t>
      </w:r>
      <w:r w:rsidR="00F10656">
        <w:rPr>
          <w:sz w:val="20"/>
          <w:szCs w:val="20"/>
        </w:rPr>
        <w:t>are likely to</w:t>
      </w:r>
      <w:r w:rsidR="00887319">
        <w:rPr>
          <w:sz w:val="20"/>
          <w:szCs w:val="20"/>
        </w:rPr>
        <w:t xml:space="preserve"> be required.</w:t>
      </w:r>
    </w:p>
    <w:p w:rsidR="00743BEC" w:rsidRDefault="00743BEC" w:rsidP="00A442E4">
      <w:pPr>
        <w:spacing w:line="360" w:lineRule="auto"/>
        <w:rPr>
          <w:sz w:val="20"/>
          <w:szCs w:val="20"/>
        </w:rPr>
      </w:pPr>
    </w:p>
    <w:p w:rsidR="00AE4772" w:rsidRDefault="00DE10F6" w:rsidP="005C3D33">
      <w:pPr>
        <w:spacing w:line="360" w:lineRule="auto"/>
        <w:rPr>
          <w:sz w:val="20"/>
          <w:szCs w:val="20"/>
        </w:rPr>
      </w:pPr>
      <w:r>
        <w:rPr>
          <w:sz w:val="20"/>
          <w:szCs w:val="20"/>
        </w:rPr>
        <w:t xml:space="preserve">One </w:t>
      </w:r>
      <w:r w:rsidR="00CC4E41">
        <w:rPr>
          <w:sz w:val="20"/>
          <w:szCs w:val="20"/>
        </w:rPr>
        <w:t>factor that can have a very</w:t>
      </w:r>
      <w:r w:rsidR="002D6EDA">
        <w:rPr>
          <w:sz w:val="20"/>
          <w:szCs w:val="20"/>
        </w:rPr>
        <w:t xml:space="preserve"> important influence on the </w:t>
      </w:r>
      <w:r w:rsidR="00CC4E41">
        <w:rPr>
          <w:sz w:val="20"/>
          <w:szCs w:val="20"/>
        </w:rPr>
        <w:t xml:space="preserve">energy use and carbon emissions attributable to domestic space heating is the thermal performance of the building fabric. In the UK, the thermal performance of the building fabric is very rarely measured </w:t>
      </w:r>
      <w:r w:rsidR="00CC4E41" w:rsidRPr="005C3D33">
        <w:rPr>
          <w:i/>
          <w:sz w:val="20"/>
          <w:szCs w:val="20"/>
        </w:rPr>
        <w:t>in situ</w:t>
      </w:r>
      <w:r w:rsidR="00CC4E41">
        <w:rPr>
          <w:sz w:val="20"/>
          <w:szCs w:val="20"/>
        </w:rPr>
        <w:t xml:space="preserve">, so is </w:t>
      </w:r>
      <w:r w:rsidR="005C3D33">
        <w:rPr>
          <w:sz w:val="20"/>
          <w:szCs w:val="20"/>
        </w:rPr>
        <w:t xml:space="preserve">often </w:t>
      </w:r>
      <w:r w:rsidR="00CC4E41">
        <w:rPr>
          <w:sz w:val="20"/>
          <w:szCs w:val="20"/>
        </w:rPr>
        <w:t>assumed to perform thermally as the design originally intended.</w:t>
      </w:r>
      <w:r w:rsidR="000A6C89">
        <w:rPr>
          <w:sz w:val="20"/>
          <w:szCs w:val="20"/>
        </w:rPr>
        <w:t xml:space="preserve"> However, </w:t>
      </w:r>
      <w:r w:rsidR="00CD2562">
        <w:rPr>
          <w:sz w:val="20"/>
          <w:szCs w:val="20"/>
        </w:rPr>
        <w:t xml:space="preserve">there is a growing body of evidence that suggests that this is often </w:t>
      </w:r>
      <w:r w:rsidR="005C3D33">
        <w:rPr>
          <w:sz w:val="20"/>
          <w:szCs w:val="20"/>
        </w:rPr>
        <w:t xml:space="preserve">not </w:t>
      </w:r>
      <w:r w:rsidR="000A6C89">
        <w:rPr>
          <w:sz w:val="20"/>
          <w:szCs w:val="20"/>
        </w:rPr>
        <w:t>the case</w:t>
      </w:r>
      <w:r w:rsidR="00CD2562">
        <w:rPr>
          <w:sz w:val="20"/>
          <w:szCs w:val="20"/>
        </w:rPr>
        <w:t xml:space="preserve">, (see Hens </w:t>
      </w:r>
      <w:r w:rsidR="00CD2562" w:rsidRPr="00C14AD5">
        <w:rPr>
          <w:i/>
          <w:sz w:val="20"/>
          <w:szCs w:val="20"/>
        </w:rPr>
        <w:t>et al.</w:t>
      </w:r>
      <w:r w:rsidR="00CD2562">
        <w:rPr>
          <w:i/>
          <w:sz w:val="20"/>
          <w:szCs w:val="20"/>
        </w:rPr>
        <w:t>,</w:t>
      </w:r>
      <w:r w:rsidR="00CD2562">
        <w:rPr>
          <w:sz w:val="20"/>
          <w:szCs w:val="20"/>
        </w:rPr>
        <w:t xml:space="preserve"> 2001 &amp; 2007 and, Doran &amp; Carr, 2008) </w:t>
      </w:r>
      <w:r w:rsidR="00776F00">
        <w:rPr>
          <w:sz w:val="20"/>
          <w:szCs w:val="20"/>
        </w:rPr>
        <w:t xml:space="preserve">not least because the original design intent can often change </w:t>
      </w:r>
      <w:r w:rsidR="001D78A9">
        <w:rPr>
          <w:sz w:val="20"/>
          <w:szCs w:val="20"/>
        </w:rPr>
        <w:t xml:space="preserve">during </w:t>
      </w:r>
      <w:r w:rsidR="00776F00">
        <w:rPr>
          <w:sz w:val="20"/>
          <w:szCs w:val="20"/>
        </w:rPr>
        <w:t>construction</w:t>
      </w:r>
      <w:r w:rsidR="000A6C89">
        <w:rPr>
          <w:sz w:val="20"/>
          <w:szCs w:val="20"/>
        </w:rPr>
        <w:t xml:space="preserve">. Measurements </w:t>
      </w:r>
      <w:r w:rsidR="005C3D33">
        <w:rPr>
          <w:sz w:val="20"/>
          <w:szCs w:val="20"/>
        </w:rPr>
        <w:t>undertaken in the fi</w:t>
      </w:r>
      <w:r w:rsidR="000A6C89">
        <w:rPr>
          <w:sz w:val="20"/>
          <w:szCs w:val="20"/>
        </w:rPr>
        <w:t>e</w:t>
      </w:r>
      <w:r w:rsidR="005C3D33">
        <w:rPr>
          <w:sz w:val="20"/>
          <w:szCs w:val="20"/>
        </w:rPr>
        <w:t>l</w:t>
      </w:r>
      <w:r w:rsidR="000A6C89">
        <w:rPr>
          <w:sz w:val="20"/>
          <w:szCs w:val="20"/>
        </w:rPr>
        <w:t>d have revealed th</w:t>
      </w:r>
      <w:r w:rsidR="005C3D33">
        <w:rPr>
          <w:sz w:val="20"/>
          <w:szCs w:val="20"/>
        </w:rPr>
        <w:t xml:space="preserve">at </w:t>
      </w:r>
      <w:r w:rsidR="005C3D33" w:rsidRPr="007375D5">
        <w:rPr>
          <w:sz w:val="20"/>
          <w:szCs w:val="20"/>
        </w:rPr>
        <w:t xml:space="preserve">a discrepancy </w:t>
      </w:r>
      <w:r w:rsidR="00743BEC">
        <w:rPr>
          <w:sz w:val="20"/>
          <w:szCs w:val="20"/>
        </w:rPr>
        <w:t xml:space="preserve">often </w:t>
      </w:r>
      <w:r w:rsidR="008D150D">
        <w:rPr>
          <w:sz w:val="20"/>
          <w:szCs w:val="20"/>
        </w:rPr>
        <w:t>exists</w:t>
      </w:r>
      <w:r w:rsidR="008D150D" w:rsidRPr="007375D5">
        <w:rPr>
          <w:sz w:val="20"/>
          <w:szCs w:val="20"/>
        </w:rPr>
        <w:t xml:space="preserve"> </w:t>
      </w:r>
      <w:r w:rsidR="005C3D33" w:rsidRPr="007375D5">
        <w:rPr>
          <w:sz w:val="20"/>
          <w:szCs w:val="20"/>
        </w:rPr>
        <w:t xml:space="preserve">between the steady state predicted </w:t>
      </w:r>
      <w:r w:rsidR="001D78A9">
        <w:rPr>
          <w:sz w:val="20"/>
          <w:szCs w:val="20"/>
        </w:rPr>
        <w:t xml:space="preserve">thermal </w:t>
      </w:r>
      <w:r w:rsidR="005C3D33">
        <w:rPr>
          <w:sz w:val="20"/>
          <w:szCs w:val="20"/>
        </w:rPr>
        <w:t xml:space="preserve">performance of the building fabric </w:t>
      </w:r>
      <w:r w:rsidR="00776F00">
        <w:rPr>
          <w:sz w:val="20"/>
          <w:szCs w:val="20"/>
        </w:rPr>
        <w:t xml:space="preserve">as built </w:t>
      </w:r>
      <w:r w:rsidR="005C3D33" w:rsidRPr="007375D5">
        <w:rPr>
          <w:sz w:val="20"/>
          <w:szCs w:val="20"/>
        </w:rPr>
        <w:t xml:space="preserve">and the measured </w:t>
      </w:r>
      <w:r w:rsidR="005C3D33" w:rsidRPr="00DE10F6">
        <w:rPr>
          <w:i/>
          <w:sz w:val="20"/>
          <w:szCs w:val="20"/>
        </w:rPr>
        <w:t>in situ</w:t>
      </w:r>
      <w:r w:rsidR="005C3D33" w:rsidRPr="007375D5">
        <w:rPr>
          <w:sz w:val="20"/>
          <w:szCs w:val="20"/>
        </w:rPr>
        <w:t xml:space="preserve"> thermal performance of the building fabric, with the measured </w:t>
      </w:r>
      <w:r w:rsidR="005C3D33" w:rsidRPr="00DE10F6">
        <w:rPr>
          <w:i/>
          <w:sz w:val="20"/>
          <w:szCs w:val="20"/>
        </w:rPr>
        <w:t>in situ</w:t>
      </w:r>
      <w:r w:rsidR="005C3D33" w:rsidRPr="007375D5">
        <w:rPr>
          <w:sz w:val="20"/>
          <w:szCs w:val="20"/>
        </w:rPr>
        <w:t xml:space="preserve"> </w:t>
      </w:r>
      <w:r w:rsidR="001D78A9">
        <w:rPr>
          <w:sz w:val="20"/>
          <w:szCs w:val="20"/>
        </w:rPr>
        <w:t xml:space="preserve">thermal </w:t>
      </w:r>
      <w:r w:rsidR="005C3D33" w:rsidRPr="007375D5">
        <w:rPr>
          <w:sz w:val="20"/>
          <w:szCs w:val="20"/>
        </w:rPr>
        <w:t xml:space="preserve">performance </w:t>
      </w:r>
      <w:r w:rsidR="00776F00">
        <w:rPr>
          <w:sz w:val="20"/>
          <w:szCs w:val="20"/>
        </w:rPr>
        <w:t xml:space="preserve">as built </w:t>
      </w:r>
      <w:r w:rsidR="005C3D33" w:rsidRPr="007375D5">
        <w:rPr>
          <w:sz w:val="20"/>
          <w:szCs w:val="20"/>
        </w:rPr>
        <w:t>being greater than that which has been predicted</w:t>
      </w:r>
      <w:r w:rsidR="00CD2562">
        <w:rPr>
          <w:sz w:val="20"/>
          <w:szCs w:val="20"/>
        </w:rPr>
        <w:t xml:space="preserve"> </w:t>
      </w:r>
      <w:r w:rsidR="00CD2562" w:rsidRPr="009B2E29">
        <w:rPr>
          <w:sz w:val="20"/>
          <w:szCs w:val="20"/>
        </w:rPr>
        <w:t>(see Stafford et al., 2</w:t>
      </w:r>
      <w:r w:rsidR="00CD2562">
        <w:rPr>
          <w:sz w:val="20"/>
          <w:szCs w:val="20"/>
        </w:rPr>
        <w:t>012 and Zero Carbon Hub, 2010).</w:t>
      </w:r>
      <w:r w:rsidR="005C3D33" w:rsidRPr="007375D5">
        <w:rPr>
          <w:sz w:val="20"/>
          <w:szCs w:val="20"/>
        </w:rPr>
        <w:t xml:space="preserve"> This discrepancy or </w:t>
      </w:r>
      <w:r w:rsidR="005C3D33" w:rsidRPr="005C3D33">
        <w:rPr>
          <w:i/>
          <w:sz w:val="20"/>
          <w:szCs w:val="20"/>
        </w:rPr>
        <w:t>‘gap’</w:t>
      </w:r>
      <w:r w:rsidR="005C3D33" w:rsidRPr="007375D5">
        <w:rPr>
          <w:sz w:val="20"/>
          <w:szCs w:val="20"/>
        </w:rPr>
        <w:t xml:space="preserve"> in the thermal performance of the building fabric is commonly referred to as the </w:t>
      </w:r>
      <w:r w:rsidR="005C3D33">
        <w:rPr>
          <w:sz w:val="20"/>
          <w:szCs w:val="20"/>
        </w:rPr>
        <w:t>building fabric</w:t>
      </w:r>
      <w:r w:rsidR="001D78A9">
        <w:rPr>
          <w:sz w:val="20"/>
          <w:szCs w:val="20"/>
        </w:rPr>
        <w:t xml:space="preserve"> thermal</w:t>
      </w:r>
      <w:r w:rsidR="005C3D33">
        <w:rPr>
          <w:sz w:val="20"/>
          <w:szCs w:val="20"/>
        </w:rPr>
        <w:t xml:space="preserve"> </w:t>
      </w:r>
      <w:r w:rsidR="005C3D33" w:rsidRPr="005C3D33">
        <w:rPr>
          <w:i/>
          <w:sz w:val="20"/>
          <w:szCs w:val="20"/>
        </w:rPr>
        <w:t>‘performance gap’</w:t>
      </w:r>
      <w:r w:rsidR="005C3D33">
        <w:rPr>
          <w:sz w:val="20"/>
          <w:szCs w:val="20"/>
        </w:rPr>
        <w:t xml:space="preserve">. </w:t>
      </w:r>
      <w:r w:rsidR="001F3CA3">
        <w:rPr>
          <w:sz w:val="20"/>
          <w:szCs w:val="20"/>
        </w:rPr>
        <w:t>This is just one of a number of</w:t>
      </w:r>
      <w:r w:rsidR="00EC418B">
        <w:rPr>
          <w:sz w:val="20"/>
          <w:szCs w:val="20"/>
        </w:rPr>
        <w:t xml:space="preserve"> ‘performance gaps’ </w:t>
      </w:r>
      <w:r w:rsidR="001F3CA3">
        <w:rPr>
          <w:sz w:val="20"/>
          <w:szCs w:val="20"/>
        </w:rPr>
        <w:t xml:space="preserve">that can exist in buildings. Others relate to the </w:t>
      </w:r>
      <w:r w:rsidR="001F3CA3" w:rsidRPr="001F3CA3">
        <w:rPr>
          <w:sz w:val="20"/>
          <w:szCs w:val="20"/>
        </w:rPr>
        <w:t xml:space="preserve">energy performance of the building services </w:t>
      </w:r>
      <w:r w:rsidR="001F3CA3">
        <w:rPr>
          <w:sz w:val="20"/>
          <w:szCs w:val="20"/>
        </w:rPr>
        <w:t xml:space="preserve">and energy supply systems and </w:t>
      </w:r>
      <w:r w:rsidR="001F3CA3" w:rsidRPr="001F3CA3">
        <w:rPr>
          <w:sz w:val="20"/>
          <w:szCs w:val="20"/>
        </w:rPr>
        <w:t>occupancy.</w:t>
      </w:r>
    </w:p>
    <w:p w:rsidR="00062311" w:rsidRDefault="00062311" w:rsidP="005C3D33">
      <w:pPr>
        <w:spacing w:line="360" w:lineRule="auto"/>
        <w:rPr>
          <w:sz w:val="20"/>
          <w:szCs w:val="20"/>
        </w:rPr>
      </w:pPr>
    </w:p>
    <w:p w:rsidR="004A2470" w:rsidRPr="009B07E5" w:rsidRDefault="00776F00" w:rsidP="00477431">
      <w:pPr>
        <w:spacing w:line="360" w:lineRule="auto"/>
      </w:pPr>
      <w:r>
        <w:rPr>
          <w:sz w:val="20"/>
          <w:szCs w:val="20"/>
        </w:rPr>
        <w:t xml:space="preserve">The existence of </w:t>
      </w:r>
      <w:r w:rsidR="00EC418B">
        <w:rPr>
          <w:sz w:val="20"/>
          <w:szCs w:val="20"/>
        </w:rPr>
        <w:t>the building fabric thermal</w:t>
      </w:r>
      <w:r>
        <w:rPr>
          <w:sz w:val="20"/>
          <w:szCs w:val="20"/>
        </w:rPr>
        <w:t xml:space="preserve"> </w:t>
      </w:r>
      <w:r w:rsidRPr="00776F00">
        <w:rPr>
          <w:i/>
          <w:sz w:val="20"/>
          <w:szCs w:val="20"/>
        </w:rPr>
        <w:t>‘performance gap’</w:t>
      </w:r>
      <w:r>
        <w:rPr>
          <w:sz w:val="20"/>
          <w:szCs w:val="20"/>
        </w:rPr>
        <w:t xml:space="preserve"> is not a new phenomenon</w:t>
      </w:r>
      <w:r w:rsidR="001D78A9">
        <w:rPr>
          <w:sz w:val="20"/>
          <w:szCs w:val="20"/>
        </w:rPr>
        <w:t>, although it is rarely understood</w:t>
      </w:r>
      <w:r>
        <w:rPr>
          <w:sz w:val="20"/>
          <w:szCs w:val="20"/>
        </w:rPr>
        <w:t xml:space="preserve">. </w:t>
      </w:r>
      <w:r w:rsidR="004904F7">
        <w:rPr>
          <w:sz w:val="20"/>
          <w:szCs w:val="20"/>
        </w:rPr>
        <w:t xml:space="preserve">At the scale of individual building elements, </w:t>
      </w:r>
      <w:r w:rsidR="004904F7">
        <w:rPr>
          <w:i/>
          <w:sz w:val="20"/>
          <w:szCs w:val="20"/>
        </w:rPr>
        <w:t>i</w:t>
      </w:r>
      <w:r w:rsidRPr="001B3216">
        <w:rPr>
          <w:i/>
          <w:sz w:val="20"/>
          <w:szCs w:val="20"/>
        </w:rPr>
        <w:t>n situ</w:t>
      </w:r>
      <w:r>
        <w:rPr>
          <w:sz w:val="20"/>
          <w:szCs w:val="20"/>
        </w:rPr>
        <w:t xml:space="preserve"> </w:t>
      </w:r>
      <w:r w:rsidR="00B35ABA">
        <w:rPr>
          <w:sz w:val="20"/>
          <w:szCs w:val="20"/>
        </w:rPr>
        <w:t xml:space="preserve">U-value </w:t>
      </w:r>
      <w:r>
        <w:rPr>
          <w:sz w:val="20"/>
          <w:szCs w:val="20"/>
        </w:rPr>
        <w:lastRenderedPageBreak/>
        <w:t>measurements</w:t>
      </w:r>
      <w:r w:rsidR="00B35ABA">
        <w:rPr>
          <w:sz w:val="20"/>
          <w:szCs w:val="20"/>
        </w:rPr>
        <w:t xml:space="preserve"> undertaken on </w:t>
      </w:r>
      <w:r w:rsidR="001B638C">
        <w:rPr>
          <w:sz w:val="20"/>
          <w:szCs w:val="20"/>
        </w:rPr>
        <w:t xml:space="preserve">various </w:t>
      </w:r>
      <w:r w:rsidR="002072EC">
        <w:rPr>
          <w:sz w:val="20"/>
          <w:szCs w:val="20"/>
        </w:rPr>
        <w:t xml:space="preserve">different </w:t>
      </w:r>
      <w:r w:rsidR="00B35ABA">
        <w:rPr>
          <w:sz w:val="20"/>
          <w:szCs w:val="20"/>
        </w:rPr>
        <w:t xml:space="preserve">external walls by </w:t>
      </w:r>
      <w:r w:rsidR="00C14AD5">
        <w:rPr>
          <w:sz w:val="20"/>
          <w:szCs w:val="20"/>
        </w:rPr>
        <w:t xml:space="preserve">Bankvall (1978), </w:t>
      </w:r>
      <w:r w:rsidR="002072EC">
        <w:rPr>
          <w:sz w:val="20"/>
          <w:szCs w:val="20"/>
        </w:rPr>
        <w:t>Lecompte (1990)</w:t>
      </w:r>
      <w:r w:rsidR="00C14AD5">
        <w:rPr>
          <w:sz w:val="20"/>
          <w:szCs w:val="20"/>
        </w:rPr>
        <w:t xml:space="preserve">, </w:t>
      </w:r>
      <w:r w:rsidR="00B35ABA">
        <w:rPr>
          <w:sz w:val="20"/>
          <w:szCs w:val="20"/>
        </w:rPr>
        <w:t>Doran (2001</w:t>
      </w:r>
      <w:r w:rsidR="004F076B">
        <w:rPr>
          <w:sz w:val="20"/>
          <w:szCs w:val="20"/>
        </w:rPr>
        <w:t>)</w:t>
      </w:r>
      <w:r w:rsidR="00C14AD5">
        <w:rPr>
          <w:sz w:val="20"/>
          <w:szCs w:val="20"/>
        </w:rPr>
        <w:t xml:space="preserve">, Hens </w:t>
      </w:r>
      <w:r w:rsidR="00C14AD5" w:rsidRPr="00C14AD5">
        <w:rPr>
          <w:i/>
          <w:sz w:val="20"/>
          <w:szCs w:val="20"/>
        </w:rPr>
        <w:t>et al.</w:t>
      </w:r>
      <w:r w:rsidR="00C14AD5">
        <w:rPr>
          <w:sz w:val="20"/>
          <w:szCs w:val="20"/>
        </w:rPr>
        <w:t xml:space="preserve"> (2001</w:t>
      </w:r>
      <w:r w:rsidR="002B66B7">
        <w:rPr>
          <w:sz w:val="20"/>
          <w:szCs w:val="20"/>
        </w:rPr>
        <w:t xml:space="preserve"> &amp; </w:t>
      </w:r>
      <w:r w:rsidR="00B35ABA">
        <w:rPr>
          <w:sz w:val="20"/>
          <w:szCs w:val="20"/>
        </w:rPr>
        <w:t>2007)</w:t>
      </w:r>
      <w:r w:rsidR="001B638C">
        <w:rPr>
          <w:sz w:val="20"/>
          <w:szCs w:val="20"/>
        </w:rPr>
        <w:t xml:space="preserve">, </w:t>
      </w:r>
      <w:r w:rsidR="001B3216">
        <w:rPr>
          <w:sz w:val="20"/>
          <w:szCs w:val="20"/>
        </w:rPr>
        <w:t>Doran &amp; Carr (2008</w:t>
      </w:r>
      <w:r w:rsidR="004F076B">
        <w:rPr>
          <w:sz w:val="20"/>
          <w:szCs w:val="20"/>
        </w:rPr>
        <w:t>)</w:t>
      </w:r>
      <w:r w:rsidR="00916059">
        <w:rPr>
          <w:sz w:val="20"/>
          <w:szCs w:val="20"/>
        </w:rPr>
        <w:t xml:space="preserve"> </w:t>
      </w:r>
      <w:r w:rsidR="00916059" w:rsidRPr="005C3D33">
        <w:rPr>
          <w:sz w:val="20"/>
          <w:szCs w:val="20"/>
        </w:rPr>
        <w:t>found that the U</w:t>
      </w:r>
      <w:r w:rsidR="0054346B">
        <w:rPr>
          <w:sz w:val="20"/>
          <w:szCs w:val="20"/>
        </w:rPr>
        <w:t>-</w:t>
      </w:r>
      <w:r w:rsidR="00916059" w:rsidRPr="005C3D33">
        <w:rPr>
          <w:sz w:val="20"/>
          <w:szCs w:val="20"/>
        </w:rPr>
        <w:t xml:space="preserve">values </w:t>
      </w:r>
      <w:r w:rsidR="00916059">
        <w:rPr>
          <w:sz w:val="20"/>
          <w:szCs w:val="20"/>
        </w:rPr>
        <w:t xml:space="preserve">measured in the field were often higher than those expected when compared to their calculated equivalents. </w:t>
      </w:r>
      <w:r w:rsidR="00477431">
        <w:rPr>
          <w:sz w:val="20"/>
          <w:szCs w:val="20"/>
        </w:rPr>
        <w:t>A</w:t>
      </w:r>
      <w:r w:rsidR="004904F7">
        <w:rPr>
          <w:sz w:val="20"/>
          <w:szCs w:val="20"/>
        </w:rPr>
        <w:t>t the whole building</w:t>
      </w:r>
      <w:r w:rsidR="006A7411">
        <w:rPr>
          <w:sz w:val="20"/>
          <w:szCs w:val="20"/>
        </w:rPr>
        <w:t xml:space="preserve"> scale</w:t>
      </w:r>
      <w:r w:rsidR="004904F7">
        <w:rPr>
          <w:sz w:val="20"/>
          <w:szCs w:val="20"/>
        </w:rPr>
        <w:t xml:space="preserve">, </w:t>
      </w:r>
      <w:r w:rsidR="006A7411">
        <w:rPr>
          <w:sz w:val="20"/>
          <w:szCs w:val="20"/>
        </w:rPr>
        <w:t>recent field measurements undert</w:t>
      </w:r>
      <w:r w:rsidR="004A2470">
        <w:rPr>
          <w:sz w:val="20"/>
          <w:szCs w:val="20"/>
        </w:rPr>
        <w:t>aken</w:t>
      </w:r>
      <w:r w:rsidR="006A7411">
        <w:rPr>
          <w:sz w:val="20"/>
          <w:szCs w:val="20"/>
        </w:rPr>
        <w:t xml:space="preserve"> </w:t>
      </w:r>
      <w:r w:rsidR="00477431">
        <w:rPr>
          <w:sz w:val="20"/>
          <w:szCs w:val="20"/>
        </w:rPr>
        <w:t xml:space="preserve">on whole dwelling heat loss </w:t>
      </w:r>
      <w:r w:rsidR="006A7411">
        <w:rPr>
          <w:sz w:val="20"/>
          <w:szCs w:val="20"/>
        </w:rPr>
        <w:t xml:space="preserve">have illustrated that there can be a </w:t>
      </w:r>
      <w:r w:rsidR="001B638C">
        <w:rPr>
          <w:sz w:val="20"/>
          <w:szCs w:val="20"/>
        </w:rPr>
        <w:t>large gap between the measured and the predicted thermal performance of the whole building envelope, and in some cases</w:t>
      </w:r>
      <w:r w:rsidR="004A2470">
        <w:rPr>
          <w:sz w:val="20"/>
          <w:szCs w:val="20"/>
        </w:rPr>
        <w:t>,</w:t>
      </w:r>
      <w:r w:rsidR="001B638C">
        <w:rPr>
          <w:sz w:val="20"/>
          <w:szCs w:val="20"/>
        </w:rPr>
        <w:t xml:space="preserve"> this difference can be greater than 100% (</w:t>
      </w:r>
      <w:r w:rsidR="00477431" w:rsidRPr="00E82587">
        <w:rPr>
          <w:sz w:val="20"/>
          <w:szCs w:val="20"/>
        </w:rPr>
        <w:t xml:space="preserve">see </w:t>
      </w:r>
      <w:r w:rsidR="004A2470">
        <w:rPr>
          <w:sz w:val="20"/>
          <w:szCs w:val="20"/>
        </w:rPr>
        <w:t xml:space="preserve">Stafford </w:t>
      </w:r>
      <w:r w:rsidR="004A2470" w:rsidRPr="004A2470">
        <w:rPr>
          <w:i/>
          <w:sz w:val="20"/>
          <w:szCs w:val="20"/>
        </w:rPr>
        <w:t>et al.</w:t>
      </w:r>
      <w:r w:rsidR="004A2470">
        <w:rPr>
          <w:sz w:val="20"/>
          <w:szCs w:val="20"/>
        </w:rPr>
        <w:t>, 2012</w:t>
      </w:r>
      <w:r w:rsidR="00524050">
        <w:rPr>
          <w:sz w:val="20"/>
          <w:szCs w:val="20"/>
        </w:rPr>
        <w:t xml:space="preserve"> and Zero Carbon Hub, 2010</w:t>
      </w:r>
      <w:r w:rsidR="004A2470">
        <w:rPr>
          <w:sz w:val="20"/>
          <w:szCs w:val="20"/>
        </w:rPr>
        <w:t>)</w:t>
      </w:r>
      <w:r w:rsidR="00524050">
        <w:rPr>
          <w:sz w:val="20"/>
          <w:szCs w:val="20"/>
        </w:rPr>
        <w:t>.</w:t>
      </w:r>
      <w:r w:rsidR="009B07E5">
        <w:t xml:space="preserve"> </w:t>
      </w:r>
      <w:r w:rsidR="007E5C51" w:rsidRPr="007E5C51">
        <w:rPr>
          <w:sz w:val="20"/>
          <w:szCs w:val="20"/>
        </w:rPr>
        <w:t xml:space="preserve">Clearly, </w:t>
      </w:r>
      <w:r w:rsidR="007E5C51">
        <w:rPr>
          <w:sz w:val="20"/>
          <w:szCs w:val="20"/>
        </w:rPr>
        <w:t xml:space="preserve">differences in the thermal </w:t>
      </w:r>
      <w:r w:rsidR="007E5C51" w:rsidRPr="007E5C51">
        <w:rPr>
          <w:sz w:val="20"/>
          <w:szCs w:val="20"/>
        </w:rPr>
        <w:t xml:space="preserve">performance </w:t>
      </w:r>
      <w:r w:rsidR="007E5C51">
        <w:rPr>
          <w:sz w:val="20"/>
          <w:szCs w:val="20"/>
        </w:rPr>
        <w:t xml:space="preserve">of whole </w:t>
      </w:r>
      <w:r w:rsidR="00BA03B8">
        <w:rPr>
          <w:sz w:val="20"/>
          <w:szCs w:val="20"/>
        </w:rPr>
        <w:t xml:space="preserve">buildings </w:t>
      </w:r>
      <w:r w:rsidR="00445587">
        <w:rPr>
          <w:sz w:val="20"/>
          <w:szCs w:val="20"/>
        </w:rPr>
        <w:t xml:space="preserve">of this </w:t>
      </w:r>
      <w:r w:rsidR="007E5C51" w:rsidRPr="007E5C51">
        <w:rPr>
          <w:sz w:val="20"/>
          <w:szCs w:val="20"/>
        </w:rPr>
        <w:t>order of magnitude will have a significant impact on the dwellings associated energy use and CO</w:t>
      </w:r>
      <w:r w:rsidR="007E5C51" w:rsidRPr="009B07E5">
        <w:rPr>
          <w:sz w:val="20"/>
          <w:szCs w:val="20"/>
          <w:vertAlign w:val="subscript"/>
        </w:rPr>
        <w:t>2</w:t>
      </w:r>
      <w:r w:rsidR="007E5C51" w:rsidRPr="007E5C51">
        <w:rPr>
          <w:sz w:val="20"/>
          <w:szCs w:val="20"/>
        </w:rPr>
        <w:t xml:space="preserve"> emissions, and it is highly probable that they could also have a detrimental impact on occupant thermal comfort.</w:t>
      </w:r>
    </w:p>
    <w:p w:rsidR="00062311" w:rsidRDefault="00062311" w:rsidP="00A442E4">
      <w:pPr>
        <w:spacing w:line="360" w:lineRule="auto"/>
        <w:rPr>
          <w:sz w:val="20"/>
          <w:szCs w:val="20"/>
        </w:rPr>
      </w:pPr>
    </w:p>
    <w:p w:rsidR="00387143" w:rsidRDefault="00AE4772" w:rsidP="00A442E4">
      <w:pPr>
        <w:spacing w:line="360" w:lineRule="auto"/>
        <w:rPr>
          <w:sz w:val="20"/>
          <w:szCs w:val="20"/>
        </w:rPr>
      </w:pPr>
      <w:r>
        <w:rPr>
          <w:sz w:val="20"/>
          <w:szCs w:val="20"/>
        </w:rPr>
        <w:t xml:space="preserve">It is also important to realise that </w:t>
      </w:r>
      <w:r w:rsidR="00477431">
        <w:rPr>
          <w:sz w:val="20"/>
          <w:szCs w:val="20"/>
        </w:rPr>
        <w:t xml:space="preserve">dwellings in the UK tend to have </w:t>
      </w:r>
      <w:r w:rsidR="00477431" w:rsidRPr="00E82587">
        <w:rPr>
          <w:sz w:val="20"/>
          <w:szCs w:val="20"/>
        </w:rPr>
        <w:t>long physical lifetimes</w:t>
      </w:r>
      <w:r w:rsidR="00477431">
        <w:rPr>
          <w:sz w:val="20"/>
          <w:szCs w:val="20"/>
        </w:rPr>
        <w:t>, particularly in comparison to other building types,</w:t>
      </w:r>
      <w:r w:rsidR="00477431" w:rsidRPr="00E82587">
        <w:rPr>
          <w:sz w:val="20"/>
          <w:szCs w:val="20"/>
        </w:rPr>
        <w:t xml:space="preserve"> and </w:t>
      </w:r>
      <w:r w:rsidR="00477431">
        <w:rPr>
          <w:sz w:val="20"/>
          <w:szCs w:val="20"/>
        </w:rPr>
        <w:t>domestic demolition rates are currently very low at approximately</w:t>
      </w:r>
      <w:r w:rsidR="00477431" w:rsidRPr="008B7A88">
        <w:rPr>
          <w:sz w:val="20"/>
          <w:szCs w:val="20"/>
        </w:rPr>
        <w:t xml:space="preserve"> 20,000 dwellings per year (DCLG, 2008).</w:t>
      </w:r>
      <w:r w:rsidR="00477431">
        <w:rPr>
          <w:sz w:val="20"/>
          <w:szCs w:val="20"/>
        </w:rPr>
        <w:t xml:space="preserve"> </w:t>
      </w:r>
      <w:r w:rsidR="009B07E5">
        <w:rPr>
          <w:sz w:val="20"/>
          <w:szCs w:val="20"/>
        </w:rPr>
        <w:t>Consequently, i</w:t>
      </w:r>
      <w:r w:rsidR="00477431">
        <w:rPr>
          <w:sz w:val="20"/>
          <w:szCs w:val="20"/>
        </w:rPr>
        <w:t xml:space="preserve">t is estimated that somewhere between 80-85% of all of the dwellings that are currently built and standing today, will still be standing and lived </w:t>
      </w:r>
      <w:r w:rsidR="007E5C51">
        <w:rPr>
          <w:sz w:val="20"/>
          <w:szCs w:val="20"/>
        </w:rPr>
        <w:t xml:space="preserve">in </w:t>
      </w:r>
      <w:r w:rsidR="00477431">
        <w:rPr>
          <w:sz w:val="20"/>
          <w:szCs w:val="20"/>
        </w:rPr>
        <w:t>by the middle of this century</w:t>
      </w:r>
      <w:r w:rsidR="00703DD7">
        <w:rPr>
          <w:sz w:val="20"/>
          <w:szCs w:val="20"/>
        </w:rPr>
        <w:t xml:space="preserve"> (Boardman, 2007 &amp; Killip, 2008)</w:t>
      </w:r>
      <w:r w:rsidR="00477431">
        <w:rPr>
          <w:sz w:val="20"/>
          <w:szCs w:val="20"/>
        </w:rPr>
        <w:t>.</w:t>
      </w:r>
      <w:r w:rsidR="00387143">
        <w:rPr>
          <w:sz w:val="20"/>
          <w:szCs w:val="20"/>
        </w:rPr>
        <w:t xml:space="preserve"> T</w:t>
      </w:r>
      <w:r w:rsidR="00445587">
        <w:rPr>
          <w:sz w:val="20"/>
          <w:szCs w:val="20"/>
        </w:rPr>
        <w:t>herefore</w:t>
      </w:r>
      <w:r w:rsidR="00387143">
        <w:rPr>
          <w:sz w:val="20"/>
          <w:szCs w:val="20"/>
        </w:rPr>
        <w:t>,</w:t>
      </w:r>
      <w:r w:rsidR="00445587">
        <w:rPr>
          <w:sz w:val="20"/>
          <w:szCs w:val="20"/>
        </w:rPr>
        <w:t xml:space="preserve"> </w:t>
      </w:r>
      <w:r w:rsidR="00387143">
        <w:rPr>
          <w:sz w:val="20"/>
          <w:szCs w:val="20"/>
        </w:rPr>
        <w:t xml:space="preserve">if we do not begin to address the issues associated with the building fabric thermal </w:t>
      </w:r>
      <w:r w:rsidR="00387143" w:rsidRPr="00387143">
        <w:rPr>
          <w:i/>
          <w:sz w:val="20"/>
          <w:szCs w:val="20"/>
        </w:rPr>
        <w:t>‘performance gap’</w:t>
      </w:r>
      <w:r w:rsidR="00387143">
        <w:rPr>
          <w:sz w:val="20"/>
          <w:szCs w:val="20"/>
        </w:rPr>
        <w:t xml:space="preserve">, then </w:t>
      </w:r>
      <w:r w:rsidR="00387143" w:rsidRPr="00387143">
        <w:rPr>
          <w:sz w:val="20"/>
          <w:szCs w:val="20"/>
        </w:rPr>
        <w:t xml:space="preserve">there is a risk that we will </w:t>
      </w:r>
      <w:r w:rsidR="00703DD7">
        <w:rPr>
          <w:sz w:val="20"/>
          <w:szCs w:val="20"/>
        </w:rPr>
        <w:t xml:space="preserve">end up constructing dwellings with poor levels of building fabric thermal performance that will </w:t>
      </w:r>
      <w:r w:rsidR="00CD2562">
        <w:rPr>
          <w:sz w:val="20"/>
          <w:szCs w:val="20"/>
        </w:rPr>
        <w:t xml:space="preserve">be </w:t>
      </w:r>
      <w:r w:rsidR="00703DD7">
        <w:rPr>
          <w:sz w:val="20"/>
          <w:szCs w:val="20"/>
        </w:rPr>
        <w:t xml:space="preserve">standing and lived in for </w:t>
      </w:r>
      <w:r w:rsidR="00387143" w:rsidRPr="00387143">
        <w:rPr>
          <w:sz w:val="20"/>
          <w:szCs w:val="20"/>
        </w:rPr>
        <w:t>generations to come.</w:t>
      </w:r>
    </w:p>
    <w:p w:rsidR="00D1748D" w:rsidRDefault="00D1748D" w:rsidP="00A442E4">
      <w:pPr>
        <w:spacing w:line="360" w:lineRule="auto"/>
        <w:rPr>
          <w:sz w:val="20"/>
          <w:szCs w:val="20"/>
        </w:rPr>
      </w:pPr>
    </w:p>
    <w:p w:rsidR="00387143" w:rsidRDefault="00D1748D" w:rsidP="00A442E4">
      <w:pPr>
        <w:spacing w:line="360" w:lineRule="auto"/>
        <w:rPr>
          <w:sz w:val="20"/>
          <w:szCs w:val="20"/>
        </w:rPr>
      </w:pPr>
      <w:r>
        <w:rPr>
          <w:sz w:val="20"/>
          <w:szCs w:val="20"/>
        </w:rPr>
        <w:t xml:space="preserve">Set within this context, this paper </w:t>
      </w:r>
      <w:r w:rsidR="00062311" w:rsidRPr="00062311">
        <w:rPr>
          <w:sz w:val="20"/>
          <w:szCs w:val="20"/>
        </w:rPr>
        <w:t xml:space="preserve">presents the results and key messages that have been obtained from undertaking a </w:t>
      </w:r>
      <w:r w:rsidR="00062311">
        <w:rPr>
          <w:sz w:val="20"/>
          <w:szCs w:val="20"/>
        </w:rPr>
        <w:t xml:space="preserve">whole building </w:t>
      </w:r>
      <w:r w:rsidR="00160067">
        <w:rPr>
          <w:sz w:val="20"/>
          <w:szCs w:val="20"/>
        </w:rPr>
        <w:t xml:space="preserve">heat loss </w:t>
      </w:r>
      <w:r w:rsidR="00062311">
        <w:rPr>
          <w:sz w:val="20"/>
          <w:szCs w:val="20"/>
        </w:rPr>
        <w:t>test</w:t>
      </w:r>
      <w:r w:rsidR="00160067">
        <w:rPr>
          <w:sz w:val="20"/>
          <w:szCs w:val="20"/>
        </w:rPr>
        <w:t xml:space="preserve">, </w:t>
      </w:r>
      <w:r w:rsidR="00CD2562">
        <w:rPr>
          <w:sz w:val="20"/>
          <w:szCs w:val="20"/>
        </w:rPr>
        <w:t xml:space="preserve">known as </w:t>
      </w:r>
      <w:r w:rsidR="00160067">
        <w:rPr>
          <w:sz w:val="20"/>
          <w:szCs w:val="20"/>
        </w:rPr>
        <w:t xml:space="preserve">a </w:t>
      </w:r>
      <w:r w:rsidR="00160067" w:rsidRPr="00743BEC">
        <w:rPr>
          <w:sz w:val="20"/>
          <w:szCs w:val="20"/>
        </w:rPr>
        <w:t>coheating</w:t>
      </w:r>
      <w:r w:rsidR="00160067">
        <w:rPr>
          <w:sz w:val="20"/>
          <w:szCs w:val="20"/>
        </w:rPr>
        <w:t xml:space="preserve"> test,</w:t>
      </w:r>
      <w:r w:rsidR="00703DD7">
        <w:rPr>
          <w:sz w:val="20"/>
          <w:szCs w:val="20"/>
        </w:rPr>
        <w:t xml:space="preserve"> </w:t>
      </w:r>
      <w:r w:rsidR="00062311" w:rsidRPr="00062311">
        <w:rPr>
          <w:sz w:val="20"/>
          <w:szCs w:val="20"/>
        </w:rPr>
        <w:t>on a small number of case study dwellings in the UK, and compa</w:t>
      </w:r>
      <w:r w:rsidR="00703DD7">
        <w:rPr>
          <w:sz w:val="20"/>
          <w:szCs w:val="20"/>
        </w:rPr>
        <w:t>re</w:t>
      </w:r>
      <w:r w:rsidR="00160067">
        <w:rPr>
          <w:sz w:val="20"/>
          <w:szCs w:val="20"/>
        </w:rPr>
        <w:t>s the results</w:t>
      </w:r>
      <w:r w:rsidR="00703DD7">
        <w:rPr>
          <w:sz w:val="20"/>
          <w:szCs w:val="20"/>
        </w:rPr>
        <w:t xml:space="preserve"> to a larger UK data set</w:t>
      </w:r>
      <w:r w:rsidR="00062311" w:rsidRPr="00062311">
        <w:rPr>
          <w:sz w:val="20"/>
          <w:szCs w:val="20"/>
        </w:rPr>
        <w:t>.</w:t>
      </w:r>
    </w:p>
    <w:p w:rsidR="00703DD7" w:rsidRDefault="00703DD7" w:rsidP="00A442E4">
      <w:pPr>
        <w:spacing w:line="360" w:lineRule="auto"/>
        <w:rPr>
          <w:sz w:val="20"/>
          <w:szCs w:val="20"/>
        </w:rPr>
      </w:pPr>
    </w:p>
    <w:p w:rsidR="00EC4047" w:rsidRPr="001B638C" w:rsidRDefault="00A97BBB" w:rsidP="00A442E4">
      <w:pPr>
        <w:spacing w:line="360" w:lineRule="auto"/>
        <w:rPr>
          <w:b/>
          <w:sz w:val="20"/>
          <w:szCs w:val="20"/>
        </w:rPr>
      </w:pPr>
      <w:r>
        <w:rPr>
          <w:b/>
          <w:sz w:val="20"/>
          <w:szCs w:val="20"/>
        </w:rPr>
        <w:t xml:space="preserve">2. </w:t>
      </w:r>
      <w:r w:rsidR="001B638C" w:rsidRPr="001B638C">
        <w:rPr>
          <w:b/>
          <w:sz w:val="20"/>
          <w:szCs w:val="20"/>
        </w:rPr>
        <w:t>The test method</w:t>
      </w:r>
    </w:p>
    <w:p w:rsidR="00616BD0" w:rsidRPr="00AC782B" w:rsidRDefault="00616BD0" w:rsidP="000D4FE8">
      <w:pPr>
        <w:spacing w:line="360" w:lineRule="auto"/>
        <w:rPr>
          <w:sz w:val="20"/>
          <w:szCs w:val="20"/>
        </w:rPr>
      </w:pPr>
      <w:r>
        <w:rPr>
          <w:sz w:val="20"/>
          <w:szCs w:val="20"/>
        </w:rPr>
        <w:t>A range of techniques are available that are capabl</w:t>
      </w:r>
      <w:r w:rsidR="00AB6646">
        <w:rPr>
          <w:sz w:val="20"/>
          <w:szCs w:val="20"/>
        </w:rPr>
        <w:t xml:space="preserve">e of measuring various different </w:t>
      </w:r>
      <w:r w:rsidR="00AB6646" w:rsidRPr="00AB6646">
        <w:rPr>
          <w:sz w:val="20"/>
          <w:szCs w:val="20"/>
        </w:rPr>
        <w:t xml:space="preserve">aspects </w:t>
      </w:r>
      <w:r w:rsidR="00256CCE">
        <w:rPr>
          <w:sz w:val="20"/>
          <w:szCs w:val="20"/>
        </w:rPr>
        <w:t>of</w:t>
      </w:r>
      <w:r w:rsidR="00AB6646">
        <w:rPr>
          <w:sz w:val="20"/>
          <w:szCs w:val="20"/>
        </w:rPr>
        <w:t xml:space="preserve"> the </w:t>
      </w:r>
      <w:r w:rsidR="00256CCE">
        <w:rPr>
          <w:sz w:val="20"/>
          <w:szCs w:val="20"/>
        </w:rPr>
        <w:t xml:space="preserve">energy and thermal </w:t>
      </w:r>
      <w:r w:rsidR="00AB6646">
        <w:rPr>
          <w:sz w:val="20"/>
          <w:szCs w:val="20"/>
        </w:rPr>
        <w:t xml:space="preserve">performance </w:t>
      </w:r>
      <w:r w:rsidR="00AB6646" w:rsidRPr="00AB6646">
        <w:rPr>
          <w:sz w:val="20"/>
          <w:szCs w:val="20"/>
        </w:rPr>
        <w:t xml:space="preserve">of the building fabric once constructed. </w:t>
      </w:r>
      <w:r w:rsidR="000D4FE8">
        <w:rPr>
          <w:sz w:val="20"/>
          <w:szCs w:val="20"/>
        </w:rPr>
        <w:t xml:space="preserve">The majority of the techniques available are only </w:t>
      </w:r>
      <w:r w:rsidR="000D4FE8" w:rsidRPr="002F0314">
        <w:rPr>
          <w:sz w:val="20"/>
          <w:szCs w:val="20"/>
        </w:rPr>
        <w:t>capable of measuring a particular aspect of the thermal perform</w:t>
      </w:r>
      <w:r w:rsidR="000D4FE8">
        <w:rPr>
          <w:sz w:val="20"/>
          <w:szCs w:val="20"/>
        </w:rPr>
        <w:t xml:space="preserve">ance of a whole building, such as the </w:t>
      </w:r>
      <w:r w:rsidR="0054346B">
        <w:rPr>
          <w:sz w:val="20"/>
          <w:szCs w:val="20"/>
        </w:rPr>
        <w:t xml:space="preserve">rate </w:t>
      </w:r>
      <w:r w:rsidR="000D4FE8">
        <w:rPr>
          <w:sz w:val="20"/>
          <w:szCs w:val="20"/>
        </w:rPr>
        <w:t xml:space="preserve">of heat flux through an external wall, so tend to disaggregate heat loss in to its constituent components. These techniques include </w:t>
      </w:r>
      <w:r w:rsidR="000D4FE8" w:rsidRPr="002F0314">
        <w:rPr>
          <w:sz w:val="20"/>
          <w:szCs w:val="20"/>
        </w:rPr>
        <w:t>pressurisation testing, leakage detection, heat flux measurement, thermal imaging, tracer gas measurement, cavity temperature measurement, air flow measurement and partial deconstruction of the building envelope.</w:t>
      </w:r>
      <w:r w:rsidR="00406FE8">
        <w:rPr>
          <w:sz w:val="20"/>
          <w:szCs w:val="20"/>
        </w:rPr>
        <w:t xml:space="preserve"> In addition to these disaggregate techniques, a</w:t>
      </w:r>
      <w:r w:rsidR="000D4FE8">
        <w:rPr>
          <w:sz w:val="20"/>
          <w:szCs w:val="20"/>
        </w:rPr>
        <w:t xml:space="preserve"> limited number of </w:t>
      </w:r>
      <w:r w:rsidR="0086648C">
        <w:rPr>
          <w:sz w:val="20"/>
          <w:szCs w:val="20"/>
        </w:rPr>
        <w:t xml:space="preserve">aggregate </w:t>
      </w:r>
      <w:r w:rsidR="000D4FE8">
        <w:rPr>
          <w:sz w:val="20"/>
          <w:szCs w:val="20"/>
        </w:rPr>
        <w:t xml:space="preserve">techniques </w:t>
      </w:r>
      <w:r w:rsidR="00406FE8">
        <w:rPr>
          <w:sz w:val="20"/>
          <w:szCs w:val="20"/>
        </w:rPr>
        <w:t xml:space="preserve">also </w:t>
      </w:r>
      <w:r w:rsidR="0086648C">
        <w:rPr>
          <w:sz w:val="20"/>
          <w:szCs w:val="20"/>
        </w:rPr>
        <w:t xml:space="preserve">exist </w:t>
      </w:r>
      <w:r w:rsidR="000D4FE8">
        <w:rPr>
          <w:sz w:val="20"/>
          <w:szCs w:val="20"/>
        </w:rPr>
        <w:t xml:space="preserve">that are capable of measuring the heat loss attributable to an entire building. </w:t>
      </w:r>
      <w:r w:rsidR="009B30F4">
        <w:rPr>
          <w:sz w:val="20"/>
          <w:szCs w:val="20"/>
        </w:rPr>
        <w:t xml:space="preserve">These </w:t>
      </w:r>
      <w:r w:rsidR="000D4FE8">
        <w:rPr>
          <w:sz w:val="20"/>
          <w:szCs w:val="20"/>
        </w:rPr>
        <w:t xml:space="preserve">include </w:t>
      </w:r>
      <w:r w:rsidR="009B30F4">
        <w:rPr>
          <w:sz w:val="20"/>
          <w:szCs w:val="20"/>
        </w:rPr>
        <w:t xml:space="preserve">the </w:t>
      </w:r>
      <w:r w:rsidR="000D4FE8" w:rsidRPr="000D4FE8">
        <w:rPr>
          <w:sz w:val="20"/>
          <w:szCs w:val="20"/>
        </w:rPr>
        <w:t xml:space="preserve">Primary and Secondary Terms-Analysis and </w:t>
      </w:r>
      <w:r w:rsidR="000D4FE8">
        <w:rPr>
          <w:sz w:val="20"/>
          <w:szCs w:val="20"/>
        </w:rPr>
        <w:t>Renormalization (PSTAR)</w:t>
      </w:r>
      <w:r w:rsidR="009B30F4">
        <w:rPr>
          <w:sz w:val="20"/>
          <w:szCs w:val="20"/>
        </w:rPr>
        <w:t xml:space="preserve"> method </w:t>
      </w:r>
      <w:r w:rsidR="000D4FE8">
        <w:rPr>
          <w:sz w:val="20"/>
          <w:szCs w:val="20"/>
        </w:rPr>
        <w:t>(</w:t>
      </w:r>
      <w:r w:rsidR="009B30F4">
        <w:rPr>
          <w:sz w:val="20"/>
          <w:szCs w:val="20"/>
        </w:rPr>
        <w:t>Subbaro, 1988</w:t>
      </w:r>
      <w:r w:rsidR="005D159F">
        <w:rPr>
          <w:sz w:val="20"/>
          <w:szCs w:val="20"/>
        </w:rPr>
        <w:t xml:space="preserve"> &amp; Subbaro </w:t>
      </w:r>
      <w:r w:rsidR="005D159F" w:rsidRPr="005D159F">
        <w:rPr>
          <w:i/>
          <w:sz w:val="20"/>
          <w:szCs w:val="20"/>
        </w:rPr>
        <w:t>et al.</w:t>
      </w:r>
      <w:r w:rsidR="005D159F">
        <w:rPr>
          <w:sz w:val="20"/>
          <w:szCs w:val="20"/>
        </w:rPr>
        <w:t>, 1988</w:t>
      </w:r>
      <w:r w:rsidR="000D4FE8">
        <w:rPr>
          <w:sz w:val="20"/>
          <w:szCs w:val="20"/>
        </w:rPr>
        <w:t>)</w:t>
      </w:r>
      <w:r w:rsidR="001100BC">
        <w:rPr>
          <w:sz w:val="20"/>
          <w:szCs w:val="20"/>
        </w:rPr>
        <w:t xml:space="preserve">, </w:t>
      </w:r>
      <w:r w:rsidR="0086648C">
        <w:rPr>
          <w:sz w:val="20"/>
          <w:szCs w:val="20"/>
        </w:rPr>
        <w:t>ISABELE (</w:t>
      </w:r>
      <w:r w:rsidR="00311843">
        <w:rPr>
          <w:sz w:val="20"/>
          <w:szCs w:val="20"/>
        </w:rPr>
        <w:t>Bouc</w:t>
      </w:r>
      <w:r w:rsidR="004C0075">
        <w:rPr>
          <w:sz w:val="20"/>
          <w:szCs w:val="20"/>
        </w:rPr>
        <w:t>hi</w:t>
      </w:r>
      <w:r w:rsidR="004C0075" w:rsidRPr="004C0075">
        <w:rPr>
          <w:sz w:val="20"/>
          <w:szCs w:val="20"/>
        </w:rPr>
        <w:t>é</w:t>
      </w:r>
      <w:r w:rsidR="00311843">
        <w:rPr>
          <w:sz w:val="20"/>
          <w:szCs w:val="20"/>
        </w:rPr>
        <w:t xml:space="preserve"> </w:t>
      </w:r>
      <w:r w:rsidR="00311843" w:rsidRPr="00311843">
        <w:rPr>
          <w:i/>
          <w:sz w:val="20"/>
          <w:szCs w:val="20"/>
        </w:rPr>
        <w:t>et al.</w:t>
      </w:r>
      <w:r w:rsidR="00311843">
        <w:rPr>
          <w:sz w:val="20"/>
          <w:szCs w:val="20"/>
        </w:rPr>
        <w:t>, 2014</w:t>
      </w:r>
      <w:r w:rsidR="0086648C">
        <w:rPr>
          <w:sz w:val="20"/>
          <w:szCs w:val="20"/>
        </w:rPr>
        <w:t xml:space="preserve">), </w:t>
      </w:r>
      <w:r w:rsidR="009B30F4">
        <w:rPr>
          <w:sz w:val="20"/>
          <w:szCs w:val="20"/>
        </w:rPr>
        <w:t xml:space="preserve">the </w:t>
      </w:r>
      <w:r w:rsidR="000D4FE8" w:rsidRPr="000D4FE8">
        <w:rPr>
          <w:sz w:val="20"/>
          <w:szCs w:val="20"/>
        </w:rPr>
        <w:t>Quick</w:t>
      </w:r>
      <w:r w:rsidR="00406FE8">
        <w:rPr>
          <w:sz w:val="20"/>
          <w:szCs w:val="20"/>
        </w:rPr>
        <w:t xml:space="preserve"> U-value of B</w:t>
      </w:r>
      <w:r w:rsidR="009B30F4">
        <w:rPr>
          <w:sz w:val="20"/>
          <w:szCs w:val="20"/>
        </w:rPr>
        <w:t>uildings (QUB) method (</w:t>
      </w:r>
      <w:r w:rsidR="009B30F4" w:rsidRPr="009B30F4">
        <w:rPr>
          <w:sz w:val="20"/>
          <w:szCs w:val="20"/>
        </w:rPr>
        <w:t>Mangematin</w:t>
      </w:r>
      <w:r w:rsidR="009B30F4">
        <w:rPr>
          <w:sz w:val="20"/>
          <w:szCs w:val="20"/>
        </w:rPr>
        <w:t xml:space="preserve"> </w:t>
      </w:r>
      <w:r w:rsidR="009B30F4" w:rsidRPr="009B30F4">
        <w:rPr>
          <w:i/>
          <w:sz w:val="20"/>
          <w:szCs w:val="20"/>
        </w:rPr>
        <w:t>et al.</w:t>
      </w:r>
      <w:r w:rsidR="009B30F4">
        <w:rPr>
          <w:sz w:val="20"/>
          <w:szCs w:val="20"/>
        </w:rPr>
        <w:t>, 2012</w:t>
      </w:r>
      <w:r w:rsidR="000D4FE8">
        <w:rPr>
          <w:sz w:val="20"/>
          <w:szCs w:val="20"/>
        </w:rPr>
        <w:t xml:space="preserve">) and </w:t>
      </w:r>
      <w:r w:rsidR="009B30F4">
        <w:rPr>
          <w:sz w:val="20"/>
          <w:szCs w:val="20"/>
        </w:rPr>
        <w:t xml:space="preserve">the </w:t>
      </w:r>
      <w:r w:rsidR="000D4FE8">
        <w:rPr>
          <w:sz w:val="20"/>
          <w:szCs w:val="20"/>
        </w:rPr>
        <w:t>coheating test</w:t>
      </w:r>
      <w:r w:rsidR="009B30F4">
        <w:rPr>
          <w:sz w:val="20"/>
          <w:szCs w:val="20"/>
        </w:rPr>
        <w:t xml:space="preserve"> method</w:t>
      </w:r>
      <w:r w:rsidR="000D4FE8">
        <w:rPr>
          <w:sz w:val="20"/>
          <w:szCs w:val="20"/>
        </w:rPr>
        <w:t xml:space="preserve"> (</w:t>
      </w:r>
      <w:r w:rsidR="009B30F4">
        <w:rPr>
          <w:sz w:val="20"/>
          <w:szCs w:val="20"/>
        </w:rPr>
        <w:t xml:space="preserve">Wingfield </w:t>
      </w:r>
      <w:r w:rsidR="009B30F4" w:rsidRPr="009B30F4">
        <w:rPr>
          <w:i/>
          <w:sz w:val="20"/>
          <w:szCs w:val="20"/>
        </w:rPr>
        <w:t>et al.</w:t>
      </w:r>
      <w:r w:rsidR="009B30F4">
        <w:rPr>
          <w:sz w:val="20"/>
          <w:szCs w:val="20"/>
        </w:rPr>
        <w:t xml:space="preserve">, 2010 and Johnston </w:t>
      </w:r>
      <w:r w:rsidR="009B30F4" w:rsidRPr="009B30F4">
        <w:rPr>
          <w:i/>
          <w:sz w:val="20"/>
          <w:szCs w:val="20"/>
        </w:rPr>
        <w:t>et al.</w:t>
      </w:r>
      <w:r w:rsidR="009B30F4">
        <w:rPr>
          <w:sz w:val="20"/>
          <w:szCs w:val="20"/>
        </w:rPr>
        <w:t>, 2013</w:t>
      </w:r>
      <w:r w:rsidR="000D4FE8">
        <w:rPr>
          <w:sz w:val="20"/>
          <w:szCs w:val="20"/>
        </w:rPr>
        <w:t>).</w:t>
      </w:r>
      <w:r w:rsidR="009B30F4" w:rsidRPr="009B30F4">
        <w:rPr>
          <w:sz w:val="20"/>
          <w:szCs w:val="20"/>
        </w:rPr>
        <w:t xml:space="preserve"> </w:t>
      </w:r>
      <w:r w:rsidR="00406FE8">
        <w:rPr>
          <w:sz w:val="20"/>
          <w:szCs w:val="20"/>
        </w:rPr>
        <w:t>Of these methods, t</w:t>
      </w:r>
      <w:r w:rsidR="0086648C">
        <w:rPr>
          <w:sz w:val="20"/>
          <w:szCs w:val="20"/>
        </w:rPr>
        <w:t>he PSTAR method has seen limited application in the UK</w:t>
      </w:r>
      <w:r w:rsidR="00406FE8">
        <w:rPr>
          <w:sz w:val="20"/>
          <w:szCs w:val="20"/>
        </w:rPr>
        <w:t xml:space="preserve">, whilst </w:t>
      </w:r>
      <w:r w:rsidR="0086648C">
        <w:rPr>
          <w:sz w:val="20"/>
          <w:szCs w:val="20"/>
        </w:rPr>
        <w:t xml:space="preserve">the QUB </w:t>
      </w:r>
      <w:r w:rsidR="00406FE8">
        <w:rPr>
          <w:sz w:val="20"/>
          <w:szCs w:val="20"/>
        </w:rPr>
        <w:t xml:space="preserve">and ISABELE method </w:t>
      </w:r>
      <w:r w:rsidR="00406FE8">
        <w:rPr>
          <w:sz w:val="20"/>
          <w:szCs w:val="20"/>
        </w:rPr>
        <w:lastRenderedPageBreak/>
        <w:t>are both</w:t>
      </w:r>
      <w:r w:rsidR="0086648C">
        <w:rPr>
          <w:sz w:val="20"/>
          <w:szCs w:val="20"/>
        </w:rPr>
        <w:t xml:space="preserve"> currently under development. </w:t>
      </w:r>
      <w:r w:rsidR="00406FE8">
        <w:rPr>
          <w:sz w:val="20"/>
          <w:szCs w:val="20"/>
        </w:rPr>
        <w:t>T</w:t>
      </w:r>
      <w:r w:rsidR="0086648C">
        <w:rPr>
          <w:sz w:val="20"/>
          <w:szCs w:val="20"/>
        </w:rPr>
        <w:t xml:space="preserve">he only </w:t>
      </w:r>
      <w:r w:rsidR="00406FE8">
        <w:rPr>
          <w:sz w:val="20"/>
          <w:szCs w:val="20"/>
        </w:rPr>
        <w:t xml:space="preserve">method that has seen considerable development and </w:t>
      </w:r>
      <w:r w:rsidR="0086648C">
        <w:rPr>
          <w:sz w:val="20"/>
          <w:szCs w:val="20"/>
        </w:rPr>
        <w:t>application in the field in the U</w:t>
      </w:r>
      <w:r w:rsidR="00406FE8">
        <w:rPr>
          <w:sz w:val="20"/>
          <w:szCs w:val="20"/>
        </w:rPr>
        <w:t>K</w:t>
      </w:r>
      <w:r w:rsidR="00E73566">
        <w:rPr>
          <w:sz w:val="20"/>
          <w:szCs w:val="20"/>
        </w:rPr>
        <w:t xml:space="preserve"> </w:t>
      </w:r>
      <w:r w:rsidR="00406FE8">
        <w:rPr>
          <w:sz w:val="20"/>
          <w:szCs w:val="20"/>
        </w:rPr>
        <w:t>is the coheating test method</w:t>
      </w:r>
      <w:r w:rsidR="00E73566">
        <w:rPr>
          <w:sz w:val="20"/>
          <w:szCs w:val="20"/>
        </w:rPr>
        <w:t>. C</w:t>
      </w:r>
      <w:r w:rsidR="005B0F69">
        <w:rPr>
          <w:sz w:val="20"/>
          <w:szCs w:val="20"/>
        </w:rPr>
        <w:t>oheating tests also</w:t>
      </w:r>
      <w:r w:rsidR="00406FE8">
        <w:rPr>
          <w:sz w:val="20"/>
          <w:szCs w:val="20"/>
        </w:rPr>
        <w:t xml:space="preserve"> formed</w:t>
      </w:r>
      <w:r w:rsidR="00256CCE" w:rsidRPr="00256CCE">
        <w:rPr>
          <w:sz w:val="20"/>
          <w:szCs w:val="20"/>
        </w:rPr>
        <w:t xml:space="preserve"> a key component of the Post Construction and Early Occupation studies that were undertaken as part of the Technology Strategy Board’s recent Building Perf</w:t>
      </w:r>
      <w:r w:rsidR="0086648C">
        <w:rPr>
          <w:sz w:val="20"/>
          <w:szCs w:val="20"/>
        </w:rPr>
        <w:t xml:space="preserve">ormance Evaluation Programme (Technology Strategy Board, </w:t>
      </w:r>
      <w:r w:rsidR="00406FE8">
        <w:rPr>
          <w:sz w:val="20"/>
          <w:szCs w:val="20"/>
        </w:rPr>
        <w:t>2010</w:t>
      </w:r>
      <w:r w:rsidR="0086648C">
        <w:rPr>
          <w:sz w:val="20"/>
          <w:szCs w:val="20"/>
        </w:rPr>
        <w:t>)</w:t>
      </w:r>
      <w:r w:rsidR="00256CCE" w:rsidRPr="00256CCE">
        <w:rPr>
          <w:sz w:val="20"/>
          <w:szCs w:val="20"/>
        </w:rPr>
        <w:t>.</w:t>
      </w:r>
      <w:r w:rsidR="0086648C">
        <w:rPr>
          <w:sz w:val="20"/>
          <w:szCs w:val="20"/>
        </w:rPr>
        <w:t xml:space="preserve"> Given this, </w:t>
      </w:r>
      <w:r w:rsidR="00E73566">
        <w:rPr>
          <w:sz w:val="20"/>
          <w:szCs w:val="20"/>
        </w:rPr>
        <w:t xml:space="preserve">in order to be able to measure the </w:t>
      </w:r>
      <w:r w:rsidR="00AC782B">
        <w:rPr>
          <w:sz w:val="20"/>
          <w:szCs w:val="20"/>
        </w:rPr>
        <w:t xml:space="preserve">aggregate </w:t>
      </w:r>
      <w:r w:rsidR="00E73566" w:rsidRPr="00E73566">
        <w:rPr>
          <w:sz w:val="20"/>
          <w:szCs w:val="20"/>
        </w:rPr>
        <w:t>thermal performance of the building fabric</w:t>
      </w:r>
      <w:r w:rsidR="00AC782B">
        <w:rPr>
          <w:sz w:val="20"/>
          <w:szCs w:val="20"/>
        </w:rPr>
        <w:t xml:space="preserve">, </w:t>
      </w:r>
      <w:r w:rsidR="00406FE8">
        <w:rPr>
          <w:sz w:val="20"/>
          <w:szCs w:val="20"/>
        </w:rPr>
        <w:t>a coheating test has been undertaken on each of the case study dwellings.</w:t>
      </w:r>
      <w:r w:rsidR="005B0F69" w:rsidRPr="005B0F69">
        <w:t xml:space="preserve"> </w:t>
      </w:r>
    </w:p>
    <w:p w:rsidR="00E73566" w:rsidRDefault="00E73566" w:rsidP="00336039">
      <w:pPr>
        <w:spacing w:line="360" w:lineRule="auto"/>
        <w:rPr>
          <w:sz w:val="20"/>
          <w:szCs w:val="20"/>
        </w:rPr>
      </w:pPr>
    </w:p>
    <w:p w:rsidR="000D432E" w:rsidRDefault="005B0F69" w:rsidP="00336039">
      <w:pPr>
        <w:spacing w:line="360" w:lineRule="auto"/>
        <w:rPr>
          <w:sz w:val="20"/>
          <w:szCs w:val="20"/>
        </w:rPr>
      </w:pPr>
      <w:r>
        <w:rPr>
          <w:sz w:val="20"/>
          <w:szCs w:val="20"/>
        </w:rPr>
        <w:t xml:space="preserve">A coheating test is </w:t>
      </w:r>
      <w:r w:rsidRPr="005B0F69">
        <w:rPr>
          <w:sz w:val="20"/>
          <w:szCs w:val="20"/>
        </w:rPr>
        <w:t>a</w:t>
      </w:r>
      <w:r>
        <w:rPr>
          <w:sz w:val="20"/>
          <w:szCs w:val="20"/>
        </w:rPr>
        <w:t xml:space="preserve"> quasi-steady state test </w:t>
      </w:r>
      <w:r w:rsidRPr="005B0F69">
        <w:rPr>
          <w:sz w:val="20"/>
          <w:szCs w:val="20"/>
        </w:rPr>
        <w:t xml:space="preserve">method that </w:t>
      </w:r>
      <w:r w:rsidR="00787B79">
        <w:rPr>
          <w:sz w:val="20"/>
          <w:szCs w:val="20"/>
        </w:rPr>
        <w:t xml:space="preserve">can be applied in the field to an unoccupied building to measure </w:t>
      </w:r>
      <w:r w:rsidRPr="005B0F69">
        <w:rPr>
          <w:sz w:val="20"/>
          <w:szCs w:val="20"/>
        </w:rPr>
        <w:t xml:space="preserve">the </w:t>
      </w:r>
      <w:r w:rsidR="00093544">
        <w:rPr>
          <w:sz w:val="20"/>
          <w:szCs w:val="20"/>
        </w:rPr>
        <w:t xml:space="preserve">aggregate </w:t>
      </w:r>
      <w:r w:rsidRPr="005B0F69">
        <w:rPr>
          <w:sz w:val="20"/>
          <w:szCs w:val="20"/>
        </w:rPr>
        <w:t>whole dwelling heat loss (both fabric and background ventilation).</w:t>
      </w:r>
      <w:r w:rsidR="00093544">
        <w:rPr>
          <w:sz w:val="20"/>
          <w:szCs w:val="20"/>
        </w:rPr>
        <w:t xml:space="preserve"> </w:t>
      </w:r>
      <w:r>
        <w:rPr>
          <w:sz w:val="20"/>
          <w:szCs w:val="20"/>
        </w:rPr>
        <w:t xml:space="preserve">The method is </w:t>
      </w:r>
      <w:r w:rsidR="00787B79">
        <w:rPr>
          <w:sz w:val="20"/>
          <w:szCs w:val="20"/>
        </w:rPr>
        <w:t xml:space="preserve">classed as a </w:t>
      </w:r>
      <w:r>
        <w:rPr>
          <w:sz w:val="20"/>
          <w:szCs w:val="20"/>
        </w:rPr>
        <w:t xml:space="preserve">quasi-steady state </w:t>
      </w:r>
      <w:r w:rsidR="00787B79">
        <w:rPr>
          <w:sz w:val="20"/>
          <w:szCs w:val="20"/>
        </w:rPr>
        <w:t xml:space="preserve">test </w:t>
      </w:r>
      <w:r>
        <w:rPr>
          <w:sz w:val="20"/>
          <w:szCs w:val="20"/>
        </w:rPr>
        <w:t>method, as</w:t>
      </w:r>
      <w:r w:rsidRPr="005B0F69">
        <w:rPr>
          <w:sz w:val="20"/>
          <w:szCs w:val="20"/>
        </w:rPr>
        <w:t xml:space="preserve"> the internal environment is controlled s</w:t>
      </w:r>
      <w:r>
        <w:rPr>
          <w:sz w:val="20"/>
          <w:szCs w:val="20"/>
        </w:rPr>
        <w:t>uch</w:t>
      </w:r>
      <w:r w:rsidRPr="005B0F69">
        <w:rPr>
          <w:sz w:val="20"/>
          <w:szCs w:val="20"/>
        </w:rPr>
        <w:t xml:space="preserve"> that it is in a steady state condition, whilst the external environment varies dynamically</w:t>
      </w:r>
      <w:r>
        <w:rPr>
          <w:sz w:val="20"/>
          <w:szCs w:val="20"/>
        </w:rPr>
        <w:t xml:space="preserve"> in response to the external climatic conditions</w:t>
      </w:r>
      <w:r w:rsidRPr="005B0F69">
        <w:rPr>
          <w:sz w:val="20"/>
          <w:szCs w:val="20"/>
        </w:rPr>
        <w:t>.</w:t>
      </w:r>
      <w:r w:rsidR="00093544">
        <w:rPr>
          <w:sz w:val="20"/>
          <w:szCs w:val="20"/>
        </w:rPr>
        <w:t xml:space="preserve"> </w:t>
      </w:r>
      <w:r w:rsidR="002C06E5">
        <w:rPr>
          <w:sz w:val="20"/>
          <w:szCs w:val="20"/>
        </w:rPr>
        <w:t xml:space="preserve">The coheating test was originally </w:t>
      </w:r>
      <w:r w:rsidR="00093544">
        <w:rPr>
          <w:sz w:val="20"/>
          <w:szCs w:val="20"/>
        </w:rPr>
        <w:t xml:space="preserve">developed in the </w:t>
      </w:r>
      <w:r w:rsidR="00872DD2">
        <w:rPr>
          <w:sz w:val="20"/>
          <w:szCs w:val="20"/>
        </w:rPr>
        <w:t xml:space="preserve">late </w:t>
      </w:r>
      <w:r w:rsidR="00093544">
        <w:rPr>
          <w:sz w:val="20"/>
          <w:szCs w:val="20"/>
        </w:rPr>
        <w:t xml:space="preserve">1970’s in North America (see </w:t>
      </w:r>
      <w:r w:rsidR="002C06E5">
        <w:rPr>
          <w:sz w:val="20"/>
          <w:szCs w:val="20"/>
        </w:rPr>
        <w:t>Socolow, 1978; Sonderegger &amp; Modera, 1979</w:t>
      </w:r>
      <w:r w:rsidR="009D3EB2" w:rsidRPr="009D3EB2">
        <w:rPr>
          <w:sz w:val="20"/>
          <w:szCs w:val="20"/>
        </w:rPr>
        <w:t xml:space="preserve"> </w:t>
      </w:r>
      <w:r w:rsidR="009D3EB2">
        <w:rPr>
          <w:sz w:val="20"/>
          <w:szCs w:val="20"/>
        </w:rPr>
        <w:t xml:space="preserve">and Sonderegger </w:t>
      </w:r>
      <w:r w:rsidR="009D3EB2" w:rsidRPr="002C06E5">
        <w:rPr>
          <w:i/>
          <w:sz w:val="20"/>
          <w:szCs w:val="20"/>
        </w:rPr>
        <w:t>et al.</w:t>
      </w:r>
      <w:r w:rsidR="009D3EB2">
        <w:rPr>
          <w:sz w:val="20"/>
          <w:szCs w:val="20"/>
        </w:rPr>
        <w:t>, 1980</w:t>
      </w:r>
      <w:r w:rsidR="00093544">
        <w:rPr>
          <w:sz w:val="20"/>
          <w:szCs w:val="20"/>
        </w:rPr>
        <w:t>)</w:t>
      </w:r>
      <w:r w:rsidR="00872DD2">
        <w:rPr>
          <w:sz w:val="20"/>
          <w:szCs w:val="20"/>
        </w:rPr>
        <w:t xml:space="preserve"> to investigate the efficiency of space heating systems, and involved the simultaneous heating of a building using the installed heating system and portable electric resistance heaters, hence the use of the name </w:t>
      </w:r>
      <w:r w:rsidR="00872DD2" w:rsidRPr="00872DD2">
        <w:rPr>
          <w:i/>
          <w:sz w:val="20"/>
          <w:szCs w:val="20"/>
        </w:rPr>
        <w:t>“coheating”</w:t>
      </w:r>
      <w:r w:rsidR="00872DD2">
        <w:rPr>
          <w:sz w:val="20"/>
          <w:szCs w:val="20"/>
        </w:rPr>
        <w:t xml:space="preserve">. In the UK, </w:t>
      </w:r>
      <w:r w:rsidR="007670A9">
        <w:rPr>
          <w:sz w:val="20"/>
          <w:szCs w:val="20"/>
        </w:rPr>
        <w:t>t</w:t>
      </w:r>
      <w:r w:rsidR="002C06E5">
        <w:rPr>
          <w:sz w:val="20"/>
          <w:szCs w:val="20"/>
        </w:rPr>
        <w:t xml:space="preserve">he earliest documented use of the test method was in the 1980’s </w:t>
      </w:r>
      <w:r w:rsidR="00872DD2">
        <w:rPr>
          <w:sz w:val="20"/>
          <w:szCs w:val="20"/>
        </w:rPr>
        <w:t>(see Siviour, 1985</w:t>
      </w:r>
      <w:r w:rsidR="000D432E">
        <w:rPr>
          <w:sz w:val="20"/>
          <w:szCs w:val="20"/>
        </w:rPr>
        <w:t xml:space="preserve"> and</w:t>
      </w:r>
      <w:r w:rsidR="00872DD2">
        <w:rPr>
          <w:sz w:val="20"/>
          <w:szCs w:val="20"/>
        </w:rPr>
        <w:t xml:space="preserve"> Everett, </w:t>
      </w:r>
      <w:r w:rsidR="000D432E">
        <w:rPr>
          <w:sz w:val="20"/>
          <w:szCs w:val="20"/>
        </w:rPr>
        <w:t>1985</w:t>
      </w:r>
      <w:r w:rsidR="00872DD2">
        <w:rPr>
          <w:sz w:val="20"/>
          <w:szCs w:val="20"/>
        </w:rPr>
        <w:t>), where</w:t>
      </w:r>
      <w:r w:rsidR="00835DC8">
        <w:rPr>
          <w:sz w:val="20"/>
          <w:szCs w:val="20"/>
        </w:rPr>
        <w:t xml:space="preserve"> the </w:t>
      </w:r>
      <w:r w:rsidR="007670A9">
        <w:rPr>
          <w:sz w:val="20"/>
          <w:szCs w:val="20"/>
        </w:rPr>
        <w:t xml:space="preserve">method </w:t>
      </w:r>
      <w:r w:rsidR="00835DC8">
        <w:rPr>
          <w:sz w:val="20"/>
          <w:szCs w:val="20"/>
        </w:rPr>
        <w:t xml:space="preserve">was developed </w:t>
      </w:r>
      <w:r w:rsidR="007670A9">
        <w:rPr>
          <w:sz w:val="20"/>
          <w:szCs w:val="20"/>
        </w:rPr>
        <w:t xml:space="preserve">to measure the aggregate heat loss from a dwelling using portable electric resistance heaters only. Following very limited use of the test method in the 1990’s </w:t>
      </w:r>
      <w:r w:rsidR="000D432E">
        <w:rPr>
          <w:sz w:val="20"/>
          <w:szCs w:val="20"/>
        </w:rPr>
        <w:t xml:space="preserve">(for example: </w:t>
      </w:r>
      <w:r w:rsidR="007670A9">
        <w:rPr>
          <w:sz w:val="20"/>
          <w:szCs w:val="20"/>
        </w:rPr>
        <w:t>Bell &amp; Lowe, 1997)</w:t>
      </w:r>
      <w:r w:rsidR="000D432E">
        <w:rPr>
          <w:sz w:val="20"/>
          <w:szCs w:val="20"/>
        </w:rPr>
        <w:t>, i</w:t>
      </w:r>
      <w:r w:rsidR="00835DC8">
        <w:rPr>
          <w:sz w:val="20"/>
          <w:szCs w:val="20"/>
        </w:rPr>
        <w:t xml:space="preserve">t </w:t>
      </w:r>
      <w:r w:rsidR="000D432E">
        <w:rPr>
          <w:sz w:val="20"/>
          <w:szCs w:val="20"/>
        </w:rPr>
        <w:t xml:space="preserve">has only been in the last </w:t>
      </w:r>
      <w:r w:rsidR="007C04E8">
        <w:rPr>
          <w:sz w:val="20"/>
          <w:szCs w:val="20"/>
        </w:rPr>
        <w:t xml:space="preserve">decade </w:t>
      </w:r>
      <w:r w:rsidR="000D432E">
        <w:rPr>
          <w:sz w:val="20"/>
          <w:szCs w:val="20"/>
        </w:rPr>
        <w:t xml:space="preserve">or so that </w:t>
      </w:r>
      <w:r w:rsidR="007C04E8">
        <w:rPr>
          <w:sz w:val="20"/>
          <w:szCs w:val="20"/>
        </w:rPr>
        <w:t xml:space="preserve">the method has </w:t>
      </w:r>
      <w:r w:rsidR="00CD2562">
        <w:rPr>
          <w:sz w:val="20"/>
          <w:szCs w:val="20"/>
        </w:rPr>
        <w:t xml:space="preserve">been </w:t>
      </w:r>
      <w:r w:rsidR="007C04E8">
        <w:rPr>
          <w:sz w:val="20"/>
          <w:szCs w:val="20"/>
        </w:rPr>
        <w:t xml:space="preserve">applied in the field in any significant number of instances, culminating in the development of a recognised experimental test method (see Wingfield </w:t>
      </w:r>
      <w:r w:rsidR="007C04E8" w:rsidRPr="007C04E8">
        <w:rPr>
          <w:i/>
          <w:sz w:val="20"/>
          <w:szCs w:val="20"/>
        </w:rPr>
        <w:t>et al.</w:t>
      </w:r>
      <w:r w:rsidR="007C04E8">
        <w:rPr>
          <w:sz w:val="20"/>
          <w:szCs w:val="20"/>
        </w:rPr>
        <w:t>, 2010).</w:t>
      </w:r>
    </w:p>
    <w:p w:rsidR="000D432E" w:rsidRDefault="000D432E" w:rsidP="00336039">
      <w:pPr>
        <w:spacing w:line="360" w:lineRule="auto"/>
        <w:rPr>
          <w:sz w:val="20"/>
          <w:szCs w:val="20"/>
        </w:rPr>
      </w:pPr>
    </w:p>
    <w:p w:rsidR="00093544" w:rsidRDefault="00872DD2" w:rsidP="007C04E8">
      <w:pPr>
        <w:spacing w:line="360" w:lineRule="auto"/>
        <w:rPr>
          <w:sz w:val="20"/>
          <w:szCs w:val="20"/>
        </w:rPr>
      </w:pPr>
      <w:r>
        <w:rPr>
          <w:sz w:val="20"/>
          <w:szCs w:val="20"/>
        </w:rPr>
        <w:t xml:space="preserve">The </w:t>
      </w:r>
      <w:r w:rsidR="007670A9">
        <w:rPr>
          <w:sz w:val="20"/>
          <w:szCs w:val="20"/>
        </w:rPr>
        <w:t xml:space="preserve">current version of the </w:t>
      </w:r>
      <w:r w:rsidR="00CD2562">
        <w:rPr>
          <w:sz w:val="20"/>
          <w:szCs w:val="20"/>
        </w:rPr>
        <w:t xml:space="preserve">coheating </w:t>
      </w:r>
      <w:r>
        <w:rPr>
          <w:sz w:val="20"/>
          <w:szCs w:val="20"/>
        </w:rPr>
        <w:t>test</w:t>
      </w:r>
      <w:r w:rsidR="007670A9">
        <w:rPr>
          <w:sz w:val="20"/>
          <w:szCs w:val="20"/>
        </w:rPr>
        <w:t xml:space="preserve"> </w:t>
      </w:r>
      <w:r w:rsidR="000D432E">
        <w:rPr>
          <w:sz w:val="20"/>
          <w:szCs w:val="20"/>
        </w:rPr>
        <w:t xml:space="preserve">method </w:t>
      </w:r>
      <w:r w:rsidR="00CD2562">
        <w:rPr>
          <w:sz w:val="20"/>
          <w:szCs w:val="20"/>
        </w:rPr>
        <w:t>described by</w:t>
      </w:r>
      <w:r w:rsidR="007670A9">
        <w:rPr>
          <w:sz w:val="20"/>
          <w:szCs w:val="20"/>
        </w:rPr>
        <w:t xml:space="preserve"> Johnston </w:t>
      </w:r>
      <w:r w:rsidR="007670A9" w:rsidRPr="007670A9">
        <w:rPr>
          <w:i/>
          <w:sz w:val="20"/>
          <w:szCs w:val="20"/>
        </w:rPr>
        <w:t>et al.</w:t>
      </w:r>
      <w:r w:rsidR="00CD2562">
        <w:rPr>
          <w:sz w:val="20"/>
          <w:szCs w:val="20"/>
        </w:rPr>
        <w:t xml:space="preserve"> (</w:t>
      </w:r>
      <w:r w:rsidR="007670A9">
        <w:rPr>
          <w:sz w:val="20"/>
          <w:szCs w:val="20"/>
        </w:rPr>
        <w:t xml:space="preserve">2013) </w:t>
      </w:r>
      <w:r w:rsidR="00DA01D7">
        <w:rPr>
          <w:sz w:val="20"/>
          <w:szCs w:val="20"/>
        </w:rPr>
        <w:t xml:space="preserve">involves </w:t>
      </w:r>
      <w:r w:rsidR="00DA01D7" w:rsidRPr="00DA01D7">
        <w:rPr>
          <w:sz w:val="20"/>
          <w:szCs w:val="20"/>
        </w:rPr>
        <w:t xml:space="preserve">using </w:t>
      </w:r>
      <w:r w:rsidR="00DA01D7">
        <w:rPr>
          <w:sz w:val="20"/>
          <w:szCs w:val="20"/>
        </w:rPr>
        <w:t xml:space="preserve">portable </w:t>
      </w:r>
      <w:r w:rsidR="00DA01D7" w:rsidRPr="00DA01D7">
        <w:rPr>
          <w:sz w:val="20"/>
          <w:szCs w:val="20"/>
        </w:rPr>
        <w:t>electric resistance point heaters</w:t>
      </w:r>
      <w:r w:rsidR="00DA01D7">
        <w:rPr>
          <w:sz w:val="20"/>
          <w:szCs w:val="20"/>
        </w:rPr>
        <w:t xml:space="preserve"> to heat the inside of an unoccupied dwelling to a specified artificially </w:t>
      </w:r>
      <w:r w:rsidR="00DA01D7" w:rsidRPr="00DA01D7">
        <w:rPr>
          <w:sz w:val="20"/>
          <w:szCs w:val="20"/>
        </w:rPr>
        <w:t>ele</w:t>
      </w:r>
      <w:r w:rsidR="00DA01D7">
        <w:rPr>
          <w:sz w:val="20"/>
          <w:szCs w:val="20"/>
        </w:rPr>
        <w:t xml:space="preserve">vated mean internal temperature, typically for a period of between 1 to 3 weeks. In the UK, a mean internal setpoint temperature of 25°C is </w:t>
      </w:r>
      <w:r w:rsidR="00405300">
        <w:rPr>
          <w:sz w:val="20"/>
          <w:szCs w:val="20"/>
        </w:rPr>
        <w:t xml:space="preserve">commonly </w:t>
      </w:r>
      <w:r w:rsidR="00DA01D7">
        <w:rPr>
          <w:sz w:val="20"/>
          <w:szCs w:val="20"/>
        </w:rPr>
        <w:t>used</w:t>
      </w:r>
      <w:r w:rsidR="00CB2293">
        <w:rPr>
          <w:sz w:val="20"/>
          <w:szCs w:val="20"/>
        </w:rPr>
        <w:t>,</w:t>
      </w:r>
      <w:r w:rsidR="00DA01D7">
        <w:rPr>
          <w:sz w:val="20"/>
          <w:szCs w:val="20"/>
        </w:rPr>
        <w:t xml:space="preserve"> as it </w:t>
      </w:r>
      <w:r w:rsidR="00CD2562">
        <w:rPr>
          <w:sz w:val="20"/>
          <w:szCs w:val="20"/>
        </w:rPr>
        <w:t xml:space="preserve">is </w:t>
      </w:r>
      <w:r w:rsidR="00927DA0" w:rsidRPr="00927DA0">
        <w:rPr>
          <w:sz w:val="20"/>
          <w:szCs w:val="20"/>
        </w:rPr>
        <w:t xml:space="preserve">within the expected range of temperatures that would normally occur </w:t>
      </w:r>
      <w:r w:rsidR="00927DA0">
        <w:rPr>
          <w:sz w:val="20"/>
          <w:szCs w:val="20"/>
        </w:rPr>
        <w:t>within the building during occupation</w:t>
      </w:r>
      <w:r w:rsidR="002747AD">
        <w:rPr>
          <w:rStyle w:val="FootnoteReference"/>
          <w:sz w:val="20"/>
          <w:szCs w:val="20"/>
        </w:rPr>
        <w:footnoteReference w:id="1"/>
      </w:r>
      <w:r w:rsidR="00927DA0">
        <w:rPr>
          <w:sz w:val="20"/>
          <w:szCs w:val="20"/>
        </w:rPr>
        <w:t xml:space="preserve">, and ensures that there is a sufficient </w:t>
      </w:r>
      <w:r w:rsidR="00927DA0" w:rsidRPr="00927DA0">
        <w:rPr>
          <w:sz w:val="20"/>
          <w:szCs w:val="20"/>
        </w:rPr>
        <w:t xml:space="preserve">temperature difference between </w:t>
      </w:r>
      <w:r w:rsidR="00927DA0">
        <w:rPr>
          <w:sz w:val="20"/>
          <w:szCs w:val="20"/>
        </w:rPr>
        <w:t xml:space="preserve">the </w:t>
      </w:r>
      <w:r w:rsidR="00927DA0" w:rsidRPr="00927DA0">
        <w:rPr>
          <w:sz w:val="20"/>
          <w:szCs w:val="20"/>
        </w:rPr>
        <w:t xml:space="preserve">inside and outside </w:t>
      </w:r>
      <w:r w:rsidR="00927DA0">
        <w:rPr>
          <w:sz w:val="20"/>
          <w:szCs w:val="20"/>
        </w:rPr>
        <w:t xml:space="preserve">of the building (ΔT) such that </w:t>
      </w:r>
      <w:r w:rsidR="00927DA0" w:rsidRPr="00927DA0">
        <w:rPr>
          <w:sz w:val="20"/>
          <w:szCs w:val="20"/>
        </w:rPr>
        <w:t xml:space="preserve">heat flow </w:t>
      </w:r>
      <w:r w:rsidR="00927DA0">
        <w:rPr>
          <w:sz w:val="20"/>
          <w:szCs w:val="20"/>
        </w:rPr>
        <w:t xml:space="preserve">is primarily driven out </w:t>
      </w:r>
      <w:r w:rsidR="00927DA0" w:rsidRPr="00927DA0">
        <w:rPr>
          <w:sz w:val="20"/>
          <w:szCs w:val="20"/>
        </w:rPr>
        <w:t>through the building fabric</w:t>
      </w:r>
      <w:r w:rsidR="00927DA0">
        <w:rPr>
          <w:sz w:val="20"/>
          <w:szCs w:val="20"/>
        </w:rPr>
        <w:t>.</w:t>
      </w:r>
      <w:r w:rsidR="002B343E" w:rsidRPr="002B343E">
        <w:t xml:space="preserve"> </w:t>
      </w:r>
      <w:r w:rsidR="002B343E" w:rsidRPr="00CB2293">
        <w:rPr>
          <w:sz w:val="20"/>
          <w:szCs w:val="20"/>
        </w:rPr>
        <w:t>In the UK, tests</w:t>
      </w:r>
      <w:r w:rsidR="002B343E">
        <w:rPr>
          <w:sz w:val="20"/>
          <w:szCs w:val="20"/>
        </w:rPr>
        <w:t xml:space="preserve"> are normally only</w:t>
      </w:r>
      <w:r w:rsidR="002B343E" w:rsidRPr="002B343E">
        <w:rPr>
          <w:sz w:val="20"/>
          <w:szCs w:val="20"/>
        </w:rPr>
        <w:t xml:space="preserve"> undertaken during </w:t>
      </w:r>
      <w:r w:rsidR="002B343E">
        <w:rPr>
          <w:sz w:val="20"/>
          <w:szCs w:val="20"/>
        </w:rPr>
        <w:t xml:space="preserve">the </w:t>
      </w:r>
      <w:r w:rsidR="002B343E" w:rsidRPr="002B343E">
        <w:rPr>
          <w:sz w:val="20"/>
          <w:szCs w:val="20"/>
        </w:rPr>
        <w:t xml:space="preserve">heating season </w:t>
      </w:r>
      <w:r w:rsidR="002B343E">
        <w:rPr>
          <w:sz w:val="20"/>
          <w:szCs w:val="20"/>
        </w:rPr>
        <w:t>(October/November to</w:t>
      </w:r>
      <w:r w:rsidR="002B343E" w:rsidRPr="002B343E">
        <w:rPr>
          <w:sz w:val="20"/>
          <w:szCs w:val="20"/>
        </w:rPr>
        <w:t xml:space="preserve"> March/April</w:t>
      </w:r>
      <w:r w:rsidR="002B343E">
        <w:rPr>
          <w:sz w:val="20"/>
          <w:szCs w:val="20"/>
        </w:rPr>
        <w:t>)</w:t>
      </w:r>
      <w:r w:rsidR="002B343E" w:rsidRPr="002B343E">
        <w:rPr>
          <w:sz w:val="20"/>
          <w:szCs w:val="20"/>
        </w:rPr>
        <w:t xml:space="preserve">, in order to </w:t>
      </w:r>
      <w:r w:rsidR="002B343E">
        <w:rPr>
          <w:sz w:val="20"/>
          <w:szCs w:val="20"/>
        </w:rPr>
        <w:t xml:space="preserve">ensure that a </w:t>
      </w:r>
      <w:r w:rsidR="002B343E" w:rsidRPr="002B343E">
        <w:rPr>
          <w:sz w:val="20"/>
          <w:szCs w:val="20"/>
        </w:rPr>
        <w:t xml:space="preserve">sufficient value </w:t>
      </w:r>
      <w:r w:rsidR="002B343E">
        <w:rPr>
          <w:sz w:val="20"/>
          <w:szCs w:val="20"/>
        </w:rPr>
        <w:t>of ΔT (≥10K) is maintained throughout the test.</w:t>
      </w:r>
      <w:r w:rsidR="00EE7D02">
        <w:rPr>
          <w:sz w:val="20"/>
          <w:szCs w:val="20"/>
        </w:rPr>
        <w:t xml:space="preserve"> </w:t>
      </w:r>
      <w:r w:rsidR="00DA01D7" w:rsidRPr="00DA01D7">
        <w:rPr>
          <w:sz w:val="20"/>
          <w:szCs w:val="20"/>
        </w:rPr>
        <w:t xml:space="preserve">By measuring the </w:t>
      </w:r>
      <w:r w:rsidR="00EE7D02">
        <w:rPr>
          <w:sz w:val="20"/>
          <w:szCs w:val="20"/>
        </w:rPr>
        <w:t xml:space="preserve">total </w:t>
      </w:r>
      <w:r w:rsidR="00DA01D7" w:rsidRPr="00DA01D7">
        <w:rPr>
          <w:sz w:val="20"/>
          <w:szCs w:val="20"/>
        </w:rPr>
        <w:t xml:space="preserve">amount of electrical energy that is required to maintain the </w:t>
      </w:r>
      <w:r w:rsidR="00EE7D02">
        <w:rPr>
          <w:sz w:val="20"/>
          <w:szCs w:val="20"/>
        </w:rPr>
        <w:t xml:space="preserve">artificially </w:t>
      </w:r>
      <w:r w:rsidR="00DA01D7" w:rsidRPr="00DA01D7">
        <w:rPr>
          <w:sz w:val="20"/>
          <w:szCs w:val="20"/>
        </w:rPr>
        <w:t xml:space="preserve">elevated mean internal temperature each day, the daily heat input to the building </w:t>
      </w:r>
      <w:r w:rsidR="00EE7D02" w:rsidRPr="00DA01D7">
        <w:rPr>
          <w:sz w:val="20"/>
          <w:szCs w:val="20"/>
        </w:rPr>
        <w:t xml:space="preserve">(in Watts) </w:t>
      </w:r>
      <w:r w:rsidR="00EE7D02">
        <w:rPr>
          <w:sz w:val="20"/>
          <w:szCs w:val="20"/>
        </w:rPr>
        <w:t xml:space="preserve">can be established. The </w:t>
      </w:r>
      <w:r w:rsidR="00DA01D7" w:rsidRPr="00DA01D7">
        <w:rPr>
          <w:sz w:val="20"/>
          <w:szCs w:val="20"/>
        </w:rPr>
        <w:t>heat loss coefficient (W/K</w:t>
      </w:r>
      <w:r w:rsidR="00EE7D02">
        <w:rPr>
          <w:sz w:val="20"/>
          <w:szCs w:val="20"/>
        </w:rPr>
        <w:t>) for the building can then be determined</w:t>
      </w:r>
      <w:r w:rsidR="00DA01D7" w:rsidRPr="00DA01D7">
        <w:rPr>
          <w:sz w:val="20"/>
          <w:szCs w:val="20"/>
        </w:rPr>
        <w:t xml:space="preserve"> by plotting the daily heat input </w:t>
      </w:r>
      <w:r w:rsidR="00EE7D02">
        <w:rPr>
          <w:sz w:val="20"/>
          <w:szCs w:val="20"/>
        </w:rPr>
        <w:t xml:space="preserve">in Watts </w:t>
      </w:r>
      <w:r w:rsidR="00DA01D7" w:rsidRPr="00DA01D7">
        <w:rPr>
          <w:sz w:val="20"/>
          <w:szCs w:val="20"/>
        </w:rPr>
        <w:t>against the daily difference in temperature</w:t>
      </w:r>
      <w:r w:rsidR="00FE3B17">
        <w:rPr>
          <w:sz w:val="20"/>
          <w:szCs w:val="20"/>
        </w:rPr>
        <w:t xml:space="preserve"> (</w:t>
      </w:r>
      <w:r w:rsidR="00EE7D02" w:rsidRPr="00EE7D02">
        <w:rPr>
          <w:sz w:val="20"/>
          <w:szCs w:val="20"/>
        </w:rPr>
        <w:t>ΔT</w:t>
      </w:r>
      <w:r w:rsidR="00FE3B17">
        <w:rPr>
          <w:sz w:val="20"/>
          <w:szCs w:val="20"/>
        </w:rPr>
        <w:t>)</w:t>
      </w:r>
      <w:r w:rsidR="00CB2293">
        <w:rPr>
          <w:sz w:val="20"/>
          <w:szCs w:val="20"/>
        </w:rPr>
        <w:t xml:space="preserve"> in Kelvin</w:t>
      </w:r>
      <w:r w:rsidR="00EE7D02">
        <w:rPr>
          <w:sz w:val="20"/>
          <w:szCs w:val="20"/>
        </w:rPr>
        <w:t xml:space="preserve">. </w:t>
      </w:r>
      <w:r w:rsidR="00DA01D7" w:rsidRPr="00DA01D7">
        <w:rPr>
          <w:sz w:val="20"/>
          <w:szCs w:val="20"/>
        </w:rPr>
        <w:t xml:space="preserve">The resulting </w:t>
      </w:r>
      <w:r w:rsidR="00EE7D02">
        <w:rPr>
          <w:sz w:val="20"/>
          <w:szCs w:val="20"/>
        </w:rPr>
        <w:t xml:space="preserve">gradient </w:t>
      </w:r>
      <w:r w:rsidR="00DA01D7" w:rsidRPr="00DA01D7">
        <w:rPr>
          <w:sz w:val="20"/>
          <w:szCs w:val="20"/>
        </w:rPr>
        <w:t xml:space="preserve">of the plot gives the </w:t>
      </w:r>
      <w:r w:rsidR="00EE7D02">
        <w:rPr>
          <w:sz w:val="20"/>
          <w:szCs w:val="20"/>
        </w:rPr>
        <w:t xml:space="preserve">raw </w:t>
      </w:r>
      <w:r w:rsidR="00EE7D02">
        <w:rPr>
          <w:sz w:val="20"/>
          <w:szCs w:val="20"/>
        </w:rPr>
        <w:lastRenderedPageBreak/>
        <w:t xml:space="preserve">uncorrected </w:t>
      </w:r>
      <w:r w:rsidR="00DA01D7" w:rsidRPr="00DA01D7">
        <w:rPr>
          <w:sz w:val="20"/>
          <w:szCs w:val="20"/>
        </w:rPr>
        <w:t xml:space="preserve">heat loss coefficient </w:t>
      </w:r>
      <w:r w:rsidR="00FE3B17">
        <w:rPr>
          <w:sz w:val="20"/>
          <w:szCs w:val="20"/>
        </w:rPr>
        <w:t xml:space="preserve">in W/K and </w:t>
      </w:r>
      <w:r w:rsidR="007C04E8" w:rsidRPr="007C04E8">
        <w:rPr>
          <w:sz w:val="20"/>
          <w:szCs w:val="20"/>
        </w:rPr>
        <w:t>provides a</w:t>
      </w:r>
      <w:r w:rsidR="00B32DB2">
        <w:rPr>
          <w:sz w:val="20"/>
          <w:szCs w:val="20"/>
        </w:rPr>
        <w:t>n estimate</w:t>
      </w:r>
      <w:r w:rsidR="007C04E8" w:rsidRPr="007C04E8">
        <w:rPr>
          <w:sz w:val="20"/>
          <w:szCs w:val="20"/>
        </w:rPr>
        <w:t xml:space="preserve"> of the </w:t>
      </w:r>
      <w:r w:rsidR="00B32DB2">
        <w:rPr>
          <w:sz w:val="20"/>
          <w:szCs w:val="20"/>
        </w:rPr>
        <w:t>steady</w:t>
      </w:r>
      <w:r w:rsidR="002B66B7">
        <w:rPr>
          <w:sz w:val="20"/>
          <w:szCs w:val="20"/>
        </w:rPr>
        <w:t xml:space="preserve"> </w:t>
      </w:r>
      <w:r w:rsidR="00B32DB2">
        <w:rPr>
          <w:sz w:val="20"/>
          <w:szCs w:val="20"/>
        </w:rPr>
        <w:t>state</w:t>
      </w:r>
      <w:r w:rsidR="00B32DB2" w:rsidRPr="007C04E8">
        <w:rPr>
          <w:sz w:val="20"/>
          <w:szCs w:val="20"/>
        </w:rPr>
        <w:t xml:space="preserve"> </w:t>
      </w:r>
      <w:r w:rsidR="007C04E8" w:rsidRPr="007C04E8">
        <w:rPr>
          <w:sz w:val="20"/>
          <w:szCs w:val="20"/>
        </w:rPr>
        <w:t>rate of heat loss from the whole dwelling per</w:t>
      </w:r>
      <w:r w:rsidR="00CD2562">
        <w:rPr>
          <w:sz w:val="20"/>
          <w:szCs w:val="20"/>
        </w:rPr>
        <w:t xml:space="preserve"> </w:t>
      </w:r>
      <w:r w:rsidR="007C04E8" w:rsidRPr="007C04E8">
        <w:rPr>
          <w:sz w:val="20"/>
          <w:szCs w:val="20"/>
        </w:rPr>
        <w:t xml:space="preserve">Kelvin. The uncorrected raw data can then be corrected using multiple linear regression analysis techniques to take account of </w:t>
      </w:r>
      <w:r w:rsidR="00FE3B17">
        <w:rPr>
          <w:sz w:val="20"/>
          <w:szCs w:val="20"/>
        </w:rPr>
        <w:t xml:space="preserve">external environmental </w:t>
      </w:r>
      <w:r w:rsidR="007C04E8" w:rsidRPr="007C04E8">
        <w:rPr>
          <w:sz w:val="20"/>
          <w:szCs w:val="20"/>
        </w:rPr>
        <w:t>effects such as solar radiation. An example of a plot using the multiple linear regression analysis method to account for solar radiation is illustrated in Figure 1.</w:t>
      </w:r>
    </w:p>
    <w:p w:rsidR="007D0871" w:rsidRDefault="007D0871" w:rsidP="00A442E4">
      <w:pPr>
        <w:spacing w:line="360" w:lineRule="auto"/>
        <w:rPr>
          <w:b/>
          <w:sz w:val="20"/>
          <w:szCs w:val="20"/>
        </w:rPr>
      </w:pPr>
    </w:p>
    <w:p w:rsidR="001B638C" w:rsidRPr="001B638C" w:rsidRDefault="00A97BBB" w:rsidP="00A442E4">
      <w:pPr>
        <w:spacing w:line="360" w:lineRule="auto"/>
        <w:rPr>
          <w:b/>
          <w:sz w:val="20"/>
          <w:szCs w:val="20"/>
        </w:rPr>
      </w:pPr>
      <w:r>
        <w:rPr>
          <w:b/>
          <w:sz w:val="20"/>
          <w:szCs w:val="20"/>
        </w:rPr>
        <w:t>3. C</w:t>
      </w:r>
      <w:r w:rsidR="001B638C" w:rsidRPr="001B638C">
        <w:rPr>
          <w:b/>
          <w:sz w:val="20"/>
          <w:szCs w:val="20"/>
        </w:rPr>
        <w:t>ase study dwellings</w:t>
      </w:r>
    </w:p>
    <w:p w:rsidR="004C0075" w:rsidRDefault="00336039" w:rsidP="00A442E4">
      <w:pPr>
        <w:spacing w:line="360" w:lineRule="auto"/>
        <w:rPr>
          <w:sz w:val="20"/>
          <w:szCs w:val="20"/>
        </w:rPr>
      </w:pPr>
      <w:r w:rsidRPr="00336039">
        <w:rPr>
          <w:sz w:val="20"/>
          <w:szCs w:val="20"/>
        </w:rPr>
        <w:t xml:space="preserve">The </w:t>
      </w:r>
      <w:r w:rsidR="00FE3B17">
        <w:rPr>
          <w:sz w:val="20"/>
          <w:szCs w:val="20"/>
        </w:rPr>
        <w:t xml:space="preserve">coheating tests were </w:t>
      </w:r>
      <w:r w:rsidRPr="00336039">
        <w:rPr>
          <w:sz w:val="20"/>
          <w:szCs w:val="20"/>
        </w:rPr>
        <w:t xml:space="preserve">undertaken on </w:t>
      </w:r>
      <w:r w:rsidR="00FE3B17">
        <w:rPr>
          <w:sz w:val="20"/>
          <w:szCs w:val="20"/>
        </w:rPr>
        <w:t xml:space="preserve">seven </w:t>
      </w:r>
      <w:r w:rsidRPr="00336039">
        <w:rPr>
          <w:sz w:val="20"/>
          <w:szCs w:val="20"/>
        </w:rPr>
        <w:t xml:space="preserve">case study dwellings, </w:t>
      </w:r>
      <w:r w:rsidR="00FE3B17">
        <w:rPr>
          <w:sz w:val="20"/>
          <w:szCs w:val="20"/>
        </w:rPr>
        <w:t>located on five separate developments</w:t>
      </w:r>
      <w:r w:rsidR="007D0871">
        <w:rPr>
          <w:sz w:val="20"/>
          <w:szCs w:val="20"/>
        </w:rPr>
        <w:t xml:space="preserve"> in the North of England</w:t>
      </w:r>
      <w:r w:rsidR="00FE3B17">
        <w:rPr>
          <w:sz w:val="20"/>
          <w:szCs w:val="20"/>
        </w:rPr>
        <w:t>.</w:t>
      </w:r>
      <w:r w:rsidR="007D0871">
        <w:rPr>
          <w:sz w:val="20"/>
          <w:szCs w:val="20"/>
        </w:rPr>
        <w:t xml:space="preserve"> All of the dwellings were tested as part of the Technology Strategy Board’s Building Performance Evaluation Programme and </w:t>
      </w:r>
      <w:r w:rsidR="003A104D">
        <w:rPr>
          <w:sz w:val="20"/>
          <w:szCs w:val="20"/>
        </w:rPr>
        <w:t xml:space="preserve">as a minimum </w:t>
      </w:r>
      <w:r w:rsidR="007D0871">
        <w:rPr>
          <w:sz w:val="20"/>
          <w:szCs w:val="20"/>
        </w:rPr>
        <w:t xml:space="preserve">were designed </w:t>
      </w:r>
      <w:r w:rsidR="007D0871" w:rsidRPr="007D0871">
        <w:rPr>
          <w:sz w:val="20"/>
          <w:szCs w:val="20"/>
        </w:rPr>
        <w:t>to exceed the insulation standards contained within the 2006 Edition of the Building Regulations Approved Document Part L1</w:t>
      </w:r>
      <w:r w:rsidR="00815DCB">
        <w:rPr>
          <w:sz w:val="20"/>
          <w:szCs w:val="20"/>
        </w:rPr>
        <w:t>A (NBS</w:t>
      </w:r>
      <w:r w:rsidR="007D0871" w:rsidRPr="007D0871">
        <w:rPr>
          <w:sz w:val="20"/>
          <w:szCs w:val="20"/>
        </w:rPr>
        <w:t>, 2006).</w:t>
      </w:r>
      <w:r w:rsidR="00C10533" w:rsidRPr="00C10533">
        <w:rPr>
          <w:sz w:val="20"/>
          <w:szCs w:val="20"/>
        </w:rPr>
        <w:t xml:space="preserve"> </w:t>
      </w:r>
      <w:r w:rsidR="00C10533" w:rsidRPr="00336039">
        <w:rPr>
          <w:sz w:val="20"/>
          <w:szCs w:val="20"/>
        </w:rPr>
        <w:t>Details of the individual case study dwellings are contained within Table 1</w:t>
      </w:r>
      <w:r w:rsidR="001F3CA3">
        <w:rPr>
          <w:sz w:val="20"/>
          <w:szCs w:val="20"/>
        </w:rPr>
        <w:t xml:space="preserve"> and Table 2</w:t>
      </w:r>
      <w:r w:rsidR="00C10533" w:rsidRPr="00336039">
        <w:rPr>
          <w:sz w:val="20"/>
          <w:szCs w:val="20"/>
        </w:rPr>
        <w:t xml:space="preserve">. </w:t>
      </w:r>
    </w:p>
    <w:p w:rsidR="002766A1" w:rsidRDefault="002766A1" w:rsidP="00A442E4">
      <w:pPr>
        <w:spacing w:line="360" w:lineRule="auto"/>
        <w:rPr>
          <w:sz w:val="20"/>
          <w:szCs w:val="20"/>
        </w:rPr>
      </w:pPr>
    </w:p>
    <w:p w:rsidR="002766A1" w:rsidRDefault="002766A1" w:rsidP="002766A1">
      <w:pPr>
        <w:spacing w:line="360" w:lineRule="auto"/>
        <w:rPr>
          <w:sz w:val="20"/>
          <w:szCs w:val="20"/>
        </w:rPr>
      </w:pPr>
      <w:r w:rsidRPr="00336039">
        <w:rPr>
          <w:sz w:val="20"/>
          <w:szCs w:val="20"/>
        </w:rPr>
        <w:t xml:space="preserve">As illustrated in Table 1, </w:t>
      </w:r>
      <w:r>
        <w:rPr>
          <w:sz w:val="20"/>
          <w:szCs w:val="20"/>
        </w:rPr>
        <w:t xml:space="preserve">it is clear that a range of design </w:t>
      </w:r>
      <w:r w:rsidR="00CD2562">
        <w:rPr>
          <w:sz w:val="20"/>
          <w:szCs w:val="20"/>
        </w:rPr>
        <w:t>standards</w:t>
      </w:r>
      <w:r>
        <w:rPr>
          <w:sz w:val="20"/>
          <w:szCs w:val="20"/>
        </w:rPr>
        <w:t xml:space="preserve"> were adopted for the case study dwellings. Three of the dwellings (1A, 1B &amp; 2) were designed to achieve Passivhaus Certification. Of the remaining four dwellings, two of the dwellings were designed to the Code for Sustainable Homes Level 4 (4 &amp; 5) and two of the dwellings were designed to the Code for Sustainable Homes Level 5 (3A &amp;3B). </w:t>
      </w:r>
      <w:r w:rsidR="003E19D3" w:rsidRPr="003E19D3">
        <w:rPr>
          <w:sz w:val="20"/>
          <w:szCs w:val="20"/>
        </w:rPr>
        <w:t>The Code For Sustainable Homes (CSH) is an environmentally based rating system for new homes that awards points (up to a maximum of 100) based upon nine categories: energy and CO</w:t>
      </w:r>
      <w:r w:rsidR="003E19D3" w:rsidRPr="003E19D3">
        <w:rPr>
          <w:sz w:val="20"/>
          <w:szCs w:val="20"/>
          <w:vertAlign w:val="subscript"/>
        </w:rPr>
        <w:t>2</w:t>
      </w:r>
      <w:r w:rsidR="003E19D3" w:rsidRPr="003E19D3">
        <w:rPr>
          <w:sz w:val="20"/>
          <w:szCs w:val="20"/>
        </w:rPr>
        <w:t xml:space="preserve"> emissions, water, materials, surface water run-off, waste, pollution, health and wel</w:t>
      </w:r>
      <w:r w:rsidR="003E19D3">
        <w:rPr>
          <w:sz w:val="20"/>
          <w:szCs w:val="20"/>
        </w:rPr>
        <w:t>l-being, management and ecology.</w:t>
      </w:r>
      <w:r w:rsidR="003E19D3" w:rsidRPr="003E19D3">
        <w:rPr>
          <w:sz w:val="20"/>
          <w:szCs w:val="20"/>
        </w:rPr>
        <w:t xml:space="preserve"> To obtain CSH Level 4</w:t>
      </w:r>
      <w:r w:rsidR="003E19D3">
        <w:rPr>
          <w:sz w:val="20"/>
          <w:szCs w:val="20"/>
        </w:rPr>
        <w:t>,</w:t>
      </w:r>
      <w:r w:rsidR="003E19D3" w:rsidRPr="003E19D3">
        <w:rPr>
          <w:sz w:val="20"/>
          <w:szCs w:val="20"/>
        </w:rPr>
        <w:t xml:space="preserve"> 68 points are required, whilst Level 5 req</w:t>
      </w:r>
      <w:r w:rsidR="003E19D3">
        <w:rPr>
          <w:sz w:val="20"/>
          <w:szCs w:val="20"/>
        </w:rPr>
        <w:t xml:space="preserve">uires 84 points. </w:t>
      </w:r>
      <w:r w:rsidR="003E19D3" w:rsidRPr="003E19D3">
        <w:rPr>
          <w:sz w:val="20"/>
          <w:szCs w:val="20"/>
        </w:rPr>
        <w:t>Category 1 for energy and carbon dioxide emissions is heavily weighted and uses the Dwelling CO</w:t>
      </w:r>
      <w:r w:rsidR="003E19D3" w:rsidRPr="003E19D3">
        <w:rPr>
          <w:sz w:val="20"/>
          <w:szCs w:val="20"/>
          <w:vertAlign w:val="subscript"/>
        </w:rPr>
        <w:t>2</w:t>
      </w:r>
      <w:r w:rsidR="003E19D3" w:rsidRPr="003E19D3">
        <w:rPr>
          <w:sz w:val="20"/>
          <w:szCs w:val="20"/>
        </w:rPr>
        <w:t xml:space="preserve"> Emissions Rate (DER) and the Fabric Energy Efficiency (FEE) calculate</w:t>
      </w:r>
      <w:r w:rsidR="003E19D3">
        <w:rPr>
          <w:sz w:val="20"/>
          <w:szCs w:val="20"/>
        </w:rPr>
        <w:t>d in SAP to assign CSH points.</w:t>
      </w:r>
      <w:r w:rsidR="003E19D3" w:rsidRPr="003E19D3">
        <w:rPr>
          <w:sz w:val="20"/>
          <w:szCs w:val="20"/>
        </w:rPr>
        <w:t>Therefore, any potential changes to the DER and FEE that are related to a building’s fabric thermal performance will</w:t>
      </w:r>
      <w:r w:rsidR="003E19D3">
        <w:rPr>
          <w:sz w:val="20"/>
          <w:szCs w:val="20"/>
        </w:rPr>
        <w:t xml:space="preserve"> affect the overall CSH rating. </w:t>
      </w:r>
      <w:r w:rsidR="003E19D3" w:rsidRPr="003E19D3">
        <w:rPr>
          <w:sz w:val="20"/>
          <w:szCs w:val="20"/>
        </w:rPr>
        <w:t xml:space="preserve">The research for this paper has not assessed the impact on the CSH rating awarded but highlights that the levels of building fabric thermal performance achieved can vary from the design intent. </w:t>
      </w:r>
      <w:r>
        <w:rPr>
          <w:sz w:val="20"/>
          <w:szCs w:val="20"/>
        </w:rPr>
        <w:t>It is also important to note that the t</w:t>
      </w:r>
      <w:r w:rsidRPr="00336039">
        <w:rPr>
          <w:sz w:val="20"/>
          <w:szCs w:val="20"/>
        </w:rPr>
        <w:t xml:space="preserve">hree </w:t>
      </w:r>
      <w:r>
        <w:rPr>
          <w:sz w:val="20"/>
          <w:szCs w:val="20"/>
        </w:rPr>
        <w:t xml:space="preserve">Passivhaus </w:t>
      </w:r>
      <w:r w:rsidRPr="00336039">
        <w:rPr>
          <w:sz w:val="20"/>
          <w:szCs w:val="20"/>
        </w:rPr>
        <w:t xml:space="preserve">case study dwellings </w:t>
      </w:r>
      <w:r>
        <w:rPr>
          <w:sz w:val="20"/>
          <w:szCs w:val="20"/>
        </w:rPr>
        <w:t xml:space="preserve">(1A, 1B &amp; 2) also </w:t>
      </w:r>
      <w:r w:rsidRPr="00336039">
        <w:rPr>
          <w:sz w:val="20"/>
          <w:szCs w:val="20"/>
        </w:rPr>
        <w:t>have a small floor area by UK standards.</w:t>
      </w:r>
      <w:r>
        <w:rPr>
          <w:sz w:val="20"/>
          <w:szCs w:val="20"/>
        </w:rPr>
        <w:t xml:space="preserve"> </w:t>
      </w:r>
    </w:p>
    <w:p w:rsidR="002766A1" w:rsidRDefault="002766A1" w:rsidP="00A442E4">
      <w:pPr>
        <w:spacing w:line="360" w:lineRule="auto"/>
        <w:rPr>
          <w:sz w:val="20"/>
          <w:szCs w:val="20"/>
        </w:rPr>
      </w:pPr>
    </w:p>
    <w:p w:rsidR="00DF5210" w:rsidRDefault="00DF5210" w:rsidP="005276B7">
      <w:pPr>
        <w:spacing w:after="200"/>
        <w:rPr>
          <w:sz w:val="20"/>
          <w:szCs w:val="20"/>
        </w:rPr>
      </w:pPr>
      <w:r w:rsidRPr="00DF5210">
        <w:rPr>
          <w:sz w:val="20"/>
          <w:szCs w:val="20"/>
        </w:rPr>
        <w:t>Table 1: Details of the case study dwellings.</w:t>
      </w:r>
    </w:p>
    <w:tbl>
      <w:tblPr>
        <w:tblStyle w:val="TableGrid"/>
        <w:tblW w:w="0" w:type="auto"/>
        <w:tblLook w:val="04A0" w:firstRow="1" w:lastRow="0" w:firstColumn="1" w:lastColumn="0" w:noHBand="0" w:noVBand="1"/>
      </w:tblPr>
      <w:tblGrid>
        <w:gridCol w:w="874"/>
        <w:gridCol w:w="1219"/>
        <w:gridCol w:w="1417"/>
        <w:gridCol w:w="1560"/>
        <w:gridCol w:w="1134"/>
        <w:gridCol w:w="1275"/>
        <w:gridCol w:w="1241"/>
      </w:tblGrid>
      <w:tr w:rsidR="004E6003" w:rsidTr="004E6003">
        <w:tc>
          <w:tcPr>
            <w:tcW w:w="874" w:type="dxa"/>
          </w:tcPr>
          <w:p w:rsidR="004E6003" w:rsidRPr="005276B7" w:rsidRDefault="004E6003" w:rsidP="005276B7">
            <w:pPr>
              <w:spacing w:after="200"/>
              <w:jc w:val="center"/>
              <w:rPr>
                <w:b/>
                <w:sz w:val="16"/>
                <w:szCs w:val="16"/>
              </w:rPr>
            </w:pPr>
            <w:r w:rsidRPr="005276B7">
              <w:rPr>
                <w:b/>
                <w:sz w:val="16"/>
                <w:szCs w:val="16"/>
              </w:rPr>
              <w:t>Dwelling</w:t>
            </w:r>
          </w:p>
        </w:tc>
        <w:tc>
          <w:tcPr>
            <w:tcW w:w="1219" w:type="dxa"/>
          </w:tcPr>
          <w:p w:rsidR="004E6003" w:rsidRPr="005276B7" w:rsidRDefault="004E6003" w:rsidP="005276B7">
            <w:pPr>
              <w:spacing w:after="200"/>
              <w:jc w:val="center"/>
              <w:rPr>
                <w:b/>
                <w:sz w:val="16"/>
                <w:szCs w:val="16"/>
              </w:rPr>
            </w:pPr>
            <w:r w:rsidRPr="005276B7">
              <w:rPr>
                <w:b/>
                <w:sz w:val="16"/>
                <w:szCs w:val="16"/>
              </w:rPr>
              <w:t>Form</w:t>
            </w:r>
          </w:p>
        </w:tc>
        <w:tc>
          <w:tcPr>
            <w:tcW w:w="1417" w:type="dxa"/>
          </w:tcPr>
          <w:p w:rsidR="004E6003" w:rsidRPr="005276B7" w:rsidRDefault="004E6003" w:rsidP="005276B7">
            <w:pPr>
              <w:spacing w:after="200"/>
              <w:jc w:val="center"/>
              <w:rPr>
                <w:b/>
                <w:sz w:val="16"/>
                <w:szCs w:val="16"/>
              </w:rPr>
            </w:pPr>
            <w:r w:rsidRPr="005276B7">
              <w:rPr>
                <w:b/>
                <w:sz w:val="16"/>
                <w:szCs w:val="16"/>
              </w:rPr>
              <w:t>No. of storeys</w:t>
            </w:r>
          </w:p>
        </w:tc>
        <w:tc>
          <w:tcPr>
            <w:tcW w:w="1560" w:type="dxa"/>
          </w:tcPr>
          <w:p w:rsidR="004E6003" w:rsidRPr="005276B7" w:rsidRDefault="004E6003" w:rsidP="005276B7">
            <w:pPr>
              <w:spacing w:after="200"/>
              <w:jc w:val="center"/>
              <w:rPr>
                <w:b/>
                <w:sz w:val="16"/>
                <w:szCs w:val="16"/>
              </w:rPr>
            </w:pPr>
            <w:r w:rsidRPr="005276B7">
              <w:rPr>
                <w:b/>
                <w:sz w:val="16"/>
                <w:szCs w:val="16"/>
              </w:rPr>
              <w:t>Main external wall construction</w:t>
            </w:r>
          </w:p>
        </w:tc>
        <w:tc>
          <w:tcPr>
            <w:tcW w:w="1134" w:type="dxa"/>
          </w:tcPr>
          <w:p w:rsidR="004E6003" w:rsidRPr="005276B7" w:rsidRDefault="004E6003" w:rsidP="005276B7">
            <w:pPr>
              <w:spacing w:after="200"/>
              <w:jc w:val="center"/>
              <w:rPr>
                <w:b/>
                <w:sz w:val="16"/>
                <w:szCs w:val="16"/>
              </w:rPr>
            </w:pPr>
            <w:r w:rsidRPr="005276B7">
              <w:rPr>
                <w:b/>
                <w:sz w:val="16"/>
                <w:szCs w:val="16"/>
              </w:rPr>
              <w:t>Gross floor area (m</w:t>
            </w:r>
            <w:r w:rsidRPr="005276B7">
              <w:rPr>
                <w:b/>
                <w:sz w:val="16"/>
                <w:szCs w:val="16"/>
                <w:vertAlign w:val="superscript"/>
              </w:rPr>
              <w:t>2</w:t>
            </w:r>
            <w:r w:rsidRPr="005276B7">
              <w:rPr>
                <w:b/>
                <w:sz w:val="16"/>
                <w:szCs w:val="16"/>
              </w:rPr>
              <w:t>)</w:t>
            </w:r>
          </w:p>
        </w:tc>
        <w:tc>
          <w:tcPr>
            <w:tcW w:w="1275" w:type="dxa"/>
          </w:tcPr>
          <w:p w:rsidR="004E6003" w:rsidRPr="005276B7" w:rsidRDefault="004E6003" w:rsidP="005276B7">
            <w:pPr>
              <w:spacing w:after="200"/>
              <w:jc w:val="center"/>
              <w:rPr>
                <w:b/>
                <w:sz w:val="16"/>
                <w:szCs w:val="16"/>
              </w:rPr>
            </w:pPr>
            <w:r>
              <w:rPr>
                <w:b/>
                <w:sz w:val="16"/>
                <w:szCs w:val="16"/>
              </w:rPr>
              <w:t xml:space="preserve">Design </w:t>
            </w:r>
            <w:r w:rsidR="001354F8">
              <w:rPr>
                <w:b/>
                <w:sz w:val="16"/>
                <w:szCs w:val="16"/>
              </w:rPr>
              <w:t>standard</w:t>
            </w:r>
          </w:p>
        </w:tc>
        <w:tc>
          <w:tcPr>
            <w:tcW w:w="1241" w:type="dxa"/>
          </w:tcPr>
          <w:p w:rsidR="004E6003" w:rsidRDefault="004E6003" w:rsidP="005276B7">
            <w:pPr>
              <w:spacing w:after="200"/>
              <w:jc w:val="center"/>
              <w:rPr>
                <w:b/>
                <w:sz w:val="16"/>
                <w:szCs w:val="16"/>
              </w:rPr>
            </w:pPr>
            <w:r>
              <w:rPr>
                <w:b/>
                <w:sz w:val="16"/>
                <w:szCs w:val="16"/>
              </w:rPr>
              <w:t>Test period</w:t>
            </w:r>
          </w:p>
        </w:tc>
      </w:tr>
      <w:tr w:rsidR="004E6003" w:rsidTr="004E6003">
        <w:tc>
          <w:tcPr>
            <w:tcW w:w="874" w:type="dxa"/>
          </w:tcPr>
          <w:p w:rsidR="004E6003" w:rsidRPr="00A75414" w:rsidRDefault="004E6003" w:rsidP="004E6003">
            <w:pPr>
              <w:spacing w:after="200"/>
              <w:rPr>
                <w:sz w:val="16"/>
                <w:szCs w:val="16"/>
              </w:rPr>
            </w:pPr>
            <w:r w:rsidRPr="00A75414">
              <w:rPr>
                <w:sz w:val="16"/>
                <w:szCs w:val="16"/>
              </w:rPr>
              <w:t>1A</w:t>
            </w:r>
          </w:p>
        </w:tc>
        <w:tc>
          <w:tcPr>
            <w:tcW w:w="1219" w:type="dxa"/>
          </w:tcPr>
          <w:p w:rsidR="004E6003" w:rsidRPr="00A75414" w:rsidRDefault="004E6003" w:rsidP="005276B7">
            <w:pPr>
              <w:spacing w:after="200"/>
              <w:rPr>
                <w:sz w:val="16"/>
                <w:szCs w:val="16"/>
              </w:rPr>
            </w:pPr>
            <w:r w:rsidRPr="00A75414">
              <w:rPr>
                <w:sz w:val="16"/>
                <w:szCs w:val="16"/>
              </w:rPr>
              <w:t>End-terraced bungalow</w:t>
            </w:r>
          </w:p>
        </w:tc>
        <w:tc>
          <w:tcPr>
            <w:tcW w:w="1417" w:type="dxa"/>
          </w:tcPr>
          <w:p w:rsidR="004E6003" w:rsidRPr="00A75414" w:rsidRDefault="004E6003" w:rsidP="005276B7">
            <w:pPr>
              <w:spacing w:after="200"/>
              <w:rPr>
                <w:sz w:val="16"/>
                <w:szCs w:val="16"/>
              </w:rPr>
            </w:pPr>
            <w:r w:rsidRPr="00A75414">
              <w:rPr>
                <w:sz w:val="16"/>
                <w:szCs w:val="16"/>
              </w:rPr>
              <w:t>1 plus mezzanine plant area</w:t>
            </w:r>
          </w:p>
        </w:tc>
        <w:tc>
          <w:tcPr>
            <w:tcW w:w="1560" w:type="dxa"/>
          </w:tcPr>
          <w:p w:rsidR="004E6003" w:rsidRPr="00A75414" w:rsidRDefault="004E6003" w:rsidP="005276B7">
            <w:pPr>
              <w:spacing w:after="200"/>
              <w:rPr>
                <w:sz w:val="16"/>
                <w:szCs w:val="16"/>
              </w:rPr>
            </w:pPr>
            <w:r w:rsidRPr="00A75414">
              <w:rPr>
                <w:sz w:val="16"/>
                <w:szCs w:val="16"/>
              </w:rPr>
              <w:t>Pre-fabricated timber-frame cassette</w:t>
            </w:r>
          </w:p>
        </w:tc>
        <w:tc>
          <w:tcPr>
            <w:tcW w:w="1134" w:type="dxa"/>
          </w:tcPr>
          <w:p w:rsidR="004E6003" w:rsidRPr="00A75414" w:rsidRDefault="004E6003" w:rsidP="005276B7">
            <w:pPr>
              <w:spacing w:after="200"/>
              <w:rPr>
                <w:sz w:val="16"/>
                <w:szCs w:val="16"/>
              </w:rPr>
            </w:pPr>
            <w:r w:rsidRPr="00A75414">
              <w:rPr>
                <w:sz w:val="16"/>
                <w:szCs w:val="16"/>
              </w:rPr>
              <w:t>66</w:t>
            </w:r>
          </w:p>
        </w:tc>
        <w:tc>
          <w:tcPr>
            <w:tcW w:w="1275" w:type="dxa"/>
          </w:tcPr>
          <w:p w:rsidR="004E6003" w:rsidRPr="00A75414" w:rsidRDefault="004E6003" w:rsidP="005276B7">
            <w:pPr>
              <w:spacing w:after="200"/>
              <w:rPr>
                <w:sz w:val="16"/>
                <w:szCs w:val="16"/>
              </w:rPr>
            </w:pPr>
            <w:r>
              <w:rPr>
                <w:sz w:val="16"/>
                <w:szCs w:val="16"/>
              </w:rPr>
              <w:t>Passivhaus</w:t>
            </w:r>
          </w:p>
        </w:tc>
        <w:tc>
          <w:tcPr>
            <w:tcW w:w="1241" w:type="dxa"/>
          </w:tcPr>
          <w:p w:rsidR="004E6003" w:rsidRDefault="004E6003" w:rsidP="005276B7">
            <w:pPr>
              <w:spacing w:after="200"/>
              <w:rPr>
                <w:sz w:val="16"/>
                <w:szCs w:val="16"/>
              </w:rPr>
            </w:pPr>
            <w:r>
              <w:rPr>
                <w:sz w:val="16"/>
                <w:szCs w:val="16"/>
              </w:rPr>
              <w:t>8/11/11 – 22/12/11</w:t>
            </w:r>
          </w:p>
        </w:tc>
      </w:tr>
      <w:tr w:rsidR="004E6003" w:rsidTr="004E6003">
        <w:tc>
          <w:tcPr>
            <w:tcW w:w="874" w:type="dxa"/>
          </w:tcPr>
          <w:p w:rsidR="004E6003" w:rsidRPr="00A75414" w:rsidRDefault="004E6003" w:rsidP="004E6003">
            <w:pPr>
              <w:spacing w:after="200"/>
              <w:rPr>
                <w:sz w:val="16"/>
                <w:szCs w:val="16"/>
              </w:rPr>
            </w:pPr>
            <w:r w:rsidRPr="00A75414">
              <w:rPr>
                <w:sz w:val="16"/>
                <w:szCs w:val="16"/>
              </w:rPr>
              <w:t>1B</w:t>
            </w:r>
          </w:p>
        </w:tc>
        <w:tc>
          <w:tcPr>
            <w:tcW w:w="1219" w:type="dxa"/>
          </w:tcPr>
          <w:p w:rsidR="004E6003" w:rsidRPr="00A75414" w:rsidRDefault="004E6003" w:rsidP="005276B7">
            <w:pPr>
              <w:spacing w:after="200"/>
              <w:rPr>
                <w:sz w:val="16"/>
                <w:szCs w:val="16"/>
              </w:rPr>
            </w:pPr>
            <w:r w:rsidRPr="00A75414">
              <w:rPr>
                <w:sz w:val="16"/>
                <w:szCs w:val="16"/>
              </w:rPr>
              <w:t>Mid-terraced bungalow</w:t>
            </w:r>
          </w:p>
        </w:tc>
        <w:tc>
          <w:tcPr>
            <w:tcW w:w="1417" w:type="dxa"/>
          </w:tcPr>
          <w:p w:rsidR="004E6003" w:rsidRPr="00A75414" w:rsidRDefault="004E6003" w:rsidP="005276B7">
            <w:pPr>
              <w:spacing w:after="200"/>
              <w:rPr>
                <w:sz w:val="16"/>
                <w:szCs w:val="16"/>
              </w:rPr>
            </w:pPr>
            <w:r w:rsidRPr="00A75414">
              <w:rPr>
                <w:sz w:val="16"/>
                <w:szCs w:val="16"/>
              </w:rPr>
              <w:t>1 plus mezzanine plant area</w:t>
            </w:r>
          </w:p>
        </w:tc>
        <w:tc>
          <w:tcPr>
            <w:tcW w:w="1560" w:type="dxa"/>
          </w:tcPr>
          <w:p w:rsidR="004E6003" w:rsidRPr="00A75414" w:rsidRDefault="004E6003" w:rsidP="005276B7">
            <w:pPr>
              <w:spacing w:after="200"/>
              <w:rPr>
                <w:sz w:val="16"/>
                <w:szCs w:val="16"/>
              </w:rPr>
            </w:pPr>
            <w:r w:rsidRPr="00A75414">
              <w:rPr>
                <w:sz w:val="16"/>
                <w:szCs w:val="16"/>
              </w:rPr>
              <w:t>Pre-fabricated timber-frame cassette</w:t>
            </w:r>
          </w:p>
        </w:tc>
        <w:tc>
          <w:tcPr>
            <w:tcW w:w="1134" w:type="dxa"/>
          </w:tcPr>
          <w:p w:rsidR="004E6003" w:rsidRPr="00A75414" w:rsidRDefault="004E6003" w:rsidP="005276B7">
            <w:pPr>
              <w:spacing w:after="200"/>
              <w:rPr>
                <w:sz w:val="16"/>
                <w:szCs w:val="16"/>
              </w:rPr>
            </w:pPr>
            <w:r w:rsidRPr="00A75414">
              <w:rPr>
                <w:sz w:val="16"/>
                <w:szCs w:val="16"/>
              </w:rPr>
              <w:t>66</w:t>
            </w:r>
          </w:p>
        </w:tc>
        <w:tc>
          <w:tcPr>
            <w:tcW w:w="1275" w:type="dxa"/>
          </w:tcPr>
          <w:p w:rsidR="004E6003" w:rsidRPr="00A75414" w:rsidRDefault="004E6003" w:rsidP="005276B7">
            <w:pPr>
              <w:spacing w:after="200"/>
              <w:rPr>
                <w:sz w:val="16"/>
                <w:szCs w:val="16"/>
              </w:rPr>
            </w:pPr>
            <w:r>
              <w:rPr>
                <w:sz w:val="16"/>
                <w:szCs w:val="16"/>
              </w:rPr>
              <w:t>Passivhaus</w:t>
            </w:r>
          </w:p>
        </w:tc>
        <w:tc>
          <w:tcPr>
            <w:tcW w:w="1241" w:type="dxa"/>
          </w:tcPr>
          <w:p w:rsidR="004E6003" w:rsidRDefault="004E6003" w:rsidP="005276B7">
            <w:pPr>
              <w:spacing w:after="200"/>
              <w:rPr>
                <w:sz w:val="16"/>
                <w:szCs w:val="16"/>
              </w:rPr>
            </w:pPr>
            <w:r w:rsidRPr="004E6003">
              <w:rPr>
                <w:sz w:val="16"/>
                <w:szCs w:val="16"/>
              </w:rPr>
              <w:t>8/11</w:t>
            </w:r>
            <w:r>
              <w:rPr>
                <w:sz w:val="16"/>
                <w:szCs w:val="16"/>
              </w:rPr>
              <w:t>/11</w:t>
            </w:r>
            <w:r w:rsidRPr="004E6003">
              <w:rPr>
                <w:sz w:val="16"/>
                <w:szCs w:val="16"/>
              </w:rPr>
              <w:t xml:space="preserve"> – 22/12/11</w:t>
            </w:r>
          </w:p>
        </w:tc>
      </w:tr>
      <w:tr w:rsidR="004E6003" w:rsidTr="004E6003">
        <w:tc>
          <w:tcPr>
            <w:tcW w:w="874" w:type="dxa"/>
          </w:tcPr>
          <w:p w:rsidR="004E6003" w:rsidRPr="00A75414" w:rsidRDefault="004E6003" w:rsidP="004E6003">
            <w:pPr>
              <w:spacing w:after="200"/>
              <w:rPr>
                <w:sz w:val="16"/>
                <w:szCs w:val="16"/>
              </w:rPr>
            </w:pPr>
            <w:r w:rsidRPr="00A75414">
              <w:rPr>
                <w:sz w:val="16"/>
                <w:szCs w:val="16"/>
              </w:rPr>
              <w:t>2</w:t>
            </w:r>
          </w:p>
        </w:tc>
        <w:tc>
          <w:tcPr>
            <w:tcW w:w="1219" w:type="dxa"/>
          </w:tcPr>
          <w:p w:rsidR="004E6003" w:rsidRPr="00A75414" w:rsidRDefault="004E6003" w:rsidP="005276B7">
            <w:pPr>
              <w:spacing w:after="200"/>
              <w:rPr>
                <w:sz w:val="16"/>
                <w:szCs w:val="16"/>
              </w:rPr>
            </w:pPr>
            <w:r w:rsidRPr="00A75414">
              <w:rPr>
                <w:sz w:val="16"/>
                <w:szCs w:val="16"/>
              </w:rPr>
              <w:t>End-terrace</w:t>
            </w:r>
          </w:p>
        </w:tc>
        <w:tc>
          <w:tcPr>
            <w:tcW w:w="1417" w:type="dxa"/>
          </w:tcPr>
          <w:p w:rsidR="004E6003" w:rsidRPr="00A75414" w:rsidRDefault="004E6003" w:rsidP="005276B7">
            <w:pPr>
              <w:spacing w:after="200"/>
              <w:rPr>
                <w:sz w:val="16"/>
                <w:szCs w:val="16"/>
              </w:rPr>
            </w:pPr>
            <w:r w:rsidRPr="00A75414">
              <w:rPr>
                <w:sz w:val="16"/>
                <w:szCs w:val="16"/>
              </w:rPr>
              <w:t>2</w:t>
            </w:r>
          </w:p>
        </w:tc>
        <w:tc>
          <w:tcPr>
            <w:tcW w:w="1560" w:type="dxa"/>
          </w:tcPr>
          <w:p w:rsidR="004E6003" w:rsidRPr="00A75414" w:rsidRDefault="004E6003" w:rsidP="00A75414">
            <w:pPr>
              <w:spacing w:after="200"/>
              <w:rPr>
                <w:sz w:val="16"/>
                <w:szCs w:val="16"/>
              </w:rPr>
            </w:pPr>
            <w:r w:rsidRPr="00A75414">
              <w:rPr>
                <w:sz w:val="16"/>
                <w:szCs w:val="16"/>
              </w:rPr>
              <w:t xml:space="preserve">Full fill masonry </w:t>
            </w:r>
            <w:r w:rsidRPr="00A75414">
              <w:rPr>
                <w:sz w:val="16"/>
                <w:szCs w:val="16"/>
              </w:rPr>
              <w:lastRenderedPageBreak/>
              <w:t>cavity</w:t>
            </w:r>
          </w:p>
        </w:tc>
        <w:tc>
          <w:tcPr>
            <w:tcW w:w="1134" w:type="dxa"/>
          </w:tcPr>
          <w:p w:rsidR="004E6003" w:rsidRPr="00A75414" w:rsidRDefault="004E6003" w:rsidP="005276B7">
            <w:pPr>
              <w:spacing w:after="200"/>
              <w:rPr>
                <w:sz w:val="16"/>
                <w:szCs w:val="16"/>
              </w:rPr>
            </w:pPr>
            <w:r w:rsidRPr="00A75414">
              <w:rPr>
                <w:sz w:val="16"/>
                <w:szCs w:val="16"/>
              </w:rPr>
              <w:lastRenderedPageBreak/>
              <w:t>65</w:t>
            </w:r>
          </w:p>
        </w:tc>
        <w:tc>
          <w:tcPr>
            <w:tcW w:w="1275" w:type="dxa"/>
          </w:tcPr>
          <w:p w:rsidR="004E6003" w:rsidRPr="00A75414" w:rsidRDefault="004E6003" w:rsidP="005276B7">
            <w:pPr>
              <w:spacing w:after="200"/>
              <w:rPr>
                <w:sz w:val="16"/>
                <w:szCs w:val="16"/>
              </w:rPr>
            </w:pPr>
            <w:r>
              <w:rPr>
                <w:sz w:val="16"/>
                <w:szCs w:val="16"/>
              </w:rPr>
              <w:t>Passivhaus</w:t>
            </w:r>
          </w:p>
        </w:tc>
        <w:tc>
          <w:tcPr>
            <w:tcW w:w="1241" w:type="dxa"/>
          </w:tcPr>
          <w:p w:rsidR="004E6003" w:rsidRDefault="004E6003" w:rsidP="005276B7">
            <w:pPr>
              <w:spacing w:after="200"/>
              <w:rPr>
                <w:sz w:val="16"/>
                <w:szCs w:val="16"/>
              </w:rPr>
            </w:pPr>
            <w:r>
              <w:rPr>
                <w:sz w:val="16"/>
                <w:szCs w:val="16"/>
              </w:rPr>
              <w:t>8-29/1/13</w:t>
            </w:r>
          </w:p>
        </w:tc>
      </w:tr>
      <w:tr w:rsidR="004E6003" w:rsidTr="004E6003">
        <w:tc>
          <w:tcPr>
            <w:tcW w:w="874" w:type="dxa"/>
          </w:tcPr>
          <w:p w:rsidR="004E6003" w:rsidRPr="00A75414" w:rsidRDefault="004E6003" w:rsidP="004E6003">
            <w:pPr>
              <w:spacing w:after="200"/>
              <w:rPr>
                <w:sz w:val="16"/>
                <w:szCs w:val="16"/>
              </w:rPr>
            </w:pPr>
            <w:r w:rsidRPr="00A75414">
              <w:rPr>
                <w:sz w:val="16"/>
                <w:szCs w:val="16"/>
              </w:rPr>
              <w:lastRenderedPageBreak/>
              <w:t>3A</w:t>
            </w:r>
          </w:p>
        </w:tc>
        <w:tc>
          <w:tcPr>
            <w:tcW w:w="1219" w:type="dxa"/>
          </w:tcPr>
          <w:p w:rsidR="004E6003" w:rsidRPr="00A75414" w:rsidRDefault="004E6003" w:rsidP="005276B7">
            <w:pPr>
              <w:spacing w:after="200"/>
              <w:rPr>
                <w:sz w:val="16"/>
                <w:szCs w:val="16"/>
              </w:rPr>
            </w:pPr>
            <w:r w:rsidRPr="00A75414">
              <w:rPr>
                <w:sz w:val="16"/>
                <w:szCs w:val="16"/>
              </w:rPr>
              <w:t>Semi-detached</w:t>
            </w:r>
          </w:p>
        </w:tc>
        <w:tc>
          <w:tcPr>
            <w:tcW w:w="1417" w:type="dxa"/>
          </w:tcPr>
          <w:p w:rsidR="004E6003" w:rsidRPr="00A75414" w:rsidRDefault="004E6003" w:rsidP="005276B7">
            <w:pPr>
              <w:spacing w:after="200"/>
              <w:rPr>
                <w:sz w:val="16"/>
                <w:szCs w:val="16"/>
              </w:rPr>
            </w:pPr>
            <w:r w:rsidRPr="00A75414">
              <w:rPr>
                <w:sz w:val="16"/>
                <w:szCs w:val="16"/>
              </w:rPr>
              <w:t>2</w:t>
            </w:r>
          </w:p>
        </w:tc>
        <w:tc>
          <w:tcPr>
            <w:tcW w:w="1560" w:type="dxa"/>
          </w:tcPr>
          <w:p w:rsidR="004E6003" w:rsidRPr="00A75414" w:rsidRDefault="004E6003" w:rsidP="00A75414">
            <w:pPr>
              <w:spacing w:after="200"/>
              <w:rPr>
                <w:sz w:val="16"/>
                <w:szCs w:val="16"/>
              </w:rPr>
            </w:pPr>
            <w:r w:rsidRPr="00A75414">
              <w:rPr>
                <w:sz w:val="16"/>
                <w:szCs w:val="16"/>
              </w:rPr>
              <w:t>Full fill masonry cavity</w:t>
            </w:r>
          </w:p>
        </w:tc>
        <w:tc>
          <w:tcPr>
            <w:tcW w:w="1134" w:type="dxa"/>
          </w:tcPr>
          <w:p w:rsidR="004E6003" w:rsidRPr="00A75414" w:rsidRDefault="004E6003" w:rsidP="005276B7">
            <w:pPr>
              <w:spacing w:after="200"/>
              <w:rPr>
                <w:sz w:val="16"/>
                <w:szCs w:val="16"/>
              </w:rPr>
            </w:pPr>
            <w:r>
              <w:rPr>
                <w:sz w:val="16"/>
                <w:szCs w:val="16"/>
              </w:rPr>
              <w:t>93</w:t>
            </w:r>
          </w:p>
        </w:tc>
        <w:tc>
          <w:tcPr>
            <w:tcW w:w="1275" w:type="dxa"/>
          </w:tcPr>
          <w:p w:rsidR="004E6003" w:rsidRPr="00A75414" w:rsidRDefault="004E6003" w:rsidP="005276B7">
            <w:pPr>
              <w:spacing w:after="200"/>
              <w:rPr>
                <w:sz w:val="16"/>
                <w:szCs w:val="16"/>
              </w:rPr>
            </w:pPr>
            <w:r w:rsidRPr="001D5280">
              <w:rPr>
                <w:sz w:val="16"/>
                <w:szCs w:val="16"/>
              </w:rPr>
              <w:t>Code for Sustainable Homes Level 5</w:t>
            </w:r>
          </w:p>
        </w:tc>
        <w:tc>
          <w:tcPr>
            <w:tcW w:w="1241" w:type="dxa"/>
          </w:tcPr>
          <w:p w:rsidR="004E6003" w:rsidRPr="001D5280" w:rsidRDefault="004E6003" w:rsidP="005276B7">
            <w:pPr>
              <w:spacing w:after="200"/>
              <w:rPr>
                <w:sz w:val="16"/>
                <w:szCs w:val="16"/>
              </w:rPr>
            </w:pPr>
            <w:r>
              <w:rPr>
                <w:sz w:val="16"/>
                <w:szCs w:val="16"/>
              </w:rPr>
              <w:t>23/10/12-19/12/12</w:t>
            </w:r>
          </w:p>
        </w:tc>
      </w:tr>
      <w:tr w:rsidR="004E6003" w:rsidTr="004E6003">
        <w:tc>
          <w:tcPr>
            <w:tcW w:w="874" w:type="dxa"/>
          </w:tcPr>
          <w:p w:rsidR="004E6003" w:rsidRPr="00A75414" w:rsidRDefault="004E6003" w:rsidP="004E6003">
            <w:pPr>
              <w:spacing w:after="200"/>
              <w:rPr>
                <w:sz w:val="16"/>
                <w:szCs w:val="16"/>
              </w:rPr>
            </w:pPr>
            <w:r w:rsidRPr="00A75414">
              <w:rPr>
                <w:sz w:val="16"/>
                <w:szCs w:val="16"/>
              </w:rPr>
              <w:t>3B</w:t>
            </w:r>
          </w:p>
        </w:tc>
        <w:tc>
          <w:tcPr>
            <w:tcW w:w="1219" w:type="dxa"/>
          </w:tcPr>
          <w:p w:rsidR="004E6003" w:rsidRPr="00A75414" w:rsidRDefault="004E6003" w:rsidP="005276B7">
            <w:pPr>
              <w:spacing w:after="200"/>
              <w:rPr>
                <w:sz w:val="16"/>
                <w:szCs w:val="16"/>
              </w:rPr>
            </w:pPr>
            <w:r w:rsidRPr="00A75414">
              <w:rPr>
                <w:sz w:val="16"/>
                <w:szCs w:val="16"/>
              </w:rPr>
              <w:t>Semi-detached</w:t>
            </w:r>
          </w:p>
        </w:tc>
        <w:tc>
          <w:tcPr>
            <w:tcW w:w="1417" w:type="dxa"/>
          </w:tcPr>
          <w:p w:rsidR="004E6003" w:rsidRPr="00A75414" w:rsidRDefault="004E6003" w:rsidP="005276B7">
            <w:pPr>
              <w:spacing w:after="200"/>
              <w:rPr>
                <w:sz w:val="16"/>
                <w:szCs w:val="16"/>
              </w:rPr>
            </w:pPr>
            <w:r w:rsidRPr="00A75414">
              <w:rPr>
                <w:sz w:val="16"/>
                <w:szCs w:val="16"/>
              </w:rPr>
              <w:t>2</w:t>
            </w:r>
          </w:p>
        </w:tc>
        <w:tc>
          <w:tcPr>
            <w:tcW w:w="1560" w:type="dxa"/>
          </w:tcPr>
          <w:p w:rsidR="004E6003" w:rsidRPr="00A75414" w:rsidRDefault="004E6003" w:rsidP="00A75414">
            <w:pPr>
              <w:spacing w:after="200"/>
              <w:rPr>
                <w:sz w:val="16"/>
                <w:szCs w:val="16"/>
              </w:rPr>
            </w:pPr>
            <w:r w:rsidRPr="00A75414">
              <w:rPr>
                <w:sz w:val="16"/>
                <w:szCs w:val="16"/>
              </w:rPr>
              <w:t>Full fill masonry cavity</w:t>
            </w:r>
          </w:p>
        </w:tc>
        <w:tc>
          <w:tcPr>
            <w:tcW w:w="1134" w:type="dxa"/>
          </w:tcPr>
          <w:p w:rsidR="004E6003" w:rsidRPr="00A75414" w:rsidRDefault="004E6003" w:rsidP="005276B7">
            <w:pPr>
              <w:spacing w:after="200"/>
              <w:rPr>
                <w:sz w:val="16"/>
                <w:szCs w:val="16"/>
              </w:rPr>
            </w:pPr>
            <w:r>
              <w:rPr>
                <w:sz w:val="16"/>
                <w:szCs w:val="16"/>
              </w:rPr>
              <w:t>93</w:t>
            </w:r>
          </w:p>
        </w:tc>
        <w:tc>
          <w:tcPr>
            <w:tcW w:w="1275" w:type="dxa"/>
          </w:tcPr>
          <w:p w:rsidR="004E6003" w:rsidRPr="00A75414" w:rsidRDefault="004E6003" w:rsidP="005276B7">
            <w:pPr>
              <w:spacing w:after="200"/>
              <w:rPr>
                <w:sz w:val="16"/>
                <w:szCs w:val="16"/>
              </w:rPr>
            </w:pPr>
            <w:r>
              <w:rPr>
                <w:sz w:val="16"/>
                <w:szCs w:val="16"/>
              </w:rPr>
              <w:t>Code for Sustainable Homes</w:t>
            </w:r>
            <w:r w:rsidRPr="00236E91">
              <w:rPr>
                <w:sz w:val="16"/>
                <w:szCs w:val="16"/>
              </w:rPr>
              <w:t xml:space="preserve"> Level 5</w:t>
            </w:r>
            <w:r>
              <w:rPr>
                <w:sz w:val="16"/>
                <w:szCs w:val="16"/>
              </w:rPr>
              <w:t xml:space="preserve"> </w:t>
            </w:r>
          </w:p>
        </w:tc>
        <w:tc>
          <w:tcPr>
            <w:tcW w:w="1241" w:type="dxa"/>
          </w:tcPr>
          <w:p w:rsidR="004E6003" w:rsidRDefault="004E6003" w:rsidP="005276B7">
            <w:pPr>
              <w:spacing w:after="200"/>
              <w:rPr>
                <w:sz w:val="16"/>
                <w:szCs w:val="16"/>
              </w:rPr>
            </w:pPr>
            <w:r w:rsidRPr="004E6003">
              <w:rPr>
                <w:sz w:val="16"/>
                <w:szCs w:val="16"/>
              </w:rPr>
              <w:t>23/10/12-19/12/12</w:t>
            </w:r>
          </w:p>
        </w:tc>
      </w:tr>
      <w:tr w:rsidR="004E6003" w:rsidTr="004E6003">
        <w:tc>
          <w:tcPr>
            <w:tcW w:w="874" w:type="dxa"/>
          </w:tcPr>
          <w:p w:rsidR="004E6003" w:rsidRPr="00A75414" w:rsidRDefault="004E6003" w:rsidP="004E6003">
            <w:pPr>
              <w:spacing w:after="200"/>
              <w:rPr>
                <w:sz w:val="16"/>
                <w:szCs w:val="16"/>
              </w:rPr>
            </w:pPr>
            <w:r w:rsidRPr="00A75414">
              <w:rPr>
                <w:sz w:val="16"/>
                <w:szCs w:val="16"/>
              </w:rPr>
              <w:t>4</w:t>
            </w:r>
          </w:p>
        </w:tc>
        <w:tc>
          <w:tcPr>
            <w:tcW w:w="1219" w:type="dxa"/>
          </w:tcPr>
          <w:p w:rsidR="004E6003" w:rsidRPr="00A75414" w:rsidRDefault="004E6003" w:rsidP="005276B7">
            <w:pPr>
              <w:spacing w:after="200"/>
              <w:rPr>
                <w:sz w:val="16"/>
                <w:szCs w:val="16"/>
              </w:rPr>
            </w:pPr>
            <w:r w:rsidRPr="00A75414">
              <w:rPr>
                <w:sz w:val="16"/>
                <w:szCs w:val="16"/>
              </w:rPr>
              <w:t>Semi-detached</w:t>
            </w:r>
          </w:p>
        </w:tc>
        <w:tc>
          <w:tcPr>
            <w:tcW w:w="1417" w:type="dxa"/>
          </w:tcPr>
          <w:p w:rsidR="004E6003" w:rsidRPr="00A75414" w:rsidRDefault="004E6003" w:rsidP="005276B7">
            <w:pPr>
              <w:spacing w:after="200"/>
              <w:rPr>
                <w:sz w:val="16"/>
                <w:szCs w:val="16"/>
              </w:rPr>
            </w:pPr>
            <w:r w:rsidRPr="00A75414">
              <w:rPr>
                <w:sz w:val="16"/>
                <w:szCs w:val="16"/>
              </w:rPr>
              <w:t>2</w:t>
            </w:r>
          </w:p>
        </w:tc>
        <w:tc>
          <w:tcPr>
            <w:tcW w:w="1560" w:type="dxa"/>
          </w:tcPr>
          <w:p w:rsidR="004E6003" w:rsidRPr="00A75414" w:rsidRDefault="004E6003" w:rsidP="005276B7">
            <w:pPr>
              <w:spacing w:after="200"/>
              <w:rPr>
                <w:sz w:val="16"/>
                <w:szCs w:val="16"/>
              </w:rPr>
            </w:pPr>
            <w:r w:rsidRPr="00A75414">
              <w:rPr>
                <w:sz w:val="16"/>
                <w:szCs w:val="16"/>
              </w:rPr>
              <w:t>Partial fill thin joint masonry cavity</w:t>
            </w:r>
          </w:p>
        </w:tc>
        <w:tc>
          <w:tcPr>
            <w:tcW w:w="1134" w:type="dxa"/>
          </w:tcPr>
          <w:p w:rsidR="004E6003" w:rsidRPr="00A75414" w:rsidRDefault="004E6003" w:rsidP="005276B7">
            <w:pPr>
              <w:spacing w:after="200"/>
              <w:rPr>
                <w:sz w:val="16"/>
                <w:szCs w:val="16"/>
              </w:rPr>
            </w:pPr>
            <w:r>
              <w:rPr>
                <w:sz w:val="16"/>
                <w:szCs w:val="16"/>
              </w:rPr>
              <w:t>90</w:t>
            </w:r>
          </w:p>
        </w:tc>
        <w:tc>
          <w:tcPr>
            <w:tcW w:w="1275" w:type="dxa"/>
          </w:tcPr>
          <w:p w:rsidR="004E6003" w:rsidRPr="00A75414" w:rsidRDefault="004E6003" w:rsidP="005276B7">
            <w:pPr>
              <w:spacing w:after="200"/>
              <w:rPr>
                <w:sz w:val="16"/>
                <w:szCs w:val="16"/>
              </w:rPr>
            </w:pPr>
            <w:r w:rsidRPr="001D5280">
              <w:rPr>
                <w:sz w:val="16"/>
                <w:szCs w:val="16"/>
              </w:rPr>
              <w:t xml:space="preserve">Code for Sustainable Homes Level </w:t>
            </w:r>
            <w:r>
              <w:rPr>
                <w:sz w:val="16"/>
                <w:szCs w:val="16"/>
              </w:rPr>
              <w:t>4</w:t>
            </w:r>
          </w:p>
        </w:tc>
        <w:tc>
          <w:tcPr>
            <w:tcW w:w="1241" w:type="dxa"/>
          </w:tcPr>
          <w:p w:rsidR="004E6003" w:rsidRPr="001D5280" w:rsidRDefault="00B7533D" w:rsidP="005276B7">
            <w:pPr>
              <w:spacing w:after="200"/>
              <w:rPr>
                <w:sz w:val="16"/>
                <w:szCs w:val="16"/>
              </w:rPr>
            </w:pPr>
            <w:r>
              <w:rPr>
                <w:sz w:val="16"/>
                <w:szCs w:val="16"/>
              </w:rPr>
              <w:t>08/03/13-04/03/13</w:t>
            </w:r>
          </w:p>
        </w:tc>
      </w:tr>
      <w:tr w:rsidR="004E6003" w:rsidTr="004E6003">
        <w:tc>
          <w:tcPr>
            <w:tcW w:w="874" w:type="dxa"/>
          </w:tcPr>
          <w:p w:rsidR="004E6003" w:rsidRPr="00A75414" w:rsidRDefault="004E6003" w:rsidP="004E6003">
            <w:pPr>
              <w:spacing w:after="200"/>
              <w:rPr>
                <w:sz w:val="16"/>
                <w:szCs w:val="16"/>
              </w:rPr>
            </w:pPr>
            <w:r w:rsidRPr="00A75414">
              <w:rPr>
                <w:sz w:val="16"/>
                <w:szCs w:val="16"/>
              </w:rPr>
              <w:t>5</w:t>
            </w:r>
          </w:p>
        </w:tc>
        <w:tc>
          <w:tcPr>
            <w:tcW w:w="1219" w:type="dxa"/>
          </w:tcPr>
          <w:p w:rsidR="004E6003" w:rsidRPr="00A75414" w:rsidRDefault="004E6003" w:rsidP="005276B7">
            <w:pPr>
              <w:spacing w:after="200"/>
              <w:rPr>
                <w:sz w:val="16"/>
                <w:szCs w:val="16"/>
              </w:rPr>
            </w:pPr>
            <w:r w:rsidRPr="00A75414">
              <w:rPr>
                <w:sz w:val="16"/>
                <w:szCs w:val="16"/>
              </w:rPr>
              <w:t>Detached bungalow</w:t>
            </w:r>
          </w:p>
        </w:tc>
        <w:tc>
          <w:tcPr>
            <w:tcW w:w="1417" w:type="dxa"/>
          </w:tcPr>
          <w:p w:rsidR="004E6003" w:rsidRPr="00A75414" w:rsidRDefault="004E6003" w:rsidP="005276B7">
            <w:pPr>
              <w:spacing w:after="200"/>
              <w:rPr>
                <w:sz w:val="16"/>
                <w:szCs w:val="16"/>
              </w:rPr>
            </w:pPr>
            <w:r w:rsidRPr="00A75414">
              <w:rPr>
                <w:sz w:val="16"/>
                <w:szCs w:val="16"/>
              </w:rPr>
              <w:t>1</w:t>
            </w:r>
          </w:p>
        </w:tc>
        <w:tc>
          <w:tcPr>
            <w:tcW w:w="1560" w:type="dxa"/>
          </w:tcPr>
          <w:p w:rsidR="004E6003" w:rsidRPr="00A75414" w:rsidRDefault="004E6003" w:rsidP="005276B7">
            <w:pPr>
              <w:spacing w:after="200"/>
              <w:rPr>
                <w:sz w:val="16"/>
                <w:szCs w:val="16"/>
              </w:rPr>
            </w:pPr>
            <w:r w:rsidRPr="00A75414">
              <w:rPr>
                <w:sz w:val="16"/>
                <w:szCs w:val="16"/>
              </w:rPr>
              <w:t>Hemcrete</w:t>
            </w:r>
          </w:p>
        </w:tc>
        <w:tc>
          <w:tcPr>
            <w:tcW w:w="1134" w:type="dxa"/>
          </w:tcPr>
          <w:p w:rsidR="004E6003" w:rsidRPr="00A75414" w:rsidRDefault="004E6003" w:rsidP="005276B7">
            <w:pPr>
              <w:spacing w:after="200"/>
              <w:rPr>
                <w:sz w:val="16"/>
                <w:szCs w:val="16"/>
              </w:rPr>
            </w:pPr>
            <w:r>
              <w:rPr>
                <w:sz w:val="16"/>
                <w:szCs w:val="16"/>
              </w:rPr>
              <w:t>157</w:t>
            </w:r>
          </w:p>
        </w:tc>
        <w:tc>
          <w:tcPr>
            <w:tcW w:w="1275" w:type="dxa"/>
          </w:tcPr>
          <w:p w:rsidR="004E6003" w:rsidRPr="00A75414" w:rsidRDefault="004E6003" w:rsidP="005276B7">
            <w:pPr>
              <w:spacing w:after="200"/>
              <w:rPr>
                <w:sz w:val="16"/>
                <w:szCs w:val="16"/>
              </w:rPr>
            </w:pPr>
            <w:r w:rsidRPr="001D5280">
              <w:rPr>
                <w:sz w:val="16"/>
                <w:szCs w:val="16"/>
              </w:rPr>
              <w:t xml:space="preserve">Code for Sustainable Homes Level </w:t>
            </w:r>
            <w:r>
              <w:rPr>
                <w:sz w:val="16"/>
                <w:szCs w:val="16"/>
              </w:rPr>
              <w:t>4</w:t>
            </w:r>
          </w:p>
        </w:tc>
        <w:tc>
          <w:tcPr>
            <w:tcW w:w="1241" w:type="dxa"/>
          </w:tcPr>
          <w:p w:rsidR="004E6003" w:rsidRPr="001D5280" w:rsidRDefault="00B7533D" w:rsidP="005276B7">
            <w:pPr>
              <w:spacing w:after="200"/>
              <w:rPr>
                <w:sz w:val="16"/>
                <w:szCs w:val="16"/>
              </w:rPr>
            </w:pPr>
            <w:r>
              <w:rPr>
                <w:sz w:val="16"/>
                <w:szCs w:val="16"/>
              </w:rPr>
              <w:t>01-25/02/11</w:t>
            </w:r>
          </w:p>
        </w:tc>
      </w:tr>
    </w:tbl>
    <w:p w:rsidR="00C10533" w:rsidRDefault="00C10533" w:rsidP="00A442E4">
      <w:pPr>
        <w:spacing w:line="360" w:lineRule="auto"/>
        <w:rPr>
          <w:rFonts w:ascii="Times New Roman" w:hAnsi="Times New Roman"/>
        </w:rPr>
      </w:pPr>
    </w:p>
    <w:p w:rsidR="00B2791E" w:rsidRPr="00B2791E" w:rsidRDefault="00B2791E" w:rsidP="00A442E4">
      <w:pPr>
        <w:spacing w:line="360" w:lineRule="auto"/>
        <w:rPr>
          <w:sz w:val="20"/>
          <w:szCs w:val="20"/>
        </w:rPr>
      </w:pPr>
      <w:r w:rsidRPr="00B2791E">
        <w:rPr>
          <w:sz w:val="20"/>
          <w:szCs w:val="20"/>
        </w:rPr>
        <w:t xml:space="preserve">Table 2: </w:t>
      </w:r>
      <w:r w:rsidR="00ED3173">
        <w:rPr>
          <w:sz w:val="20"/>
          <w:szCs w:val="20"/>
        </w:rPr>
        <w:t>Main</w:t>
      </w:r>
      <w:r>
        <w:rPr>
          <w:sz w:val="20"/>
          <w:szCs w:val="20"/>
        </w:rPr>
        <w:t xml:space="preserve"> construction</w:t>
      </w:r>
      <w:r w:rsidR="00ED3173">
        <w:rPr>
          <w:sz w:val="20"/>
          <w:szCs w:val="20"/>
        </w:rPr>
        <w:t xml:space="preserve"> type</w:t>
      </w:r>
      <w:r w:rsidR="00AB143E">
        <w:rPr>
          <w:sz w:val="20"/>
          <w:szCs w:val="20"/>
        </w:rPr>
        <w:t>s</w:t>
      </w:r>
      <w:r>
        <w:rPr>
          <w:sz w:val="20"/>
          <w:szCs w:val="20"/>
        </w:rPr>
        <w:t xml:space="preserve"> </w:t>
      </w:r>
      <w:r w:rsidR="00900AC1">
        <w:rPr>
          <w:sz w:val="20"/>
          <w:szCs w:val="20"/>
        </w:rPr>
        <w:t>and design U-values for</w:t>
      </w:r>
      <w:r>
        <w:rPr>
          <w:sz w:val="20"/>
          <w:szCs w:val="20"/>
        </w:rPr>
        <w:t xml:space="preserve"> the case study dwellings.</w:t>
      </w:r>
    </w:p>
    <w:tbl>
      <w:tblPr>
        <w:tblStyle w:val="TableGrid"/>
        <w:tblW w:w="0" w:type="auto"/>
        <w:tblLook w:val="04A0" w:firstRow="1" w:lastRow="0" w:firstColumn="1" w:lastColumn="0" w:noHBand="0" w:noVBand="1"/>
      </w:tblPr>
      <w:tblGrid>
        <w:gridCol w:w="821"/>
        <w:gridCol w:w="2633"/>
        <w:gridCol w:w="2633"/>
        <w:gridCol w:w="2633"/>
      </w:tblGrid>
      <w:tr w:rsidR="00B2791E" w:rsidTr="000A7327">
        <w:tc>
          <w:tcPr>
            <w:tcW w:w="821" w:type="dxa"/>
          </w:tcPr>
          <w:p w:rsidR="00B2791E" w:rsidRPr="00015AF4" w:rsidRDefault="00B2791E" w:rsidP="00A442E4">
            <w:pPr>
              <w:spacing w:line="360" w:lineRule="auto"/>
              <w:rPr>
                <w:sz w:val="16"/>
                <w:szCs w:val="16"/>
              </w:rPr>
            </w:pPr>
            <w:r w:rsidRPr="00015AF4">
              <w:rPr>
                <w:sz w:val="16"/>
                <w:szCs w:val="16"/>
              </w:rPr>
              <w:t>Dwelling</w:t>
            </w:r>
          </w:p>
        </w:tc>
        <w:tc>
          <w:tcPr>
            <w:tcW w:w="2633" w:type="dxa"/>
          </w:tcPr>
          <w:p w:rsidR="00B2791E" w:rsidRPr="00015AF4" w:rsidRDefault="00ED3173" w:rsidP="00A442E4">
            <w:pPr>
              <w:spacing w:line="360" w:lineRule="auto"/>
              <w:rPr>
                <w:sz w:val="16"/>
                <w:szCs w:val="16"/>
              </w:rPr>
            </w:pPr>
            <w:r>
              <w:rPr>
                <w:sz w:val="16"/>
                <w:szCs w:val="16"/>
              </w:rPr>
              <w:t>Ground floor</w:t>
            </w:r>
          </w:p>
        </w:tc>
        <w:tc>
          <w:tcPr>
            <w:tcW w:w="2633" w:type="dxa"/>
          </w:tcPr>
          <w:p w:rsidR="00B2791E" w:rsidRPr="00015AF4" w:rsidRDefault="00ED3173" w:rsidP="00A442E4">
            <w:pPr>
              <w:spacing w:line="360" w:lineRule="auto"/>
              <w:rPr>
                <w:sz w:val="16"/>
                <w:szCs w:val="16"/>
              </w:rPr>
            </w:pPr>
            <w:r>
              <w:rPr>
                <w:sz w:val="16"/>
                <w:szCs w:val="16"/>
              </w:rPr>
              <w:t>External walls</w:t>
            </w:r>
          </w:p>
        </w:tc>
        <w:tc>
          <w:tcPr>
            <w:tcW w:w="2633" w:type="dxa"/>
          </w:tcPr>
          <w:p w:rsidR="00B2791E" w:rsidRPr="00015AF4" w:rsidRDefault="00ED3173" w:rsidP="00A442E4">
            <w:pPr>
              <w:spacing w:line="360" w:lineRule="auto"/>
              <w:rPr>
                <w:sz w:val="16"/>
                <w:szCs w:val="16"/>
              </w:rPr>
            </w:pPr>
            <w:r>
              <w:rPr>
                <w:sz w:val="16"/>
                <w:szCs w:val="16"/>
              </w:rPr>
              <w:t>Roof</w:t>
            </w:r>
          </w:p>
        </w:tc>
      </w:tr>
      <w:tr w:rsidR="00B2791E" w:rsidTr="000A7327">
        <w:tc>
          <w:tcPr>
            <w:tcW w:w="821" w:type="dxa"/>
          </w:tcPr>
          <w:p w:rsidR="00B2791E" w:rsidRPr="0008010A" w:rsidRDefault="00B2791E" w:rsidP="0008010A">
            <w:pPr>
              <w:spacing w:line="360" w:lineRule="auto"/>
              <w:rPr>
                <w:sz w:val="16"/>
                <w:szCs w:val="16"/>
              </w:rPr>
            </w:pPr>
            <w:r w:rsidRPr="0008010A">
              <w:rPr>
                <w:sz w:val="16"/>
                <w:szCs w:val="16"/>
              </w:rPr>
              <w:t>1A &amp; 1B</w:t>
            </w:r>
          </w:p>
        </w:tc>
        <w:tc>
          <w:tcPr>
            <w:tcW w:w="2633" w:type="dxa"/>
          </w:tcPr>
          <w:p w:rsidR="00B2791E" w:rsidRPr="00015AF4" w:rsidRDefault="00ED3173" w:rsidP="00DA5706">
            <w:pPr>
              <w:pStyle w:val="NumPara"/>
              <w:numPr>
                <w:ilvl w:val="0"/>
                <w:numId w:val="0"/>
              </w:numPr>
              <w:rPr>
                <w:rFonts w:cs="Arial"/>
                <w:sz w:val="16"/>
                <w:szCs w:val="16"/>
              </w:rPr>
            </w:pPr>
            <w:r w:rsidRPr="00ED3173">
              <w:rPr>
                <w:rFonts w:cs="Arial"/>
                <w:sz w:val="16"/>
                <w:szCs w:val="16"/>
              </w:rPr>
              <w:t>Reinforced concrete ground</w:t>
            </w:r>
            <w:r w:rsidR="00DA5706">
              <w:rPr>
                <w:rFonts w:cs="Arial"/>
                <w:sz w:val="16"/>
                <w:szCs w:val="16"/>
              </w:rPr>
              <w:t xml:space="preserve"> </w:t>
            </w:r>
            <w:r w:rsidR="003E19D3">
              <w:rPr>
                <w:rFonts w:cs="Arial"/>
                <w:sz w:val="16"/>
                <w:szCs w:val="16"/>
              </w:rPr>
              <w:t>bearing floor slab</w:t>
            </w:r>
            <w:r w:rsidRPr="00ED3173">
              <w:rPr>
                <w:rFonts w:cs="Arial"/>
                <w:sz w:val="16"/>
                <w:szCs w:val="16"/>
              </w:rPr>
              <w:t>, with 300mm insulation above the slab a</w:t>
            </w:r>
            <w:r w:rsidR="00C37A83">
              <w:rPr>
                <w:rFonts w:cs="Arial"/>
                <w:sz w:val="16"/>
                <w:szCs w:val="16"/>
              </w:rPr>
              <w:t>nd 50mm screed. U-value of 0.08</w:t>
            </w:r>
            <w:r w:rsidRPr="00ED3173">
              <w:rPr>
                <w:rFonts w:cs="Arial"/>
                <w:sz w:val="16"/>
                <w:szCs w:val="16"/>
              </w:rPr>
              <w:t xml:space="preserve"> W/m</w:t>
            </w:r>
            <w:r w:rsidRPr="0008010A">
              <w:rPr>
                <w:rFonts w:cs="Arial"/>
                <w:sz w:val="16"/>
                <w:szCs w:val="16"/>
                <w:vertAlign w:val="superscript"/>
              </w:rPr>
              <w:t>2</w:t>
            </w:r>
            <w:r w:rsidRPr="00ED3173">
              <w:rPr>
                <w:rFonts w:cs="Arial"/>
                <w:sz w:val="16"/>
                <w:szCs w:val="16"/>
              </w:rPr>
              <w:t>K.</w:t>
            </w:r>
          </w:p>
        </w:tc>
        <w:tc>
          <w:tcPr>
            <w:tcW w:w="2633" w:type="dxa"/>
          </w:tcPr>
          <w:p w:rsidR="00B2791E" w:rsidRPr="00015AF4" w:rsidRDefault="00ED3173" w:rsidP="0008010A">
            <w:pPr>
              <w:pStyle w:val="NumPara"/>
              <w:numPr>
                <w:ilvl w:val="0"/>
                <w:numId w:val="0"/>
              </w:numPr>
              <w:rPr>
                <w:rFonts w:cs="Arial"/>
                <w:sz w:val="16"/>
                <w:szCs w:val="16"/>
              </w:rPr>
            </w:pPr>
            <w:r w:rsidRPr="00015AF4">
              <w:rPr>
                <w:rFonts w:cs="Arial"/>
                <w:sz w:val="16"/>
                <w:szCs w:val="16"/>
              </w:rPr>
              <w:t>Pre-fabricated timber-frame cassettes filled with 300mm insulation and clad externa</w:t>
            </w:r>
            <w:r w:rsidR="0008010A">
              <w:rPr>
                <w:rFonts w:cs="Arial"/>
                <w:sz w:val="16"/>
                <w:szCs w:val="16"/>
              </w:rPr>
              <w:t xml:space="preserve">lly with 15mm bitroc and </w:t>
            </w:r>
            <w:r w:rsidRPr="00015AF4">
              <w:rPr>
                <w:rFonts w:cs="Arial"/>
                <w:sz w:val="16"/>
                <w:szCs w:val="16"/>
              </w:rPr>
              <w:t xml:space="preserve">brick or render. Internally, a 47mm insulated service void lined with 25mm plasterboard. U-value of </w:t>
            </w:r>
            <w:r w:rsidR="00C37A83">
              <w:rPr>
                <w:rFonts w:cs="Arial"/>
                <w:sz w:val="16"/>
                <w:szCs w:val="16"/>
              </w:rPr>
              <w:t>0.10</w:t>
            </w:r>
            <w:r w:rsidRPr="00015AF4">
              <w:rPr>
                <w:rFonts w:cs="Arial"/>
                <w:sz w:val="16"/>
                <w:szCs w:val="16"/>
              </w:rPr>
              <w:t xml:space="preserve"> W/m</w:t>
            </w:r>
            <w:r w:rsidRPr="00015AF4">
              <w:rPr>
                <w:rFonts w:cs="Arial"/>
                <w:sz w:val="16"/>
                <w:szCs w:val="16"/>
                <w:vertAlign w:val="superscript"/>
              </w:rPr>
              <w:t>2</w:t>
            </w:r>
            <w:r w:rsidRPr="00015AF4">
              <w:rPr>
                <w:rFonts w:cs="Arial"/>
                <w:sz w:val="16"/>
                <w:szCs w:val="16"/>
              </w:rPr>
              <w:t>K.</w:t>
            </w:r>
          </w:p>
        </w:tc>
        <w:tc>
          <w:tcPr>
            <w:tcW w:w="2633" w:type="dxa"/>
          </w:tcPr>
          <w:p w:rsidR="00B2791E" w:rsidRPr="0008010A" w:rsidRDefault="0008010A" w:rsidP="0008010A">
            <w:pPr>
              <w:spacing w:line="360" w:lineRule="auto"/>
              <w:rPr>
                <w:sz w:val="16"/>
                <w:szCs w:val="16"/>
              </w:rPr>
            </w:pPr>
            <w:r w:rsidRPr="0008010A">
              <w:rPr>
                <w:sz w:val="16"/>
                <w:szCs w:val="16"/>
              </w:rPr>
              <w:t>Pre-fabricated timber-frame cassette filled with 450mm insulation and clad in c</w:t>
            </w:r>
            <w:r w:rsidR="00C37A83">
              <w:rPr>
                <w:sz w:val="16"/>
                <w:szCs w:val="16"/>
              </w:rPr>
              <w:t>lay roof tiles. U-value of 0.08</w:t>
            </w:r>
            <w:r w:rsidRPr="0008010A">
              <w:rPr>
                <w:sz w:val="16"/>
                <w:szCs w:val="16"/>
              </w:rPr>
              <w:t xml:space="preserve"> W/m</w:t>
            </w:r>
            <w:r w:rsidRPr="0008010A">
              <w:rPr>
                <w:sz w:val="16"/>
                <w:szCs w:val="16"/>
                <w:vertAlign w:val="superscript"/>
              </w:rPr>
              <w:t>2</w:t>
            </w:r>
            <w:r w:rsidRPr="0008010A">
              <w:rPr>
                <w:sz w:val="16"/>
                <w:szCs w:val="16"/>
              </w:rPr>
              <w:t>K.</w:t>
            </w:r>
          </w:p>
        </w:tc>
      </w:tr>
      <w:tr w:rsidR="00B2791E" w:rsidTr="00314286">
        <w:trPr>
          <w:trHeight w:val="1746"/>
        </w:trPr>
        <w:tc>
          <w:tcPr>
            <w:tcW w:w="821" w:type="dxa"/>
          </w:tcPr>
          <w:p w:rsidR="00B2791E" w:rsidRPr="00015AF4" w:rsidRDefault="00B2791E" w:rsidP="00A442E4">
            <w:pPr>
              <w:spacing w:line="360" w:lineRule="auto"/>
              <w:rPr>
                <w:sz w:val="16"/>
                <w:szCs w:val="16"/>
              </w:rPr>
            </w:pPr>
            <w:r w:rsidRPr="00015AF4">
              <w:rPr>
                <w:sz w:val="16"/>
                <w:szCs w:val="16"/>
              </w:rPr>
              <w:t>2</w:t>
            </w:r>
          </w:p>
        </w:tc>
        <w:tc>
          <w:tcPr>
            <w:tcW w:w="2633" w:type="dxa"/>
          </w:tcPr>
          <w:p w:rsidR="00B2791E" w:rsidRPr="00015AF4" w:rsidRDefault="0075616A" w:rsidP="0075616A">
            <w:pPr>
              <w:spacing w:line="360" w:lineRule="auto"/>
              <w:rPr>
                <w:sz w:val="16"/>
                <w:szCs w:val="16"/>
              </w:rPr>
            </w:pPr>
            <w:r w:rsidRPr="0075616A">
              <w:rPr>
                <w:sz w:val="16"/>
                <w:szCs w:val="16"/>
              </w:rPr>
              <w:t xml:space="preserve">22 mm thick tongue and grooved softwood floating floor over 150 mm reinforced concrete ground bearing floor slab on 250 mm of EPS insulation. </w:t>
            </w:r>
            <w:r>
              <w:rPr>
                <w:sz w:val="16"/>
                <w:szCs w:val="16"/>
              </w:rPr>
              <w:t>U-value of 0.12</w:t>
            </w:r>
            <w:r w:rsidRPr="0075616A">
              <w:rPr>
                <w:sz w:val="16"/>
                <w:szCs w:val="16"/>
              </w:rPr>
              <w:t xml:space="preserve"> W/m</w:t>
            </w:r>
            <w:r w:rsidRPr="000A7327">
              <w:rPr>
                <w:sz w:val="16"/>
                <w:szCs w:val="16"/>
                <w:vertAlign w:val="superscript"/>
              </w:rPr>
              <w:t>2</w:t>
            </w:r>
            <w:r w:rsidRPr="0075616A">
              <w:rPr>
                <w:sz w:val="16"/>
                <w:szCs w:val="16"/>
              </w:rPr>
              <w:t>K.</w:t>
            </w:r>
          </w:p>
        </w:tc>
        <w:tc>
          <w:tcPr>
            <w:tcW w:w="2633" w:type="dxa"/>
          </w:tcPr>
          <w:p w:rsidR="00B2791E" w:rsidRPr="00015AF4" w:rsidRDefault="0075616A" w:rsidP="000A7327">
            <w:pPr>
              <w:spacing w:line="360" w:lineRule="auto"/>
              <w:rPr>
                <w:sz w:val="16"/>
                <w:szCs w:val="16"/>
              </w:rPr>
            </w:pPr>
            <w:r>
              <w:rPr>
                <w:sz w:val="16"/>
                <w:szCs w:val="16"/>
              </w:rPr>
              <w:t>T</w:t>
            </w:r>
            <w:r w:rsidRPr="0075616A">
              <w:rPr>
                <w:sz w:val="16"/>
                <w:szCs w:val="16"/>
              </w:rPr>
              <w:t xml:space="preserve">wo coat wet plaster internal wall finish, 100 mm blockwork, 300 mm cavity fully-filled with mineral wool insulation, 100 mm blockwork and an 8-10 mm render, </w:t>
            </w:r>
            <w:r w:rsidR="000A7327">
              <w:rPr>
                <w:sz w:val="16"/>
                <w:szCs w:val="16"/>
              </w:rPr>
              <w:t>U-value of 0.12</w:t>
            </w:r>
            <w:r w:rsidRPr="0075616A">
              <w:rPr>
                <w:sz w:val="16"/>
                <w:szCs w:val="16"/>
              </w:rPr>
              <w:t xml:space="preserve"> W/m</w:t>
            </w:r>
            <w:r w:rsidRPr="000A7327">
              <w:rPr>
                <w:sz w:val="16"/>
                <w:szCs w:val="16"/>
                <w:vertAlign w:val="superscript"/>
              </w:rPr>
              <w:t>2</w:t>
            </w:r>
            <w:r w:rsidRPr="0075616A">
              <w:rPr>
                <w:sz w:val="16"/>
                <w:szCs w:val="16"/>
              </w:rPr>
              <w:t>K.</w:t>
            </w:r>
          </w:p>
        </w:tc>
        <w:tc>
          <w:tcPr>
            <w:tcW w:w="2633" w:type="dxa"/>
          </w:tcPr>
          <w:p w:rsidR="00B2791E" w:rsidRPr="00015AF4" w:rsidRDefault="000A7327" w:rsidP="00A442E4">
            <w:pPr>
              <w:spacing w:line="360" w:lineRule="auto"/>
              <w:rPr>
                <w:sz w:val="16"/>
                <w:szCs w:val="16"/>
              </w:rPr>
            </w:pPr>
            <w:r w:rsidRPr="000A7327">
              <w:rPr>
                <w:sz w:val="16"/>
                <w:szCs w:val="16"/>
              </w:rPr>
              <w:t xml:space="preserve">Bobtail trussed rafter pitched roof construction insulated at ceiling level with 500 mm of mineral wool insulation quilt. </w:t>
            </w:r>
            <w:r>
              <w:rPr>
                <w:sz w:val="16"/>
                <w:szCs w:val="16"/>
              </w:rPr>
              <w:t>U-value of 0.09</w:t>
            </w:r>
            <w:r w:rsidRPr="000A7327">
              <w:rPr>
                <w:sz w:val="16"/>
                <w:szCs w:val="16"/>
              </w:rPr>
              <w:t xml:space="preserve"> W/m</w:t>
            </w:r>
            <w:r w:rsidRPr="000A7327">
              <w:rPr>
                <w:sz w:val="16"/>
                <w:szCs w:val="16"/>
                <w:vertAlign w:val="superscript"/>
              </w:rPr>
              <w:t>2</w:t>
            </w:r>
            <w:r w:rsidRPr="000A7327">
              <w:rPr>
                <w:sz w:val="16"/>
                <w:szCs w:val="16"/>
              </w:rPr>
              <w:t>K.</w:t>
            </w:r>
          </w:p>
        </w:tc>
      </w:tr>
      <w:tr w:rsidR="00B2791E" w:rsidTr="000A7327">
        <w:tc>
          <w:tcPr>
            <w:tcW w:w="821" w:type="dxa"/>
          </w:tcPr>
          <w:p w:rsidR="00B2791E" w:rsidRPr="00015AF4" w:rsidRDefault="00B2791E" w:rsidP="00A442E4">
            <w:pPr>
              <w:spacing w:line="360" w:lineRule="auto"/>
              <w:rPr>
                <w:sz w:val="16"/>
                <w:szCs w:val="16"/>
              </w:rPr>
            </w:pPr>
            <w:r w:rsidRPr="00015AF4">
              <w:rPr>
                <w:sz w:val="16"/>
                <w:szCs w:val="16"/>
              </w:rPr>
              <w:t>3A &amp; 3B</w:t>
            </w:r>
          </w:p>
        </w:tc>
        <w:tc>
          <w:tcPr>
            <w:tcW w:w="2633" w:type="dxa"/>
          </w:tcPr>
          <w:p w:rsidR="00B2791E" w:rsidRPr="00015AF4" w:rsidRDefault="00C37A83" w:rsidP="00C37A83">
            <w:pPr>
              <w:spacing w:line="360" w:lineRule="auto"/>
              <w:rPr>
                <w:sz w:val="16"/>
                <w:szCs w:val="16"/>
              </w:rPr>
            </w:pPr>
            <w:r>
              <w:rPr>
                <w:sz w:val="16"/>
                <w:szCs w:val="16"/>
              </w:rPr>
              <w:t xml:space="preserve">Pre-cast </w:t>
            </w:r>
            <w:r w:rsidRPr="00C37A83">
              <w:rPr>
                <w:sz w:val="16"/>
                <w:szCs w:val="16"/>
              </w:rPr>
              <w:t xml:space="preserve">concrete beam and block floor with </w:t>
            </w:r>
            <w:r>
              <w:rPr>
                <w:sz w:val="16"/>
                <w:szCs w:val="16"/>
              </w:rPr>
              <w:t xml:space="preserve">insulation below a </w:t>
            </w:r>
            <w:r w:rsidRPr="00C37A83">
              <w:rPr>
                <w:sz w:val="16"/>
                <w:szCs w:val="16"/>
              </w:rPr>
              <w:t>75 mm concrete screed</w:t>
            </w:r>
            <w:r>
              <w:rPr>
                <w:sz w:val="16"/>
                <w:szCs w:val="16"/>
              </w:rPr>
              <w:t>. U-value of 0.20 W/m</w:t>
            </w:r>
            <w:r w:rsidRPr="0008010A">
              <w:rPr>
                <w:sz w:val="16"/>
                <w:szCs w:val="16"/>
                <w:vertAlign w:val="superscript"/>
              </w:rPr>
              <w:t>2</w:t>
            </w:r>
            <w:r>
              <w:rPr>
                <w:sz w:val="16"/>
                <w:szCs w:val="16"/>
              </w:rPr>
              <w:t>K.</w:t>
            </w:r>
          </w:p>
        </w:tc>
        <w:tc>
          <w:tcPr>
            <w:tcW w:w="2633" w:type="dxa"/>
          </w:tcPr>
          <w:p w:rsidR="00B2791E" w:rsidRPr="00015AF4" w:rsidRDefault="00C64D1C" w:rsidP="00C64D1C">
            <w:pPr>
              <w:spacing w:line="360" w:lineRule="auto"/>
              <w:rPr>
                <w:sz w:val="16"/>
                <w:szCs w:val="16"/>
              </w:rPr>
            </w:pPr>
            <w:r>
              <w:rPr>
                <w:sz w:val="16"/>
                <w:szCs w:val="16"/>
              </w:rPr>
              <w:t>P</w:t>
            </w:r>
            <w:r w:rsidR="00013F15" w:rsidRPr="00013F15">
              <w:rPr>
                <w:sz w:val="16"/>
                <w:szCs w:val="16"/>
              </w:rPr>
              <w:t>lasterboard on dabs with finish plaster, 100 mm autoclaved aerated concrete (AAC) blockwork, 100 mm cavity fully-filled with mineral wool insulation and a brickwork outer leaf</w:t>
            </w:r>
            <w:r>
              <w:rPr>
                <w:sz w:val="16"/>
                <w:szCs w:val="16"/>
              </w:rPr>
              <w:t>. U-value of 0.</w:t>
            </w:r>
            <w:r w:rsidR="0075616A">
              <w:rPr>
                <w:sz w:val="16"/>
                <w:szCs w:val="16"/>
              </w:rPr>
              <w:t>26</w:t>
            </w:r>
            <w:r>
              <w:rPr>
                <w:sz w:val="16"/>
                <w:szCs w:val="16"/>
              </w:rPr>
              <w:t xml:space="preserve"> W/m</w:t>
            </w:r>
            <w:r w:rsidRPr="0008010A">
              <w:rPr>
                <w:sz w:val="16"/>
                <w:szCs w:val="16"/>
                <w:vertAlign w:val="superscript"/>
              </w:rPr>
              <w:t>2</w:t>
            </w:r>
            <w:r>
              <w:rPr>
                <w:sz w:val="16"/>
                <w:szCs w:val="16"/>
              </w:rPr>
              <w:t>K.</w:t>
            </w:r>
          </w:p>
        </w:tc>
        <w:tc>
          <w:tcPr>
            <w:tcW w:w="2633" w:type="dxa"/>
          </w:tcPr>
          <w:p w:rsidR="00B2791E" w:rsidRPr="00015AF4" w:rsidRDefault="0075616A" w:rsidP="00A442E4">
            <w:pPr>
              <w:spacing w:line="360" w:lineRule="auto"/>
              <w:rPr>
                <w:sz w:val="16"/>
                <w:szCs w:val="16"/>
              </w:rPr>
            </w:pPr>
            <w:r w:rsidRPr="0075616A">
              <w:rPr>
                <w:sz w:val="16"/>
                <w:szCs w:val="16"/>
              </w:rPr>
              <w:t xml:space="preserve">A timber trussed rafter </w:t>
            </w:r>
            <w:r>
              <w:rPr>
                <w:sz w:val="16"/>
                <w:szCs w:val="16"/>
              </w:rPr>
              <w:t xml:space="preserve">cold pitched roof </w:t>
            </w:r>
            <w:r w:rsidRPr="0075616A">
              <w:rPr>
                <w:sz w:val="16"/>
                <w:szCs w:val="16"/>
              </w:rPr>
              <w:t xml:space="preserve">structure </w:t>
            </w:r>
            <w:r>
              <w:rPr>
                <w:sz w:val="16"/>
                <w:szCs w:val="16"/>
              </w:rPr>
              <w:t xml:space="preserve">clad with concrete roof tiles. </w:t>
            </w:r>
            <w:r w:rsidRPr="0075616A">
              <w:rPr>
                <w:sz w:val="16"/>
                <w:szCs w:val="16"/>
              </w:rPr>
              <w:t>The roof is insulated at ceiling le</w:t>
            </w:r>
            <w:r>
              <w:rPr>
                <w:sz w:val="16"/>
                <w:szCs w:val="16"/>
              </w:rPr>
              <w:t>vel with 400 mm of mineral wool. U-value of 0.11 W/m</w:t>
            </w:r>
            <w:r w:rsidRPr="0008010A">
              <w:rPr>
                <w:sz w:val="16"/>
                <w:szCs w:val="16"/>
                <w:vertAlign w:val="superscript"/>
              </w:rPr>
              <w:t>2</w:t>
            </w:r>
            <w:r>
              <w:rPr>
                <w:sz w:val="16"/>
                <w:szCs w:val="16"/>
              </w:rPr>
              <w:t>K.</w:t>
            </w:r>
          </w:p>
        </w:tc>
      </w:tr>
      <w:tr w:rsidR="00B2791E" w:rsidTr="000A7327">
        <w:tc>
          <w:tcPr>
            <w:tcW w:w="821" w:type="dxa"/>
          </w:tcPr>
          <w:p w:rsidR="00B2791E" w:rsidRPr="00015AF4" w:rsidRDefault="00B2791E" w:rsidP="00A442E4">
            <w:pPr>
              <w:spacing w:line="360" w:lineRule="auto"/>
              <w:rPr>
                <w:sz w:val="16"/>
                <w:szCs w:val="16"/>
              </w:rPr>
            </w:pPr>
            <w:r w:rsidRPr="00015AF4">
              <w:rPr>
                <w:sz w:val="16"/>
                <w:szCs w:val="16"/>
              </w:rPr>
              <w:t>4</w:t>
            </w:r>
          </w:p>
        </w:tc>
        <w:tc>
          <w:tcPr>
            <w:tcW w:w="2633" w:type="dxa"/>
          </w:tcPr>
          <w:p w:rsidR="00B2791E" w:rsidRPr="00015AF4" w:rsidRDefault="0008010A" w:rsidP="0008010A">
            <w:pPr>
              <w:spacing w:line="360" w:lineRule="auto"/>
              <w:rPr>
                <w:sz w:val="16"/>
                <w:szCs w:val="16"/>
              </w:rPr>
            </w:pPr>
            <w:r>
              <w:rPr>
                <w:sz w:val="16"/>
                <w:szCs w:val="16"/>
              </w:rPr>
              <w:t>P</w:t>
            </w:r>
            <w:r w:rsidRPr="0008010A">
              <w:rPr>
                <w:sz w:val="16"/>
                <w:szCs w:val="16"/>
              </w:rPr>
              <w:t>re</w:t>
            </w:r>
            <w:r>
              <w:rPr>
                <w:sz w:val="16"/>
                <w:szCs w:val="16"/>
              </w:rPr>
              <w:t xml:space="preserve">-cast concrete beam with </w:t>
            </w:r>
            <w:r w:rsidRPr="0008010A">
              <w:rPr>
                <w:sz w:val="16"/>
                <w:szCs w:val="16"/>
              </w:rPr>
              <w:t xml:space="preserve">expanded polystyrene </w:t>
            </w:r>
            <w:r>
              <w:rPr>
                <w:sz w:val="16"/>
                <w:szCs w:val="16"/>
              </w:rPr>
              <w:t xml:space="preserve">composite flooring system and </w:t>
            </w:r>
            <w:r w:rsidRPr="0008010A">
              <w:rPr>
                <w:sz w:val="16"/>
                <w:szCs w:val="16"/>
              </w:rPr>
              <w:t>75 mm reinforced structural screed</w:t>
            </w:r>
            <w:r>
              <w:rPr>
                <w:sz w:val="16"/>
                <w:szCs w:val="16"/>
              </w:rPr>
              <w:t xml:space="preserve">. U-value of </w:t>
            </w:r>
            <w:r w:rsidR="00C37A83">
              <w:rPr>
                <w:sz w:val="16"/>
                <w:szCs w:val="16"/>
              </w:rPr>
              <w:t xml:space="preserve">0.16 </w:t>
            </w:r>
            <w:r>
              <w:rPr>
                <w:sz w:val="16"/>
                <w:szCs w:val="16"/>
              </w:rPr>
              <w:t>W/m</w:t>
            </w:r>
            <w:r w:rsidRPr="0008010A">
              <w:rPr>
                <w:sz w:val="16"/>
                <w:szCs w:val="16"/>
                <w:vertAlign w:val="superscript"/>
              </w:rPr>
              <w:t>2</w:t>
            </w:r>
            <w:r>
              <w:rPr>
                <w:sz w:val="16"/>
                <w:szCs w:val="16"/>
              </w:rPr>
              <w:t>K.</w:t>
            </w:r>
          </w:p>
        </w:tc>
        <w:tc>
          <w:tcPr>
            <w:tcW w:w="2633" w:type="dxa"/>
          </w:tcPr>
          <w:p w:rsidR="00B2791E" w:rsidRPr="00015AF4" w:rsidRDefault="00C37A83" w:rsidP="00C64D1C">
            <w:pPr>
              <w:spacing w:line="360" w:lineRule="auto"/>
              <w:rPr>
                <w:sz w:val="16"/>
                <w:szCs w:val="16"/>
              </w:rPr>
            </w:pPr>
            <w:r>
              <w:rPr>
                <w:sz w:val="16"/>
                <w:szCs w:val="16"/>
              </w:rPr>
              <w:t>P</w:t>
            </w:r>
            <w:r w:rsidRPr="00C37A83">
              <w:rPr>
                <w:sz w:val="16"/>
                <w:szCs w:val="16"/>
              </w:rPr>
              <w:t>lasterboard on dabs with finish plaster, 3 mm parge coat, 100 mm autoclaved aerated concr</w:t>
            </w:r>
            <w:r>
              <w:rPr>
                <w:sz w:val="16"/>
                <w:szCs w:val="16"/>
              </w:rPr>
              <w:t xml:space="preserve">ete thin joint blockwork, </w:t>
            </w:r>
            <w:r w:rsidRPr="00C37A83">
              <w:rPr>
                <w:sz w:val="16"/>
                <w:szCs w:val="16"/>
              </w:rPr>
              <w:t xml:space="preserve">100 mm polyisocyanurate insulation, 50 mm cavity and a brickwork outer leaf. </w:t>
            </w:r>
            <w:r>
              <w:rPr>
                <w:sz w:val="16"/>
                <w:szCs w:val="16"/>
              </w:rPr>
              <w:t xml:space="preserve"> U-value of 0.17 W/m</w:t>
            </w:r>
            <w:r w:rsidRPr="00C37A83">
              <w:rPr>
                <w:sz w:val="16"/>
                <w:szCs w:val="16"/>
                <w:vertAlign w:val="superscript"/>
              </w:rPr>
              <w:t>2</w:t>
            </w:r>
            <w:r>
              <w:rPr>
                <w:sz w:val="16"/>
                <w:szCs w:val="16"/>
              </w:rPr>
              <w:t>K.</w:t>
            </w:r>
          </w:p>
        </w:tc>
        <w:tc>
          <w:tcPr>
            <w:tcW w:w="2633" w:type="dxa"/>
          </w:tcPr>
          <w:p w:rsidR="00B2791E" w:rsidRPr="00015AF4" w:rsidRDefault="00C37A83" w:rsidP="00C37A83">
            <w:pPr>
              <w:spacing w:line="360" w:lineRule="auto"/>
              <w:rPr>
                <w:sz w:val="16"/>
                <w:szCs w:val="16"/>
              </w:rPr>
            </w:pPr>
            <w:r w:rsidRPr="00C37A83">
              <w:rPr>
                <w:sz w:val="16"/>
                <w:szCs w:val="16"/>
              </w:rPr>
              <w:t xml:space="preserve">A timber trussed rafter </w:t>
            </w:r>
            <w:r>
              <w:rPr>
                <w:sz w:val="16"/>
                <w:szCs w:val="16"/>
              </w:rPr>
              <w:t xml:space="preserve">cold pitched </w:t>
            </w:r>
            <w:r w:rsidR="0075616A">
              <w:rPr>
                <w:sz w:val="16"/>
                <w:szCs w:val="16"/>
              </w:rPr>
              <w:t xml:space="preserve">roof </w:t>
            </w:r>
            <w:r w:rsidRPr="00C37A83">
              <w:rPr>
                <w:sz w:val="16"/>
                <w:szCs w:val="16"/>
              </w:rPr>
              <w:t xml:space="preserve">structure </w:t>
            </w:r>
            <w:r>
              <w:rPr>
                <w:sz w:val="16"/>
                <w:szCs w:val="16"/>
              </w:rPr>
              <w:t xml:space="preserve">clad in clay roof tiles. </w:t>
            </w:r>
            <w:r w:rsidRPr="00C37A83">
              <w:rPr>
                <w:sz w:val="16"/>
                <w:szCs w:val="16"/>
              </w:rPr>
              <w:t xml:space="preserve">The roof is insulated at ceiling level with </w:t>
            </w:r>
            <w:r>
              <w:rPr>
                <w:sz w:val="16"/>
                <w:szCs w:val="16"/>
              </w:rPr>
              <w:t xml:space="preserve">300mm </w:t>
            </w:r>
            <w:r w:rsidRPr="00C37A83">
              <w:rPr>
                <w:sz w:val="16"/>
                <w:szCs w:val="16"/>
              </w:rPr>
              <w:t xml:space="preserve">mineral </w:t>
            </w:r>
            <w:r>
              <w:rPr>
                <w:sz w:val="16"/>
                <w:szCs w:val="16"/>
              </w:rPr>
              <w:t>wool. U-value of 0.14 W/m</w:t>
            </w:r>
            <w:r w:rsidRPr="00C37A83">
              <w:rPr>
                <w:sz w:val="16"/>
                <w:szCs w:val="16"/>
                <w:vertAlign w:val="superscript"/>
              </w:rPr>
              <w:t>2</w:t>
            </w:r>
            <w:r>
              <w:rPr>
                <w:sz w:val="16"/>
                <w:szCs w:val="16"/>
              </w:rPr>
              <w:t>K.</w:t>
            </w:r>
          </w:p>
        </w:tc>
      </w:tr>
      <w:tr w:rsidR="00B2791E" w:rsidTr="000A7327">
        <w:tc>
          <w:tcPr>
            <w:tcW w:w="821" w:type="dxa"/>
          </w:tcPr>
          <w:p w:rsidR="00B2791E" w:rsidRPr="00015AF4" w:rsidRDefault="00B2791E" w:rsidP="00A442E4">
            <w:pPr>
              <w:spacing w:line="360" w:lineRule="auto"/>
              <w:rPr>
                <w:sz w:val="16"/>
                <w:szCs w:val="16"/>
              </w:rPr>
            </w:pPr>
            <w:r w:rsidRPr="00015AF4">
              <w:rPr>
                <w:sz w:val="16"/>
                <w:szCs w:val="16"/>
              </w:rPr>
              <w:t>5</w:t>
            </w:r>
          </w:p>
        </w:tc>
        <w:tc>
          <w:tcPr>
            <w:tcW w:w="2633" w:type="dxa"/>
          </w:tcPr>
          <w:p w:rsidR="00B2791E" w:rsidRPr="00015AF4" w:rsidRDefault="00B740FA" w:rsidP="00DA5706">
            <w:pPr>
              <w:spacing w:line="360" w:lineRule="auto"/>
              <w:rPr>
                <w:sz w:val="16"/>
                <w:szCs w:val="16"/>
              </w:rPr>
            </w:pPr>
            <w:r>
              <w:rPr>
                <w:sz w:val="16"/>
                <w:szCs w:val="16"/>
              </w:rPr>
              <w:t xml:space="preserve">Pre-cast concrete beam and block floor with insulation below </w:t>
            </w:r>
            <w:r w:rsidR="003E19D3">
              <w:rPr>
                <w:sz w:val="16"/>
                <w:szCs w:val="16"/>
              </w:rPr>
              <w:t xml:space="preserve">a screed with </w:t>
            </w:r>
            <w:r w:rsidR="00900AC1">
              <w:rPr>
                <w:sz w:val="16"/>
                <w:szCs w:val="16"/>
              </w:rPr>
              <w:t>under floor</w:t>
            </w:r>
            <w:r>
              <w:rPr>
                <w:sz w:val="16"/>
                <w:szCs w:val="16"/>
              </w:rPr>
              <w:t xml:space="preserve"> heating </w:t>
            </w:r>
            <w:r>
              <w:rPr>
                <w:sz w:val="16"/>
                <w:szCs w:val="16"/>
              </w:rPr>
              <w:lastRenderedPageBreak/>
              <w:t xml:space="preserve">pipes, </w:t>
            </w:r>
            <w:r w:rsidR="00AB143E">
              <w:rPr>
                <w:sz w:val="16"/>
                <w:szCs w:val="16"/>
              </w:rPr>
              <w:t>U-value of 0.12</w:t>
            </w:r>
            <w:r w:rsidR="00AB143E" w:rsidRPr="00AB143E">
              <w:rPr>
                <w:sz w:val="16"/>
                <w:szCs w:val="16"/>
              </w:rPr>
              <w:t xml:space="preserve"> W/m</w:t>
            </w:r>
            <w:r w:rsidR="00AB143E" w:rsidRPr="00AB143E">
              <w:rPr>
                <w:sz w:val="16"/>
                <w:szCs w:val="16"/>
                <w:vertAlign w:val="superscript"/>
              </w:rPr>
              <w:t>2</w:t>
            </w:r>
            <w:r w:rsidR="00AB143E" w:rsidRPr="00AB143E">
              <w:rPr>
                <w:sz w:val="16"/>
                <w:szCs w:val="16"/>
              </w:rPr>
              <w:t>K.</w:t>
            </w:r>
          </w:p>
        </w:tc>
        <w:tc>
          <w:tcPr>
            <w:tcW w:w="2633" w:type="dxa"/>
          </w:tcPr>
          <w:p w:rsidR="00B2791E" w:rsidRPr="00015AF4" w:rsidRDefault="00AB143E" w:rsidP="00AB143E">
            <w:pPr>
              <w:spacing w:line="360" w:lineRule="auto"/>
              <w:rPr>
                <w:sz w:val="16"/>
                <w:szCs w:val="16"/>
              </w:rPr>
            </w:pPr>
            <w:r>
              <w:rPr>
                <w:sz w:val="16"/>
                <w:szCs w:val="16"/>
              </w:rPr>
              <w:lastRenderedPageBreak/>
              <w:t xml:space="preserve">9mm </w:t>
            </w:r>
            <w:r w:rsidRPr="00AB143E">
              <w:rPr>
                <w:sz w:val="16"/>
                <w:szCs w:val="16"/>
              </w:rPr>
              <w:t>magnesi</w:t>
            </w:r>
            <w:r>
              <w:rPr>
                <w:sz w:val="16"/>
                <w:szCs w:val="16"/>
              </w:rPr>
              <w:t>um silicate board finish</w:t>
            </w:r>
            <w:r w:rsidRPr="00AB143E">
              <w:rPr>
                <w:sz w:val="16"/>
                <w:szCs w:val="16"/>
              </w:rPr>
              <w:t xml:space="preserve">ed with </w:t>
            </w:r>
            <w:r>
              <w:rPr>
                <w:sz w:val="16"/>
                <w:szCs w:val="16"/>
              </w:rPr>
              <w:t>a lime-based plaster,</w:t>
            </w:r>
            <w:r w:rsidRPr="00AB143E">
              <w:rPr>
                <w:sz w:val="16"/>
                <w:szCs w:val="16"/>
              </w:rPr>
              <w:t xml:space="preserve"> 89 x 38mm timber frame filled </w:t>
            </w:r>
            <w:r w:rsidRPr="00AB143E">
              <w:rPr>
                <w:sz w:val="16"/>
                <w:szCs w:val="16"/>
              </w:rPr>
              <w:lastRenderedPageBreak/>
              <w:t>with 300mm of Tradical® Hemcrete® at a density of 275kg/m</w:t>
            </w:r>
            <w:r w:rsidRPr="00AB143E">
              <w:rPr>
                <w:sz w:val="16"/>
                <w:szCs w:val="16"/>
                <w:vertAlign w:val="superscript"/>
              </w:rPr>
              <w:t>3</w:t>
            </w:r>
            <w:r>
              <w:rPr>
                <w:sz w:val="16"/>
                <w:szCs w:val="16"/>
              </w:rPr>
              <w:t xml:space="preserve"> and clad externally </w:t>
            </w:r>
            <w:r w:rsidRPr="00AB143E">
              <w:rPr>
                <w:sz w:val="16"/>
                <w:szCs w:val="16"/>
              </w:rPr>
              <w:t>in softwood or a lime-based render.</w:t>
            </w:r>
            <w:r>
              <w:t xml:space="preserve"> </w:t>
            </w:r>
            <w:r>
              <w:rPr>
                <w:sz w:val="16"/>
                <w:szCs w:val="16"/>
              </w:rPr>
              <w:t>U-value of 0.19</w:t>
            </w:r>
            <w:r w:rsidRPr="00AB143E">
              <w:rPr>
                <w:sz w:val="16"/>
                <w:szCs w:val="16"/>
              </w:rPr>
              <w:t xml:space="preserve"> W/m</w:t>
            </w:r>
            <w:r w:rsidRPr="00AB143E">
              <w:rPr>
                <w:sz w:val="16"/>
                <w:szCs w:val="16"/>
                <w:vertAlign w:val="superscript"/>
              </w:rPr>
              <w:t>2</w:t>
            </w:r>
            <w:r w:rsidRPr="00AB143E">
              <w:rPr>
                <w:sz w:val="16"/>
                <w:szCs w:val="16"/>
              </w:rPr>
              <w:t>K.</w:t>
            </w:r>
          </w:p>
        </w:tc>
        <w:tc>
          <w:tcPr>
            <w:tcW w:w="2633" w:type="dxa"/>
          </w:tcPr>
          <w:p w:rsidR="00B2791E" w:rsidRPr="00015AF4" w:rsidRDefault="00AB143E" w:rsidP="00A442E4">
            <w:pPr>
              <w:spacing w:line="360" w:lineRule="auto"/>
              <w:rPr>
                <w:sz w:val="16"/>
                <w:szCs w:val="16"/>
              </w:rPr>
            </w:pPr>
            <w:r w:rsidRPr="00AB143E">
              <w:rPr>
                <w:sz w:val="16"/>
                <w:szCs w:val="16"/>
              </w:rPr>
              <w:lastRenderedPageBreak/>
              <w:t xml:space="preserve">A timber trussed rafter cold pitched </w:t>
            </w:r>
            <w:r>
              <w:rPr>
                <w:sz w:val="16"/>
                <w:szCs w:val="16"/>
              </w:rPr>
              <w:t>roof structure clad in clay concrete</w:t>
            </w:r>
            <w:r w:rsidRPr="00AB143E">
              <w:rPr>
                <w:sz w:val="16"/>
                <w:szCs w:val="16"/>
              </w:rPr>
              <w:t xml:space="preserve"> tiles. The roof is </w:t>
            </w:r>
            <w:r w:rsidRPr="00AB143E">
              <w:rPr>
                <w:sz w:val="16"/>
                <w:szCs w:val="16"/>
              </w:rPr>
              <w:lastRenderedPageBreak/>
              <w:t>insulated at ceiling level with 300</w:t>
            </w:r>
            <w:r>
              <w:rPr>
                <w:sz w:val="16"/>
                <w:szCs w:val="16"/>
              </w:rPr>
              <w:t>mm mineral wool. U-value of 0.10</w:t>
            </w:r>
            <w:r w:rsidRPr="00AB143E">
              <w:rPr>
                <w:sz w:val="16"/>
                <w:szCs w:val="16"/>
              </w:rPr>
              <w:t xml:space="preserve"> W/m</w:t>
            </w:r>
            <w:r w:rsidRPr="00AB143E">
              <w:rPr>
                <w:sz w:val="16"/>
                <w:szCs w:val="16"/>
                <w:vertAlign w:val="superscript"/>
              </w:rPr>
              <w:t>2</w:t>
            </w:r>
            <w:r w:rsidRPr="00AB143E">
              <w:rPr>
                <w:sz w:val="16"/>
                <w:szCs w:val="16"/>
              </w:rPr>
              <w:t>K.</w:t>
            </w:r>
          </w:p>
        </w:tc>
      </w:tr>
    </w:tbl>
    <w:p w:rsidR="00B2791E" w:rsidRDefault="00B2791E" w:rsidP="00A442E4">
      <w:pPr>
        <w:spacing w:line="360" w:lineRule="auto"/>
        <w:rPr>
          <w:rFonts w:ascii="Times New Roman" w:hAnsi="Times New Roman"/>
        </w:rPr>
      </w:pPr>
    </w:p>
    <w:p w:rsidR="007D0871" w:rsidRPr="007D0871" w:rsidRDefault="00A97BBB" w:rsidP="00A442E4">
      <w:pPr>
        <w:spacing w:line="360" w:lineRule="auto"/>
        <w:rPr>
          <w:b/>
          <w:sz w:val="20"/>
          <w:szCs w:val="20"/>
        </w:rPr>
      </w:pPr>
      <w:r>
        <w:rPr>
          <w:b/>
          <w:sz w:val="20"/>
          <w:szCs w:val="20"/>
        </w:rPr>
        <w:t xml:space="preserve">4.1 </w:t>
      </w:r>
      <w:r w:rsidR="007D0871" w:rsidRPr="007D0871">
        <w:rPr>
          <w:b/>
          <w:sz w:val="20"/>
          <w:szCs w:val="20"/>
        </w:rPr>
        <w:t>Results of the coheating tests</w:t>
      </w:r>
    </w:p>
    <w:p w:rsidR="00900AC1" w:rsidRDefault="0071542F" w:rsidP="001A3601">
      <w:pPr>
        <w:spacing w:line="360" w:lineRule="auto"/>
        <w:rPr>
          <w:sz w:val="20"/>
          <w:szCs w:val="20"/>
        </w:rPr>
      </w:pPr>
      <w:r w:rsidRPr="0071542F">
        <w:rPr>
          <w:sz w:val="20"/>
          <w:szCs w:val="20"/>
        </w:rPr>
        <w:t>The c</w:t>
      </w:r>
      <w:r w:rsidR="003D2F17">
        <w:rPr>
          <w:sz w:val="20"/>
          <w:szCs w:val="20"/>
        </w:rPr>
        <w:t>oheating test results for all seven case study</w:t>
      </w:r>
      <w:r w:rsidRPr="0071542F">
        <w:rPr>
          <w:sz w:val="20"/>
          <w:szCs w:val="20"/>
        </w:rPr>
        <w:t xml:space="preserve"> dwelli</w:t>
      </w:r>
      <w:r w:rsidR="00CF31EC">
        <w:rPr>
          <w:sz w:val="20"/>
          <w:szCs w:val="20"/>
        </w:rPr>
        <w:t>ngs are illustrated in Figure 2</w:t>
      </w:r>
      <w:r w:rsidRPr="0071542F">
        <w:rPr>
          <w:sz w:val="20"/>
          <w:szCs w:val="20"/>
        </w:rPr>
        <w:t xml:space="preserve">. For comparative purposes, the measured heat loss coefficient (HLC) obtained from the coheating test has been compared against the </w:t>
      </w:r>
      <w:r w:rsidR="00CF31EC">
        <w:rPr>
          <w:sz w:val="20"/>
          <w:szCs w:val="20"/>
        </w:rPr>
        <w:t xml:space="preserve">design intent HLC and the </w:t>
      </w:r>
      <w:r w:rsidRPr="0071542F">
        <w:rPr>
          <w:sz w:val="20"/>
          <w:szCs w:val="20"/>
        </w:rPr>
        <w:t xml:space="preserve">predicted steady state HLC. </w:t>
      </w:r>
      <w:r w:rsidR="00CF31EC">
        <w:rPr>
          <w:sz w:val="20"/>
          <w:szCs w:val="20"/>
        </w:rPr>
        <w:t>The design intent HLC</w:t>
      </w:r>
      <w:r w:rsidR="00212F14">
        <w:rPr>
          <w:sz w:val="20"/>
          <w:szCs w:val="20"/>
        </w:rPr>
        <w:t xml:space="preserve"> has been obtained from the design based SAP assessments that were submitted for compliance </w:t>
      </w:r>
      <w:r w:rsidR="0045517D">
        <w:rPr>
          <w:sz w:val="20"/>
          <w:szCs w:val="20"/>
        </w:rPr>
        <w:t xml:space="preserve">purposes </w:t>
      </w:r>
      <w:r w:rsidR="001441FB">
        <w:rPr>
          <w:sz w:val="20"/>
          <w:szCs w:val="20"/>
        </w:rPr>
        <w:t>and represent the origin</w:t>
      </w:r>
      <w:r w:rsidR="0045517D">
        <w:rPr>
          <w:sz w:val="20"/>
          <w:szCs w:val="20"/>
        </w:rPr>
        <w:t>al design intent for each of the case study dwellings.</w:t>
      </w:r>
      <w:r w:rsidR="00865ADE">
        <w:rPr>
          <w:sz w:val="20"/>
          <w:szCs w:val="20"/>
        </w:rPr>
        <w:t xml:space="preserve"> </w:t>
      </w:r>
      <w:r w:rsidR="00900AC1" w:rsidRPr="00900AC1">
        <w:rPr>
          <w:sz w:val="20"/>
          <w:szCs w:val="20"/>
        </w:rPr>
        <w:t>The predicted HLC was calculated using a basic steady state model</w:t>
      </w:r>
      <w:r w:rsidR="00900AC1">
        <w:rPr>
          <w:sz w:val="20"/>
          <w:szCs w:val="20"/>
        </w:rPr>
        <w:t>;</w:t>
      </w:r>
      <w:r w:rsidR="00900AC1" w:rsidRPr="00900AC1">
        <w:rPr>
          <w:sz w:val="20"/>
          <w:szCs w:val="20"/>
        </w:rPr>
        <w:t xml:space="preserve"> the same as that used by SAP for quantifying the building f</w:t>
      </w:r>
      <w:r w:rsidR="00900AC1">
        <w:rPr>
          <w:sz w:val="20"/>
          <w:szCs w:val="20"/>
        </w:rPr>
        <w:t xml:space="preserve">abric HLC. </w:t>
      </w:r>
      <w:r w:rsidR="004B414A">
        <w:rPr>
          <w:sz w:val="20"/>
          <w:szCs w:val="20"/>
        </w:rPr>
        <w:t>This approach was taken f</w:t>
      </w:r>
      <w:r w:rsidR="00900AC1" w:rsidRPr="00900AC1">
        <w:rPr>
          <w:sz w:val="20"/>
          <w:szCs w:val="20"/>
        </w:rPr>
        <w:t>o</w:t>
      </w:r>
      <w:r w:rsidR="00900AC1">
        <w:rPr>
          <w:sz w:val="20"/>
          <w:szCs w:val="20"/>
        </w:rPr>
        <w:t>r two main reasons. First of all,</w:t>
      </w:r>
      <w:r w:rsidR="00900AC1" w:rsidRPr="00900AC1">
        <w:rPr>
          <w:sz w:val="20"/>
          <w:szCs w:val="20"/>
        </w:rPr>
        <w:t xml:space="preserve"> </w:t>
      </w:r>
      <w:r w:rsidR="00900AC1">
        <w:rPr>
          <w:sz w:val="20"/>
          <w:szCs w:val="20"/>
        </w:rPr>
        <w:t xml:space="preserve">so </w:t>
      </w:r>
      <w:r w:rsidR="00900AC1" w:rsidRPr="00900AC1">
        <w:rPr>
          <w:sz w:val="20"/>
          <w:szCs w:val="20"/>
        </w:rPr>
        <w:t>that a direct comparison could be made between the design intent HLC found in the design based SAP assessments for the case study dwe</w:t>
      </w:r>
      <w:r w:rsidR="00900AC1">
        <w:rPr>
          <w:sz w:val="20"/>
          <w:szCs w:val="20"/>
        </w:rPr>
        <w:t xml:space="preserve">llings and the predicted HLC). Secondly, </w:t>
      </w:r>
      <w:r w:rsidR="00900AC1" w:rsidRPr="00900AC1">
        <w:rPr>
          <w:sz w:val="20"/>
          <w:szCs w:val="20"/>
        </w:rPr>
        <w:t>the coheating test replicates the homogenous internal environment assumed by a SAP based U</w:t>
      </w:r>
      <w:r w:rsidR="00900AC1">
        <w:rPr>
          <w:sz w:val="20"/>
          <w:szCs w:val="20"/>
        </w:rPr>
        <w:t xml:space="preserve">-value </w:t>
      </w:r>
      <w:r w:rsidR="00900AC1" w:rsidRPr="00900AC1">
        <w:rPr>
          <w:sz w:val="20"/>
          <w:szCs w:val="20"/>
        </w:rPr>
        <w:t>x</w:t>
      </w:r>
      <w:r w:rsidR="00900AC1">
        <w:rPr>
          <w:sz w:val="20"/>
          <w:szCs w:val="20"/>
        </w:rPr>
        <w:t xml:space="preserve"> </w:t>
      </w:r>
      <w:r w:rsidR="00900AC1" w:rsidRPr="00900AC1">
        <w:rPr>
          <w:sz w:val="20"/>
          <w:szCs w:val="20"/>
        </w:rPr>
        <w:t>A</w:t>
      </w:r>
      <w:r w:rsidR="00900AC1">
        <w:rPr>
          <w:sz w:val="20"/>
          <w:szCs w:val="20"/>
        </w:rPr>
        <w:t xml:space="preserve">rea calculation. </w:t>
      </w:r>
      <w:r w:rsidR="00900AC1" w:rsidRPr="00900AC1">
        <w:rPr>
          <w:sz w:val="20"/>
          <w:szCs w:val="20"/>
        </w:rPr>
        <w:t>The model for calculating the predicted HLC focuses on conductive loses with allowances made for some radiative and convective losses in the parameters input into the plan</w:t>
      </w:r>
      <w:r w:rsidR="00900AC1">
        <w:rPr>
          <w:sz w:val="20"/>
          <w:szCs w:val="20"/>
        </w:rPr>
        <w:t xml:space="preserve">e element U-value calculations. </w:t>
      </w:r>
      <w:r w:rsidR="00900AC1" w:rsidRPr="00900AC1">
        <w:rPr>
          <w:sz w:val="20"/>
          <w:szCs w:val="20"/>
        </w:rPr>
        <w:t xml:space="preserve">Heat loss by advection is accounted for in the air change rate caused by </w:t>
      </w:r>
      <w:r w:rsidR="00900AC1">
        <w:rPr>
          <w:sz w:val="20"/>
          <w:szCs w:val="20"/>
        </w:rPr>
        <w:t xml:space="preserve">infiltration (air permeability). </w:t>
      </w:r>
      <w:r w:rsidR="00900AC1" w:rsidRPr="00900AC1">
        <w:rPr>
          <w:sz w:val="20"/>
          <w:szCs w:val="20"/>
        </w:rPr>
        <w:t>The UK construction industry is familiar with the steady state model that forms the basis of all energy use and CO</w:t>
      </w:r>
      <w:r w:rsidR="00900AC1" w:rsidRPr="00900AC1">
        <w:rPr>
          <w:sz w:val="20"/>
          <w:szCs w:val="20"/>
          <w:vertAlign w:val="subscript"/>
        </w:rPr>
        <w:t>2</w:t>
      </w:r>
      <w:r w:rsidR="00900AC1" w:rsidRPr="00900AC1">
        <w:rPr>
          <w:sz w:val="20"/>
          <w:szCs w:val="20"/>
        </w:rPr>
        <w:t xml:space="preserve"> assessments undertaken for dwellings within the UK. </w:t>
      </w:r>
    </w:p>
    <w:p w:rsidR="00900AC1" w:rsidRDefault="00900AC1" w:rsidP="001A3601">
      <w:pPr>
        <w:spacing w:line="360" w:lineRule="auto"/>
        <w:rPr>
          <w:sz w:val="20"/>
          <w:szCs w:val="20"/>
        </w:rPr>
      </w:pPr>
    </w:p>
    <w:p w:rsidR="004C0075" w:rsidRDefault="0071542F" w:rsidP="001A3601">
      <w:pPr>
        <w:spacing w:line="360" w:lineRule="auto"/>
        <w:rPr>
          <w:sz w:val="20"/>
          <w:szCs w:val="20"/>
        </w:rPr>
      </w:pPr>
      <w:r w:rsidRPr="0071542F">
        <w:rPr>
          <w:sz w:val="20"/>
          <w:szCs w:val="20"/>
        </w:rPr>
        <w:t xml:space="preserve">The predicted steady state HLC </w:t>
      </w:r>
      <w:r w:rsidR="00865ADE">
        <w:rPr>
          <w:sz w:val="20"/>
          <w:szCs w:val="20"/>
        </w:rPr>
        <w:t>is a well-informed estimate of the fabric and background ventilation HLC attributable to the case study dwellings</w:t>
      </w:r>
      <w:r w:rsidR="00E86291">
        <w:rPr>
          <w:sz w:val="20"/>
          <w:szCs w:val="20"/>
        </w:rPr>
        <w:t xml:space="preserve"> that is based upon what was physically observed a</w:t>
      </w:r>
      <w:r w:rsidR="001354F8">
        <w:rPr>
          <w:sz w:val="20"/>
          <w:szCs w:val="20"/>
        </w:rPr>
        <w:t>s</w:t>
      </w:r>
      <w:r w:rsidR="00E86291">
        <w:rPr>
          <w:sz w:val="20"/>
          <w:szCs w:val="20"/>
        </w:rPr>
        <w:t xml:space="preserve"> built on-site. Consequently, </w:t>
      </w:r>
      <w:r w:rsidR="00865ADE">
        <w:rPr>
          <w:sz w:val="20"/>
          <w:szCs w:val="20"/>
        </w:rPr>
        <w:t>i</w:t>
      </w:r>
      <w:r w:rsidR="00E86291">
        <w:rPr>
          <w:sz w:val="20"/>
          <w:szCs w:val="20"/>
        </w:rPr>
        <w:t>n the majority</w:t>
      </w:r>
      <w:r w:rsidR="00865ADE">
        <w:rPr>
          <w:sz w:val="20"/>
          <w:szCs w:val="20"/>
        </w:rPr>
        <w:t xml:space="preserve"> </w:t>
      </w:r>
      <w:r w:rsidR="00E86291">
        <w:rPr>
          <w:sz w:val="20"/>
          <w:szCs w:val="20"/>
        </w:rPr>
        <w:t>of cases</w:t>
      </w:r>
      <w:r w:rsidR="00B74A5A">
        <w:rPr>
          <w:sz w:val="20"/>
          <w:szCs w:val="20"/>
        </w:rPr>
        <w:t>, the predicted steady state HLC</w:t>
      </w:r>
      <w:r w:rsidR="00E86291">
        <w:rPr>
          <w:sz w:val="20"/>
          <w:szCs w:val="20"/>
        </w:rPr>
        <w:t xml:space="preserve"> </w:t>
      </w:r>
      <w:r w:rsidR="00865ADE">
        <w:rPr>
          <w:sz w:val="20"/>
          <w:szCs w:val="20"/>
        </w:rPr>
        <w:t>differs from the</w:t>
      </w:r>
      <w:r w:rsidR="00E86291">
        <w:rPr>
          <w:sz w:val="20"/>
          <w:szCs w:val="20"/>
        </w:rPr>
        <w:t xml:space="preserve"> original</w:t>
      </w:r>
      <w:r w:rsidR="00865ADE">
        <w:rPr>
          <w:sz w:val="20"/>
          <w:szCs w:val="20"/>
        </w:rPr>
        <w:t xml:space="preserve"> design intent HLC. </w:t>
      </w:r>
      <w:r w:rsidR="0073317A">
        <w:rPr>
          <w:sz w:val="20"/>
          <w:szCs w:val="20"/>
        </w:rPr>
        <w:t xml:space="preserve">The </w:t>
      </w:r>
      <w:r w:rsidR="006B07A3">
        <w:rPr>
          <w:sz w:val="20"/>
          <w:szCs w:val="20"/>
        </w:rPr>
        <w:t xml:space="preserve">predicted </w:t>
      </w:r>
      <w:r w:rsidR="0073317A">
        <w:rPr>
          <w:sz w:val="20"/>
          <w:szCs w:val="20"/>
        </w:rPr>
        <w:t>fabric HLC</w:t>
      </w:r>
      <w:r w:rsidR="00865ADE">
        <w:rPr>
          <w:sz w:val="20"/>
          <w:szCs w:val="20"/>
        </w:rPr>
        <w:t xml:space="preserve"> is an estimate </w:t>
      </w:r>
      <w:r w:rsidR="00B74A5A">
        <w:rPr>
          <w:sz w:val="20"/>
          <w:szCs w:val="20"/>
        </w:rPr>
        <w:t>that has been</w:t>
      </w:r>
      <w:r w:rsidR="00E86291">
        <w:rPr>
          <w:sz w:val="20"/>
          <w:szCs w:val="20"/>
        </w:rPr>
        <w:t xml:space="preserve"> calculated from </w:t>
      </w:r>
      <w:r w:rsidR="00865ADE">
        <w:rPr>
          <w:sz w:val="20"/>
          <w:szCs w:val="20"/>
        </w:rPr>
        <w:t>measured survey data, the U-values of the plane elements</w:t>
      </w:r>
      <w:r w:rsidR="00E86291">
        <w:rPr>
          <w:sz w:val="20"/>
          <w:szCs w:val="20"/>
        </w:rPr>
        <w:t xml:space="preserve"> </w:t>
      </w:r>
      <w:r w:rsidR="00B74A5A">
        <w:rPr>
          <w:sz w:val="20"/>
          <w:szCs w:val="20"/>
        </w:rPr>
        <w:t>and</w:t>
      </w:r>
      <w:r w:rsidR="00E86291">
        <w:rPr>
          <w:sz w:val="20"/>
          <w:szCs w:val="20"/>
        </w:rPr>
        <w:t xml:space="preserve"> thermal bridging</w:t>
      </w:r>
      <w:r w:rsidR="00E86291" w:rsidRPr="00E86291">
        <w:rPr>
          <w:sz w:val="20"/>
          <w:szCs w:val="20"/>
        </w:rPr>
        <w:t xml:space="preserve"> </w:t>
      </w:r>
      <w:r w:rsidR="00B74A5A">
        <w:rPr>
          <w:sz w:val="20"/>
          <w:szCs w:val="20"/>
        </w:rPr>
        <w:t xml:space="preserve">calculations that have been informed by the </w:t>
      </w:r>
      <w:r w:rsidR="00E86291">
        <w:rPr>
          <w:sz w:val="20"/>
          <w:szCs w:val="20"/>
        </w:rPr>
        <w:t>on-site</w:t>
      </w:r>
      <w:r w:rsidR="00B74A5A">
        <w:rPr>
          <w:sz w:val="20"/>
          <w:szCs w:val="20"/>
        </w:rPr>
        <w:t xml:space="preserve"> observations</w:t>
      </w:r>
      <w:r w:rsidR="00D56EAE">
        <w:rPr>
          <w:sz w:val="20"/>
          <w:szCs w:val="20"/>
        </w:rPr>
        <w:t xml:space="preserve">. </w:t>
      </w:r>
      <w:r w:rsidR="00E25501">
        <w:rPr>
          <w:sz w:val="20"/>
          <w:szCs w:val="20"/>
        </w:rPr>
        <w:t>T</w:t>
      </w:r>
      <w:r w:rsidR="00E25501" w:rsidRPr="00E25501">
        <w:rPr>
          <w:sz w:val="20"/>
          <w:szCs w:val="20"/>
        </w:rPr>
        <w:t xml:space="preserve">he </w:t>
      </w:r>
      <w:r w:rsidR="00E25501">
        <w:rPr>
          <w:sz w:val="20"/>
          <w:szCs w:val="20"/>
        </w:rPr>
        <w:t xml:space="preserve">plane element U-values </w:t>
      </w:r>
      <w:r w:rsidR="004B414A">
        <w:rPr>
          <w:sz w:val="20"/>
          <w:szCs w:val="20"/>
        </w:rPr>
        <w:t>were</w:t>
      </w:r>
      <w:r w:rsidR="00E25501">
        <w:rPr>
          <w:sz w:val="20"/>
          <w:szCs w:val="20"/>
        </w:rPr>
        <w:t xml:space="preserve"> </w:t>
      </w:r>
      <w:r w:rsidR="00E25501" w:rsidRPr="00E25501">
        <w:rPr>
          <w:sz w:val="20"/>
          <w:szCs w:val="20"/>
        </w:rPr>
        <w:t xml:space="preserve">calculated </w:t>
      </w:r>
      <w:r w:rsidR="00E25501">
        <w:rPr>
          <w:sz w:val="20"/>
          <w:szCs w:val="20"/>
        </w:rPr>
        <w:t xml:space="preserve">using </w:t>
      </w:r>
      <w:r w:rsidR="004B414A" w:rsidRPr="004B414A">
        <w:rPr>
          <w:sz w:val="20"/>
          <w:szCs w:val="20"/>
        </w:rPr>
        <w:t xml:space="preserve">version 2.03 of the Building Research Establishment (BRE) U-value calculator (BRE, 2011) in accordance with </w:t>
      </w:r>
      <w:r w:rsidR="00E25501" w:rsidRPr="00E25501">
        <w:rPr>
          <w:sz w:val="20"/>
          <w:szCs w:val="20"/>
        </w:rPr>
        <w:t>BS EN ISO 6946:2007 (BSI, 2007)</w:t>
      </w:r>
      <w:r w:rsidR="001A3601">
        <w:rPr>
          <w:sz w:val="20"/>
          <w:szCs w:val="20"/>
        </w:rPr>
        <w:t xml:space="preserve"> </w:t>
      </w:r>
      <w:r w:rsidR="004B414A" w:rsidRPr="004B414A">
        <w:rPr>
          <w:sz w:val="20"/>
          <w:szCs w:val="20"/>
        </w:rPr>
        <w:t xml:space="preserve">and BR 443 (Anderson, 2006). </w:t>
      </w:r>
      <w:r w:rsidR="002002DB">
        <w:rPr>
          <w:sz w:val="20"/>
          <w:szCs w:val="20"/>
        </w:rPr>
        <w:t>T</w:t>
      </w:r>
      <w:r w:rsidR="00E25501">
        <w:rPr>
          <w:sz w:val="20"/>
          <w:szCs w:val="20"/>
        </w:rPr>
        <w:t xml:space="preserve">he thermal bridging calculations </w:t>
      </w:r>
      <w:r w:rsidR="002002DB" w:rsidRPr="002002DB">
        <w:rPr>
          <w:sz w:val="20"/>
          <w:szCs w:val="20"/>
        </w:rPr>
        <w:t>were prepared by thermal</w:t>
      </w:r>
      <w:r w:rsidR="002002DB">
        <w:rPr>
          <w:sz w:val="20"/>
          <w:szCs w:val="20"/>
        </w:rPr>
        <w:t>ly</w:t>
      </w:r>
      <w:r w:rsidR="002002DB" w:rsidRPr="002002DB">
        <w:rPr>
          <w:sz w:val="20"/>
          <w:szCs w:val="20"/>
        </w:rPr>
        <w:t xml:space="preserve"> modelling the junctions using the Physibel TRISCO version 12.0w software (Physibel, 2010)</w:t>
      </w:r>
      <w:r w:rsidR="002002DB">
        <w:rPr>
          <w:sz w:val="20"/>
          <w:szCs w:val="20"/>
        </w:rPr>
        <w:t xml:space="preserve"> </w:t>
      </w:r>
      <w:r w:rsidR="00E25501" w:rsidRPr="00E25501">
        <w:rPr>
          <w:sz w:val="20"/>
          <w:szCs w:val="20"/>
        </w:rPr>
        <w:t xml:space="preserve">in accordance with </w:t>
      </w:r>
      <w:r w:rsidR="002002DB" w:rsidRPr="002002DB">
        <w:rPr>
          <w:sz w:val="20"/>
          <w:szCs w:val="20"/>
        </w:rPr>
        <w:t xml:space="preserve">the conventions set out by </w:t>
      </w:r>
      <w:r w:rsidR="00E25501" w:rsidRPr="00E25501">
        <w:rPr>
          <w:sz w:val="20"/>
          <w:szCs w:val="20"/>
        </w:rPr>
        <w:t>BR 497 (Ward &amp; Sanders, 2007)</w:t>
      </w:r>
      <w:r w:rsidR="00E25501">
        <w:rPr>
          <w:sz w:val="20"/>
          <w:szCs w:val="20"/>
        </w:rPr>
        <w:t xml:space="preserve">. </w:t>
      </w:r>
      <w:r w:rsidRPr="0071542F">
        <w:rPr>
          <w:sz w:val="20"/>
          <w:szCs w:val="20"/>
        </w:rPr>
        <w:t xml:space="preserve">The </w:t>
      </w:r>
      <w:r w:rsidR="006B07A3">
        <w:rPr>
          <w:sz w:val="20"/>
          <w:szCs w:val="20"/>
        </w:rPr>
        <w:t xml:space="preserve">predicted </w:t>
      </w:r>
      <w:r w:rsidRPr="0071542F">
        <w:rPr>
          <w:sz w:val="20"/>
          <w:szCs w:val="20"/>
        </w:rPr>
        <w:t>background ventilation HLC has been approximated</w:t>
      </w:r>
      <w:r w:rsidR="00865ADE">
        <w:rPr>
          <w:sz w:val="20"/>
          <w:szCs w:val="20"/>
        </w:rPr>
        <w:t xml:space="preserve"> </w:t>
      </w:r>
      <w:r w:rsidR="006B07A3">
        <w:rPr>
          <w:sz w:val="20"/>
          <w:szCs w:val="20"/>
        </w:rPr>
        <w:t>for</w:t>
      </w:r>
      <w:r w:rsidRPr="0071542F">
        <w:rPr>
          <w:sz w:val="20"/>
          <w:szCs w:val="20"/>
        </w:rPr>
        <w:t xml:space="preserve"> </w:t>
      </w:r>
      <w:r w:rsidR="006B07A3">
        <w:rPr>
          <w:sz w:val="20"/>
          <w:szCs w:val="20"/>
        </w:rPr>
        <w:t xml:space="preserve">each of </w:t>
      </w:r>
      <w:r w:rsidR="009855ED">
        <w:rPr>
          <w:sz w:val="20"/>
          <w:szCs w:val="20"/>
        </w:rPr>
        <w:t xml:space="preserve">the </w:t>
      </w:r>
      <w:r w:rsidR="006B07A3">
        <w:rPr>
          <w:sz w:val="20"/>
          <w:szCs w:val="20"/>
        </w:rPr>
        <w:t xml:space="preserve">case study </w:t>
      </w:r>
      <w:r w:rsidR="009855ED">
        <w:rPr>
          <w:sz w:val="20"/>
          <w:szCs w:val="20"/>
        </w:rPr>
        <w:t xml:space="preserve">dwellings by </w:t>
      </w:r>
      <w:r w:rsidR="002002DB">
        <w:rPr>
          <w:sz w:val="20"/>
          <w:szCs w:val="20"/>
        </w:rPr>
        <w:t>taking</w:t>
      </w:r>
      <w:r w:rsidR="009855ED">
        <w:rPr>
          <w:sz w:val="20"/>
          <w:szCs w:val="20"/>
        </w:rPr>
        <w:t xml:space="preserve"> the </w:t>
      </w:r>
      <w:r w:rsidR="00B74A5A">
        <w:rPr>
          <w:sz w:val="20"/>
          <w:szCs w:val="20"/>
        </w:rPr>
        <w:t xml:space="preserve">measured </w:t>
      </w:r>
      <w:r w:rsidR="009855ED">
        <w:rPr>
          <w:sz w:val="20"/>
          <w:szCs w:val="20"/>
        </w:rPr>
        <w:t>mean air leakage rate in h</w:t>
      </w:r>
      <w:r w:rsidR="009855ED" w:rsidRPr="009855ED">
        <w:rPr>
          <w:sz w:val="20"/>
          <w:szCs w:val="20"/>
          <w:vertAlign w:val="superscript"/>
        </w:rPr>
        <w:t>-1</w:t>
      </w:r>
      <w:r w:rsidR="009855ED">
        <w:rPr>
          <w:sz w:val="20"/>
          <w:szCs w:val="20"/>
        </w:rPr>
        <w:t xml:space="preserve"> @ 50Pa </w:t>
      </w:r>
      <w:r w:rsidR="00B74A5A">
        <w:rPr>
          <w:sz w:val="20"/>
          <w:szCs w:val="20"/>
        </w:rPr>
        <w:t>(n</w:t>
      </w:r>
      <w:r w:rsidR="00B74A5A" w:rsidRPr="00576A9C">
        <w:rPr>
          <w:sz w:val="20"/>
          <w:szCs w:val="20"/>
          <w:vertAlign w:val="subscript"/>
        </w:rPr>
        <w:t>50</w:t>
      </w:r>
      <w:r w:rsidR="00B74A5A">
        <w:rPr>
          <w:sz w:val="20"/>
          <w:szCs w:val="20"/>
        </w:rPr>
        <w:t xml:space="preserve">), which has been obtained by </w:t>
      </w:r>
      <w:r w:rsidR="00314286">
        <w:rPr>
          <w:sz w:val="20"/>
          <w:szCs w:val="20"/>
        </w:rPr>
        <w:t xml:space="preserve">undertaking a </w:t>
      </w:r>
      <w:r w:rsidR="00B74A5A">
        <w:rPr>
          <w:sz w:val="20"/>
          <w:szCs w:val="20"/>
        </w:rPr>
        <w:t>pressurisation test</w:t>
      </w:r>
      <w:r w:rsidR="00314286">
        <w:rPr>
          <w:rStyle w:val="FootnoteReference"/>
          <w:sz w:val="20"/>
          <w:szCs w:val="20"/>
        </w:rPr>
        <w:footnoteReference w:id="2"/>
      </w:r>
      <w:r w:rsidR="005B1484">
        <w:rPr>
          <w:sz w:val="20"/>
          <w:szCs w:val="20"/>
        </w:rPr>
        <w:t xml:space="preserve"> in accordance with ATTMA Technical Standard L1 (ATTMA, </w:t>
      </w:r>
      <w:r w:rsidR="005B1484">
        <w:rPr>
          <w:sz w:val="20"/>
          <w:szCs w:val="20"/>
        </w:rPr>
        <w:lastRenderedPageBreak/>
        <w:t>2010)</w:t>
      </w:r>
      <w:r w:rsidR="002002DB">
        <w:rPr>
          <w:sz w:val="20"/>
          <w:szCs w:val="20"/>
        </w:rPr>
        <w:t>, and divding</w:t>
      </w:r>
      <w:r w:rsidR="00A208BE">
        <w:rPr>
          <w:sz w:val="20"/>
          <w:szCs w:val="20"/>
        </w:rPr>
        <w:t xml:space="preserve"> </w:t>
      </w:r>
      <w:r w:rsidR="00AE7F1D">
        <w:rPr>
          <w:sz w:val="20"/>
          <w:szCs w:val="20"/>
        </w:rPr>
        <w:t>by 20 using the simple n</w:t>
      </w:r>
      <w:r w:rsidR="00AE7F1D" w:rsidRPr="00576A9C">
        <w:rPr>
          <w:sz w:val="20"/>
          <w:szCs w:val="20"/>
          <w:vertAlign w:val="subscript"/>
        </w:rPr>
        <w:t>50</w:t>
      </w:r>
      <w:r w:rsidR="00AE7F1D">
        <w:rPr>
          <w:sz w:val="20"/>
          <w:szCs w:val="20"/>
        </w:rPr>
        <w:t>/20</w:t>
      </w:r>
      <w:r w:rsidR="0073317A">
        <w:rPr>
          <w:sz w:val="20"/>
          <w:szCs w:val="20"/>
        </w:rPr>
        <w:t xml:space="preserve"> </w:t>
      </w:r>
      <w:r w:rsidR="0073317A" w:rsidRPr="0073317A">
        <w:rPr>
          <w:i/>
          <w:sz w:val="20"/>
          <w:szCs w:val="20"/>
        </w:rPr>
        <w:t>‘rule of thumb’</w:t>
      </w:r>
      <w:r w:rsidRPr="0071542F">
        <w:rPr>
          <w:sz w:val="20"/>
          <w:szCs w:val="20"/>
        </w:rPr>
        <w:t xml:space="preserve"> </w:t>
      </w:r>
      <w:r w:rsidR="0073317A">
        <w:rPr>
          <w:sz w:val="20"/>
          <w:szCs w:val="20"/>
        </w:rPr>
        <w:t>(</w:t>
      </w:r>
      <w:r w:rsidR="00AE7F1D">
        <w:rPr>
          <w:sz w:val="20"/>
          <w:szCs w:val="20"/>
        </w:rPr>
        <w:t xml:space="preserve">see </w:t>
      </w:r>
      <w:r w:rsidR="0073317A">
        <w:rPr>
          <w:sz w:val="20"/>
          <w:szCs w:val="20"/>
        </w:rPr>
        <w:t>Sherman, 199</w:t>
      </w:r>
      <w:r w:rsidR="0073317A" w:rsidRPr="0073317A">
        <w:rPr>
          <w:sz w:val="20"/>
          <w:szCs w:val="20"/>
        </w:rPr>
        <w:t>8</w:t>
      </w:r>
      <w:r w:rsidR="0073317A">
        <w:rPr>
          <w:sz w:val="20"/>
          <w:szCs w:val="20"/>
        </w:rPr>
        <w:t>)</w:t>
      </w:r>
      <w:r w:rsidR="00AE7F1D">
        <w:rPr>
          <w:sz w:val="20"/>
          <w:szCs w:val="20"/>
        </w:rPr>
        <w:t xml:space="preserve">. In addition, </w:t>
      </w:r>
      <w:r w:rsidR="00236B19" w:rsidRPr="00236B19">
        <w:rPr>
          <w:sz w:val="20"/>
          <w:szCs w:val="20"/>
        </w:rPr>
        <w:t>assumptions had to be made on the number of sheltered sides that applied to each dwelling. The approach taken to determine the number of sheltered sides was in accordance with the conventions set out in the Government’s Sta</w:t>
      </w:r>
      <w:r w:rsidR="00236B19">
        <w:rPr>
          <w:sz w:val="20"/>
          <w:szCs w:val="20"/>
        </w:rPr>
        <w:t>ndard Assessment Procedure (BRE, 2009)</w:t>
      </w:r>
      <w:r w:rsidR="00236B19" w:rsidRPr="00236B19">
        <w:rPr>
          <w:sz w:val="20"/>
          <w:szCs w:val="20"/>
        </w:rPr>
        <w:t>.</w:t>
      </w:r>
      <w:r w:rsidR="00E10274" w:rsidRPr="00E10274">
        <w:rPr>
          <w:sz w:val="20"/>
          <w:szCs w:val="20"/>
        </w:rPr>
        <w:t xml:space="preserve"> </w:t>
      </w:r>
    </w:p>
    <w:p w:rsidR="00576A9C" w:rsidRDefault="00576A9C" w:rsidP="00A442E4">
      <w:pPr>
        <w:spacing w:line="360" w:lineRule="auto"/>
        <w:rPr>
          <w:sz w:val="20"/>
          <w:szCs w:val="20"/>
        </w:rPr>
      </w:pPr>
    </w:p>
    <w:p w:rsidR="00093774" w:rsidRDefault="0071542F" w:rsidP="00A442E4">
      <w:pPr>
        <w:spacing w:line="360" w:lineRule="auto"/>
        <w:rPr>
          <w:sz w:val="20"/>
          <w:szCs w:val="20"/>
        </w:rPr>
      </w:pPr>
      <w:r w:rsidRPr="0071542F">
        <w:rPr>
          <w:sz w:val="20"/>
          <w:szCs w:val="20"/>
        </w:rPr>
        <w:t xml:space="preserve">The results </w:t>
      </w:r>
      <w:r w:rsidR="00D56EAE">
        <w:rPr>
          <w:sz w:val="20"/>
          <w:szCs w:val="20"/>
        </w:rPr>
        <w:t xml:space="preserve">contained within Figure 2 </w:t>
      </w:r>
      <w:r w:rsidR="002144CD">
        <w:rPr>
          <w:sz w:val="20"/>
          <w:szCs w:val="20"/>
        </w:rPr>
        <w:t>illustrate that not only did the case study dwellings vary considerably in terms of their overall designed, predicted and measured performance, but most importantly, the measured performance exceeded the predicted performance in all cases. This suggests</w:t>
      </w:r>
      <w:r w:rsidR="00137E4F">
        <w:rPr>
          <w:sz w:val="20"/>
          <w:szCs w:val="20"/>
        </w:rPr>
        <w:t xml:space="preserve"> that </w:t>
      </w:r>
      <w:r w:rsidR="002144CD">
        <w:rPr>
          <w:sz w:val="20"/>
          <w:szCs w:val="20"/>
        </w:rPr>
        <w:t xml:space="preserve">a building fabric </w:t>
      </w:r>
      <w:r w:rsidR="002144CD" w:rsidRPr="002144CD">
        <w:rPr>
          <w:i/>
          <w:sz w:val="20"/>
          <w:szCs w:val="20"/>
        </w:rPr>
        <w:t>‘performance gap’</w:t>
      </w:r>
      <w:r w:rsidR="002144CD">
        <w:rPr>
          <w:sz w:val="20"/>
          <w:szCs w:val="20"/>
        </w:rPr>
        <w:t xml:space="preserve"> </w:t>
      </w:r>
      <w:r w:rsidR="00137E4F">
        <w:rPr>
          <w:sz w:val="20"/>
          <w:szCs w:val="20"/>
        </w:rPr>
        <w:t xml:space="preserve">exists </w:t>
      </w:r>
      <w:r w:rsidR="002144CD">
        <w:rPr>
          <w:sz w:val="20"/>
          <w:szCs w:val="20"/>
        </w:rPr>
        <w:t xml:space="preserve">in all of the case study dwellings. Closer analysis of the data reveals that </w:t>
      </w:r>
      <w:r w:rsidR="006F2C51">
        <w:rPr>
          <w:sz w:val="20"/>
          <w:szCs w:val="20"/>
        </w:rPr>
        <w:t xml:space="preserve">the </w:t>
      </w:r>
      <w:r w:rsidR="002144CD">
        <w:rPr>
          <w:sz w:val="20"/>
          <w:szCs w:val="20"/>
        </w:rPr>
        <w:t xml:space="preserve">size of the gap </w:t>
      </w:r>
      <w:r w:rsidR="00137E4F">
        <w:rPr>
          <w:sz w:val="20"/>
          <w:szCs w:val="20"/>
        </w:rPr>
        <w:t xml:space="preserve">in percentage terms varies significantly, </w:t>
      </w:r>
      <w:r w:rsidR="006F2C51">
        <w:rPr>
          <w:sz w:val="20"/>
          <w:szCs w:val="20"/>
        </w:rPr>
        <w:t>f</w:t>
      </w:r>
      <w:r w:rsidR="00137E4F">
        <w:rPr>
          <w:sz w:val="20"/>
          <w:szCs w:val="20"/>
        </w:rPr>
        <w:t>r</w:t>
      </w:r>
      <w:r w:rsidR="006F2C51">
        <w:rPr>
          <w:sz w:val="20"/>
          <w:szCs w:val="20"/>
        </w:rPr>
        <w:t>o</w:t>
      </w:r>
      <w:r w:rsidR="00137E4F">
        <w:rPr>
          <w:sz w:val="20"/>
          <w:szCs w:val="20"/>
        </w:rPr>
        <w:t xml:space="preserve">m just over </w:t>
      </w:r>
      <w:r w:rsidR="006F2C51">
        <w:rPr>
          <w:sz w:val="20"/>
          <w:szCs w:val="20"/>
        </w:rPr>
        <w:t xml:space="preserve">6% for </w:t>
      </w:r>
      <w:r w:rsidR="00236B19">
        <w:rPr>
          <w:sz w:val="20"/>
          <w:szCs w:val="20"/>
        </w:rPr>
        <w:t>D</w:t>
      </w:r>
      <w:r w:rsidR="006F2C51">
        <w:rPr>
          <w:sz w:val="20"/>
          <w:szCs w:val="20"/>
        </w:rPr>
        <w:t>welling 1B to just over 63</w:t>
      </w:r>
      <w:r w:rsidR="00137E4F">
        <w:rPr>
          <w:sz w:val="20"/>
          <w:szCs w:val="20"/>
        </w:rPr>
        <w:t>% fo</w:t>
      </w:r>
      <w:r w:rsidR="006F2C51">
        <w:rPr>
          <w:sz w:val="20"/>
          <w:szCs w:val="20"/>
        </w:rPr>
        <w:t xml:space="preserve">r </w:t>
      </w:r>
      <w:r w:rsidR="00236B19">
        <w:rPr>
          <w:sz w:val="20"/>
          <w:szCs w:val="20"/>
        </w:rPr>
        <w:t>D</w:t>
      </w:r>
      <w:r w:rsidR="006F2C51">
        <w:rPr>
          <w:sz w:val="20"/>
          <w:szCs w:val="20"/>
        </w:rPr>
        <w:t>welling 5</w:t>
      </w:r>
      <w:r w:rsidR="00137E4F">
        <w:rPr>
          <w:sz w:val="20"/>
          <w:szCs w:val="20"/>
        </w:rPr>
        <w:t>.</w:t>
      </w:r>
      <w:r w:rsidR="006F2C51">
        <w:rPr>
          <w:sz w:val="20"/>
          <w:szCs w:val="20"/>
        </w:rPr>
        <w:t xml:space="preserve"> However, caution needs to be applied when utilising such a metric, as </w:t>
      </w:r>
      <w:r w:rsidR="006F2C51" w:rsidRPr="006F2C51">
        <w:rPr>
          <w:sz w:val="20"/>
          <w:szCs w:val="20"/>
        </w:rPr>
        <w:t xml:space="preserve">it tends to </w:t>
      </w:r>
      <w:r w:rsidR="009B35E3">
        <w:rPr>
          <w:sz w:val="20"/>
          <w:szCs w:val="20"/>
        </w:rPr>
        <w:t xml:space="preserve">unfairly penalise larger dwellings, </w:t>
      </w:r>
      <w:r w:rsidR="006F2C51" w:rsidRPr="006F2C51">
        <w:rPr>
          <w:sz w:val="20"/>
          <w:szCs w:val="20"/>
        </w:rPr>
        <w:t>those that have a large surface to volume ratio</w:t>
      </w:r>
      <w:r w:rsidR="009B35E3">
        <w:rPr>
          <w:sz w:val="20"/>
          <w:szCs w:val="20"/>
        </w:rPr>
        <w:t xml:space="preserve"> and </w:t>
      </w:r>
      <w:r w:rsidR="00137E4F" w:rsidRPr="00137E4F">
        <w:rPr>
          <w:sz w:val="20"/>
          <w:szCs w:val="20"/>
        </w:rPr>
        <w:t xml:space="preserve">those dwellings that have a very low predicted steady state HLC to </w:t>
      </w:r>
      <w:r w:rsidR="00137E4F">
        <w:rPr>
          <w:sz w:val="20"/>
          <w:szCs w:val="20"/>
        </w:rPr>
        <w:t xml:space="preserve">begin with, such as </w:t>
      </w:r>
      <w:r w:rsidR="00236B19">
        <w:rPr>
          <w:sz w:val="20"/>
          <w:szCs w:val="20"/>
        </w:rPr>
        <w:t>D</w:t>
      </w:r>
      <w:r w:rsidR="00137E4F">
        <w:rPr>
          <w:sz w:val="20"/>
          <w:szCs w:val="20"/>
        </w:rPr>
        <w:t xml:space="preserve">wellings 1A, 1B </w:t>
      </w:r>
      <w:r w:rsidR="00137E4F" w:rsidRPr="009B35E3">
        <w:rPr>
          <w:sz w:val="20"/>
          <w:szCs w:val="20"/>
        </w:rPr>
        <w:t xml:space="preserve">and 2. </w:t>
      </w:r>
      <w:r w:rsidR="009B35E3" w:rsidRPr="009B35E3">
        <w:rPr>
          <w:sz w:val="20"/>
          <w:szCs w:val="20"/>
        </w:rPr>
        <w:t xml:space="preserve">A more appropriate metric may be </w:t>
      </w:r>
      <w:r w:rsidR="009B35E3">
        <w:rPr>
          <w:sz w:val="20"/>
          <w:szCs w:val="20"/>
        </w:rPr>
        <w:t xml:space="preserve">to use the </w:t>
      </w:r>
      <w:r w:rsidR="009B35E3" w:rsidRPr="009B35E3">
        <w:rPr>
          <w:sz w:val="20"/>
          <w:szCs w:val="20"/>
        </w:rPr>
        <w:t xml:space="preserve">absolute difference in HLC </w:t>
      </w:r>
      <w:r w:rsidR="009B35E3">
        <w:rPr>
          <w:sz w:val="20"/>
          <w:szCs w:val="20"/>
        </w:rPr>
        <w:t xml:space="preserve">between the </w:t>
      </w:r>
      <w:r w:rsidR="009B35E3" w:rsidRPr="009B35E3">
        <w:rPr>
          <w:sz w:val="20"/>
          <w:szCs w:val="20"/>
        </w:rPr>
        <w:t xml:space="preserve">measured </w:t>
      </w:r>
      <w:r w:rsidR="009B35E3">
        <w:rPr>
          <w:sz w:val="20"/>
          <w:szCs w:val="20"/>
        </w:rPr>
        <w:t xml:space="preserve">and predicted performance. If such a metric is used, then the difference in overall HLC that was measured for </w:t>
      </w:r>
      <w:r w:rsidR="00236B19">
        <w:rPr>
          <w:sz w:val="20"/>
          <w:szCs w:val="20"/>
        </w:rPr>
        <w:t>D</w:t>
      </w:r>
      <w:r w:rsidR="009B35E3">
        <w:rPr>
          <w:sz w:val="20"/>
          <w:szCs w:val="20"/>
        </w:rPr>
        <w:t xml:space="preserve">wellings 1A,1B and 2 is </w:t>
      </w:r>
      <w:r w:rsidR="00093774">
        <w:rPr>
          <w:sz w:val="20"/>
          <w:szCs w:val="20"/>
        </w:rPr>
        <w:t xml:space="preserve">very </w:t>
      </w:r>
      <w:r w:rsidR="009B35E3">
        <w:rPr>
          <w:sz w:val="20"/>
          <w:szCs w:val="20"/>
        </w:rPr>
        <w:t>small at 6.3, 2.2 and 7.3W/K respectively</w:t>
      </w:r>
      <w:r w:rsidR="00093774">
        <w:rPr>
          <w:sz w:val="20"/>
          <w:szCs w:val="20"/>
        </w:rPr>
        <w:t>, particularly</w:t>
      </w:r>
      <w:r w:rsidR="00E64EC2">
        <w:rPr>
          <w:sz w:val="20"/>
          <w:szCs w:val="20"/>
        </w:rPr>
        <w:t xml:space="preserve"> when </w:t>
      </w:r>
      <w:r w:rsidR="00093774">
        <w:rPr>
          <w:sz w:val="20"/>
          <w:szCs w:val="20"/>
        </w:rPr>
        <w:t xml:space="preserve">compared to the difference in HLC measured for </w:t>
      </w:r>
      <w:r w:rsidR="00236B19">
        <w:rPr>
          <w:sz w:val="20"/>
          <w:szCs w:val="20"/>
        </w:rPr>
        <w:t>D</w:t>
      </w:r>
      <w:r w:rsidR="00093774">
        <w:rPr>
          <w:sz w:val="20"/>
          <w:szCs w:val="20"/>
        </w:rPr>
        <w:t>welling 5 of almost 86W/K</w:t>
      </w:r>
      <w:r w:rsidR="009B35E3">
        <w:rPr>
          <w:sz w:val="20"/>
          <w:szCs w:val="20"/>
        </w:rPr>
        <w:t xml:space="preserve">. </w:t>
      </w:r>
      <w:r w:rsidR="00093774">
        <w:rPr>
          <w:sz w:val="20"/>
          <w:szCs w:val="20"/>
        </w:rPr>
        <w:t>If one also takes into account the various uncertainties associated with coheating testing, then the size of the building fabric</w:t>
      </w:r>
      <w:r w:rsidR="00093774" w:rsidRPr="00093774">
        <w:rPr>
          <w:i/>
          <w:sz w:val="20"/>
          <w:szCs w:val="20"/>
        </w:rPr>
        <w:t xml:space="preserve"> ‘performance gap’ </w:t>
      </w:r>
      <w:r w:rsidR="00093774">
        <w:rPr>
          <w:sz w:val="20"/>
          <w:szCs w:val="20"/>
        </w:rPr>
        <w:t xml:space="preserve">measured for case study </w:t>
      </w:r>
      <w:r w:rsidR="00236B19">
        <w:rPr>
          <w:sz w:val="20"/>
          <w:szCs w:val="20"/>
        </w:rPr>
        <w:t>D</w:t>
      </w:r>
      <w:r w:rsidR="00093774">
        <w:rPr>
          <w:sz w:val="20"/>
          <w:szCs w:val="20"/>
        </w:rPr>
        <w:t xml:space="preserve">wellings 1A, 1B and 2 can be considered to be negligible, indicating that the building fabric associated with these dwellings is performing </w:t>
      </w:r>
      <w:r w:rsidR="00093774" w:rsidRPr="00093774">
        <w:rPr>
          <w:i/>
          <w:sz w:val="20"/>
          <w:szCs w:val="20"/>
        </w:rPr>
        <w:t>in situ</w:t>
      </w:r>
      <w:r w:rsidR="00093774">
        <w:rPr>
          <w:sz w:val="20"/>
          <w:szCs w:val="20"/>
        </w:rPr>
        <w:t xml:space="preserve"> pretty much as predicted.</w:t>
      </w:r>
      <w:r w:rsidR="0027477D" w:rsidRPr="0027477D">
        <w:rPr>
          <w:sz w:val="20"/>
          <w:szCs w:val="20"/>
        </w:rPr>
        <w:t xml:space="preserve"> </w:t>
      </w:r>
      <w:r w:rsidR="0027477D">
        <w:rPr>
          <w:sz w:val="20"/>
          <w:szCs w:val="20"/>
        </w:rPr>
        <w:t xml:space="preserve">The reasons why Dwellings 1A, 1B and 2 have such a very low predicted steady state and measured HLC are due to the fact that these case study dwellings are all Passivhaus Certified, so were designed to </w:t>
      </w:r>
      <w:r w:rsidR="0027477D" w:rsidRPr="00FA5E48">
        <w:rPr>
          <w:sz w:val="20"/>
          <w:szCs w:val="20"/>
        </w:rPr>
        <w:t>have very low plane element U-values and very high levels of airtightness in the first place</w:t>
      </w:r>
      <w:r w:rsidR="0027477D">
        <w:rPr>
          <w:sz w:val="20"/>
          <w:szCs w:val="20"/>
        </w:rPr>
        <w:t xml:space="preserve">. In addition, during the construction of the dwellings, </w:t>
      </w:r>
      <w:r w:rsidR="0027477D" w:rsidRPr="00FA5E48">
        <w:rPr>
          <w:sz w:val="20"/>
          <w:szCs w:val="20"/>
        </w:rPr>
        <w:t xml:space="preserve">various quality control processes </w:t>
      </w:r>
      <w:r w:rsidR="0027477D">
        <w:rPr>
          <w:sz w:val="20"/>
          <w:szCs w:val="20"/>
        </w:rPr>
        <w:t xml:space="preserve">that would not normally be implemented in mainstream housing </w:t>
      </w:r>
      <w:r w:rsidR="0027477D" w:rsidRPr="00FA5E48">
        <w:rPr>
          <w:sz w:val="20"/>
          <w:szCs w:val="20"/>
        </w:rPr>
        <w:t>were required to be implemented</w:t>
      </w:r>
      <w:r w:rsidR="0027477D">
        <w:rPr>
          <w:sz w:val="20"/>
          <w:szCs w:val="20"/>
        </w:rPr>
        <w:t>, in order to achieve Passivhaus Certification.</w:t>
      </w:r>
      <w:r w:rsidR="00A208BE">
        <w:rPr>
          <w:sz w:val="20"/>
          <w:szCs w:val="20"/>
        </w:rPr>
        <w:t xml:space="preserve"> </w:t>
      </w:r>
      <w:r w:rsidR="002002DB" w:rsidRPr="002002DB">
        <w:rPr>
          <w:sz w:val="20"/>
          <w:szCs w:val="20"/>
        </w:rPr>
        <w:t>It is the level of quality control procedures that are considered crucial to closing the building fabric performance gap.</w:t>
      </w:r>
      <w:r w:rsidR="00A208BE">
        <w:rPr>
          <w:sz w:val="20"/>
          <w:szCs w:val="20"/>
        </w:rPr>
        <w:t xml:space="preserve"> </w:t>
      </w:r>
    </w:p>
    <w:p w:rsidR="007E1BD9" w:rsidRDefault="007E1BD9" w:rsidP="00A442E4">
      <w:pPr>
        <w:spacing w:line="360" w:lineRule="auto"/>
        <w:rPr>
          <w:sz w:val="20"/>
          <w:szCs w:val="20"/>
        </w:rPr>
      </w:pPr>
    </w:p>
    <w:p w:rsidR="00025297" w:rsidRDefault="00F76990" w:rsidP="00A442E4">
      <w:pPr>
        <w:spacing w:line="360" w:lineRule="auto"/>
        <w:rPr>
          <w:sz w:val="20"/>
          <w:szCs w:val="20"/>
        </w:rPr>
      </w:pPr>
      <w:r>
        <w:rPr>
          <w:sz w:val="20"/>
          <w:szCs w:val="20"/>
        </w:rPr>
        <w:t xml:space="preserve">A comparison has also been made between the </w:t>
      </w:r>
      <w:r w:rsidRPr="00F76990">
        <w:rPr>
          <w:sz w:val="20"/>
          <w:szCs w:val="20"/>
        </w:rPr>
        <w:t>design intent and the predicted HLC</w:t>
      </w:r>
      <w:r>
        <w:rPr>
          <w:sz w:val="20"/>
          <w:szCs w:val="20"/>
        </w:rPr>
        <w:t>.</w:t>
      </w:r>
      <w:r w:rsidR="00E64EC2">
        <w:rPr>
          <w:sz w:val="20"/>
          <w:szCs w:val="20"/>
        </w:rPr>
        <w:t xml:space="preserve"> The results indicate that in the most instances, there is a difference between the design intent HLC and the predicted HLC</w:t>
      </w:r>
      <w:r w:rsidR="009815E6">
        <w:rPr>
          <w:sz w:val="20"/>
          <w:szCs w:val="20"/>
        </w:rPr>
        <w:t>. For</w:t>
      </w:r>
      <w:r w:rsidR="009815E6" w:rsidRPr="009815E6">
        <w:rPr>
          <w:sz w:val="20"/>
          <w:szCs w:val="20"/>
        </w:rPr>
        <w:t xml:space="preserve"> </w:t>
      </w:r>
      <w:r w:rsidR="00236B19">
        <w:rPr>
          <w:sz w:val="20"/>
          <w:szCs w:val="20"/>
        </w:rPr>
        <w:t>D</w:t>
      </w:r>
      <w:r w:rsidR="009815E6" w:rsidRPr="009815E6">
        <w:rPr>
          <w:sz w:val="20"/>
          <w:szCs w:val="20"/>
        </w:rPr>
        <w:t xml:space="preserve">wellings 1A, 1B and 2 (all </w:t>
      </w:r>
      <w:r w:rsidR="009815E6">
        <w:rPr>
          <w:sz w:val="20"/>
          <w:szCs w:val="20"/>
        </w:rPr>
        <w:t xml:space="preserve">designed to achieve </w:t>
      </w:r>
      <w:r w:rsidR="009815E6" w:rsidRPr="009815E6">
        <w:rPr>
          <w:sz w:val="20"/>
          <w:szCs w:val="20"/>
        </w:rPr>
        <w:t xml:space="preserve">Passivhaus </w:t>
      </w:r>
      <w:r w:rsidR="009815E6">
        <w:rPr>
          <w:sz w:val="20"/>
          <w:szCs w:val="20"/>
        </w:rPr>
        <w:t>Certification</w:t>
      </w:r>
      <w:r w:rsidR="009815E6" w:rsidRPr="009815E6">
        <w:rPr>
          <w:sz w:val="20"/>
          <w:szCs w:val="20"/>
        </w:rPr>
        <w:t xml:space="preserve">) the design intent is </w:t>
      </w:r>
      <w:r w:rsidR="00704DE0">
        <w:rPr>
          <w:sz w:val="20"/>
          <w:szCs w:val="20"/>
        </w:rPr>
        <w:t xml:space="preserve">significantly </w:t>
      </w:r>
      <w:r w:rsidR="009815E6" w:rsidRPr="009815E6">
        <w:rPr>
          <w:sz w:val="20"/>
          <w:szCs w:val="20"/>
        </w:rPr>
        <w:t>greater than th</w:t>
      </w:r>
      <w:r w:rsidR="00FE7487">
        <w:rPr>
          <w:sz w:val="20"/>
          <w:szCs w:val="20"/>
        </w:rPr>
        <w:t>at</w:t>
      </w:r>
      <w:r w:rsidR="009815E6" w:rsidRPr="009815E6">
        <w:rPr>
          <w:sz w:val="20"/>
          <w:szCs w:val="20"/>
        </w:rPr>
        <w:t xml:space="preserve"> predicted, in some case by </w:t>
      </w:r>
      <w:r w:rsidR="00704DE0">
        <w:rPr>
          <w:sz w:val="20"/>
          <w:szCs w:val="20"/>
        </w:rPr>
        <w:t xml:space="preserve">a considerable margin (more than 40% for </w:t>
      </w:r>
      <w:r w:rsidR="00236B19">
        <w:rPr>
          <w:sz w:val="20"/>
          <w:szCs w:val="20"/>
        </w:rPr>
        <w:t>D</w:t>
      </w:r>
      <w:r w:rsidR="00704DE0">
        <w:rPr>
          <w:sz w:val="20"/>
          <w:szCs w:val="20"/>
        </w:rPr>
        <w:t>wellings 1A &amp; 1B)</w:t>
      </w:r>
      <w:r w:rsidR="00A97BBB">
        <w:rPr>
          <w:sz w:val="20"/>
          <w:szCs w:val="20"/>
        </w:rPr>
        <w:t xml:space="preserve">, suggesting a rather pessimistic design based SAP assessment. </w:t>
      </w:r>
      <w:r w:rsidR="00F77D0B">
        <w:rPr>
          <w:sz w:val="20"/>
          <w:szCs w:val="20"/>
        </w:rPr>
        <w:t xml:space="preserve">Part of the reason for this is the use of much higher U-values in the design based SAP assessment than is required to achieve Passivhaus Certification. The </w:t>
      </w:r>
      <w:r w:rsidR="00F77D0B">
        <w:rPr>
          <w:sz w:val="20"/>
          <w:szCs w:val="20"/>
        </w:rPr>
        <w:lastRenderedPageBreak/>
        <w:t xml:space="preserve">reasons why such U-values were used is not known. </w:t>
      </w:r>
      <w:r w:rsidR="00704DE0">
        <w:rPr>
          <w:sz w:val="20"/>
          <w:szCs w:val="20"/>
        </w:rPr>
        <w:t xml:space="preserve">In the case of </w:t>
      </w:r>
      <w:r w:rsidR="00236B19">
        <w:rPr>
          <w:sz w:val="20"/>
          <w:szCs w:val="20"/>
        </w:rPr>
        <w:t>D</w:t>
      </w:r>
      <w:r w:rsidR="00704DE0">
        <w:rPr>
          <w:sz w:val="20"/>
          <w:szCs w:val="20"/>
        </w:rPr>
        <w:t xml:space="preserve">wellings 3A and 3B, the opposite is true, where the design intent was </w:t>
      </w:r>
      <w:r w:rsidR="00544F0E">
        <w:rPr>
          <w:sz w:val="20"/>
          <w:szCs w:val="20"/>
        </w:rPr>
        <w:t xml:space="preserve">significantly </w:t>
      </w:r>
      <w:r w:rsidR="00704DE0">
        <w:rPr>
          <w:sz w:val="20"/>
          <w:szCs w:val="20"/>
        </w:rPr>
        <w:t xml:space="preserve">lower than the predicted HLC, although </w:t>
      </w:r>
      <w:r w:rsidR="00A97BBB">
        <w:rPr>
          <w:sz w:val="20"/>
          <w:szCs w:val="20"/>
        </w:rPr>
        <w:t>to</w:t>
      </w:r>
      <w:r w:rsidR="005F5CD8">
        <w:rPr>
          <w:sz w:val="20"/>
          <w:szCs w:val="20"/>
        </w:rPr>
        <w:t xml:space="preserve"> a</w:t>
      </w:r>
      <w:r w:rsidR="00704DE0">
        <w:rPr>
          <w:sz w:val="20"/>
          <w:szCs w:val="20"/>
        </w:rPr>
        <w:t xml:space="preserve"> much lesser degree. </w:t>
      </w:r>
      <w:r w:rsidR="00544F0E">
        <w:rPr>
          <w:sz w:val="20"/>
          <w:szCs w:val="20"/>
        </w:rPr>
        <w:t>This could have important implications in terms of whether the dwellings achieve the required level of compliance or not.</w:t>
      </w:r>
      <w:r w:rsidR="00A97BBB">
        <w:rPr>
          <w:sz w:val="20"/>
          <w:szCs w:val="20"/>
        </w:rPr>
        <w:t xml:space="preserve"> </w:t>
      </w:r>
      <w:r w:rsidR="00E64EC2">
        <w:rPr>
          <w:sz w:val="20"/>
          <w:szCs w:val="20"/>
        </w:rPr>
        <w:t xml:space="preserve">A closer examination of the design </w:t>
      </w:r>
      <w:r w:rsidR="00025297">
        <w:rPr>
          <w:sz w:val="20"/>
          <w:szCs w:val="20"/>
        </w:rPr>
        <w:t xml:space="preserve">based </w:t>
      </w:r>
      <w:r w:rsidR="00E64EC2">
        <w:rPr>
          <w:sz w:val="20"/>
          <w:szCs w:val="20"/>
        </w:rPr>
        <w:t xml:space="preserve">SAP assessments reveals that </w:t>
      </w:r>
      <w:r w:rsidR="00704DE0">
        <w:rPr>
          <w:sz w:val="20"/>
          <w:szCs w:val="20"/>
        </w:rPr>
        <w:t xml:space="preserve">part of the reason for the discrepancy between the design </w:t>
      </w:r>
      <w:r w:rsidR="00A97BBB">
        <w:rPr>
          <w:sz w:val="20"/>
          <w:szCs w:val="20"/>
        </w:rPr>
        <w:t xml:space="preserve">intent </w:t>
      </w:r>
      <w:r w:rsidR="00704DE0">
        <w:rPr>
          <w:sz w:val="20"/>
          <w:szCs w:val="20"/>
        </w:rPr>
        <w:t xml:space="preserve">HLC and the predicted HLC </w:t>
      </w:r>
      <w:r w:rsidR="002F0BD0">
        <w:rPr>
          <w:sz w:val="20"/>
          <w:szCs w:val="20"/>
        </w:rPr>
        <w:t xml:space="preserve">can </w:t>
      </w:r>
      <w:r w:rsidR="00704DE0">
        <w:rPr>
          <w:sz w:val="20"/>
          <w:szCs w:val="20"/>
        </w:rPr>
        <w:t>be attribut</w:t>
      </w:r>
      <w:r w:rsidR="002F0BD0">
        <w:rPr>
          <w:sz w:val="20"/>
          <w:szCs w:val="20"/>
        </w:rPr>
        <w:t>ed</w:t>
      </w:r>
      <w:r w:rsidR="00704DE0">
        <w:rPr>
          <w:sz w:val="20"/>
          <w:szCs w:val="20"/>
        </w:rPr>
        <w:t xml:space="preserve"> to errors in the </w:t>
      </w:r>
      <w:r w:rsidR="00A97BBB">
        <w:rPr>
          <w:sz w:val="20"/>
          <w:szCs w:val="20"/>
        </w:rPr>
        <w:t xml:space="preserve">data that </w:t>
      </w:r>
      <w:r w:rsidR="002F0BD0">
        <w:rPr>
          <w:sz w:val="20"/>
          <w:szCs w:val="20"/>
        </w:rPr>
        <w:t>had been</w:t>
      </w:r>
      <w:r w:rsidR="00A97BBB">
        <w:rPr>
          <w:sz w:val="20"/>
          <w:szCs w:val="20"/>
        </w:rPr>
        <w:t xml:space="preserve"> input into the </w:t>
      </w:r>
      <w:r w:rsidR="00704DE0">
        <w:rPr>
          <w:sz w:val="20"/>
          <w:szCs w:val="20"/>
        </w:rPr>
        <w:t xml:space="preserve">design </w:t>
      </w:r>
      <w:r w:rsidR="00A97BBB">
        <w:rPr>
          <w:sz w:val="20"/>
          <w:szCs w:val="20"/>
        </w:rPr>
        <w:t xml:space="preserve">based </w:t>
      </w:r>
      <w:r w:rsidR="00704DE0">
        <w:rPr>
          <w:sz w:val="20"/>
          <w:szCs w:val="20"/>
        </w:rPr>
        <w:t>SAP assessments.</w:t>
      </w:r>
      <w:r w:rsidR="002F0BD0">
        <w:rPr>
          <w:sz w:val="20"/>
          <w:szCs w:val="20"/>
        </w:rPr>
        <w:t xml:space="preserve"> These errors ranged from incorrect dimensional data to errors in the U-value</w:t>
      </w:r>
      <w:r w:rsidR="00F77D0B">
        <w:rPr>
          <w:sz w:val="20"/>
          <w:szCs w:val="20"/>
        </w:rPr>
        <w:t>s and the U-value</w:t>
      </w:r>
      <w:r w:rsidR="002F0BD0">
        <w:rPr>
          <w:sz w:val="20"/>
          <w:szCs w:val="20"/>
        </w:rPr>
        <w:t xml:space="preserve"> calculations. Ano</w:t>
      </w:r>
      <w:r w:rsidR="00025297">
        <w:rPr>
          <w:sz w:val="20"/>
          <w:szCs w:val="20"/>
        </w:rPr>
        <w:t xml:space="preserve">ther factor that will also have contributed to the discrepancy </w:t>
      </w:r>
      <w:r w:rsidR="00F77D0B">
        <w:rPr>
          <w:sz w:val="20"/>
          <w:szCs w:val="20"/>
        </w:rPr>
        <w:t xml:space="preserve">will be </w:t>
      </w:r>
      <w:r w:rsidR="00025297">
        <w:rPr>
          <w:sz w:val="20"/>
          <w:szCs w:val="20"/>
        </w:rPr>
        <w:t>changes made to the design</w:t>
      </w:r>
      <w:r w:rsidR="00F77D0B">
        <w:rPr>
          <w:sz w:val="20"/>
          <w:szCs w:val="20"/>
        </w:rPr>
        <w:t xml:space="preserve"> during construction</w:t>
      </w:r>
      <w:r w:rsidR="00025297">
        <w:rPr>
          <w:sz w:val="20"/>
          <w:szCs w:val="20"/>
        </w:rPr>
        <w:t xml:space="preserve">. </w:t>
      </w:r>
    </w:p>
    <w:p w:rsidR="00025297" w:rsidRDefault="00025297" w:rsidP="00A442E4">
      <w:pPr>
        <w:spacing w:line="360" w:lineRule="auto"/>
        <w:rPr>
          <w:sz w:val="20"/>
          <w:szCs w:val="20"/>
        </w:rPr>
      </w:pPr>
    </w:p>
    <w:p w:rsidR="00544F0E" w:rsidRDefault="00A97BBB" w:rsidP="00A442E4">
      <w:pPr>
        <w:spacing w:line="360" w:lineRule="auto"/>
        <w:rPr>
          <w:sz w:val="20"/>
          <w:szCs w:val="20"/>
        </w:rPr>
      </w:pPr>
      <w:r>
        <w:rPr>
          <w:sz w:val="20"/>
          <w:szCs w:val="20"/>
        </w:rPr>
        <w:t>E</w:t>
      </w:r>
      <w:r w:rsidR="00544F0E" w:rsidRPr="00544F0E">
        <w:rPr>
          <w:sz w:val="20"/>
          <w:szCs w:val="20"/>
        </w:rPr>
        <w:t>rrors in the data t</w:t>
      </w:r>
      <w:r w:rsidR="00025297">
        <w:rPr>
          <w:sz w:val="20"/>
          <w:szCs w:val="20"/>
        </w:rPr>
        <w:t>hat is used as input into SAP are</w:t>
      </w:r>
      <w:r w:rsidR="00544F0E" w:rsidRPr="00544F0E">
        <w:rPr>
          <w:sz w:val="20"/>
          <w:szCs w:val="20"/>
        </w:rPr>
        <w:t xml:space="preserve"> not unusual. A study of input errors in the application of SAP for new dwellings found errors in 56 out of 82 assessments (68%), and that when corrected, about 20% of the dwellings failed to meet the regulator</w:t>
      </w:r>
      <w:r>
        <w:rPr>
          <w:sz w:val="20"/>
          <w:szCs w:val="20"/>
        </w:rPr>
        <w:t xml:space="preserve">y target emission rate (Trinick </w:t>
      </w:r>
      <w:r w:rsidRPr="00A97BBB">
        <w:rPr>
          <w:i/>
          <w:sz w:val="20"/>
          <w:szCs w:val="20"/>
        </w:rPr>
        <w:t>et al.</w:t>
      </w:r>
      <w:r w:rsidR="00544F0E" w:rsidRPr="00544F0E">
        <w:rPr>
          <w:sz w:val="20"/>
          <w:szCs w:val="20"/>
        </w:rPr>
        <w:t xml:space="preserve">, 2009). </w:t>
      </w:r>
      <w:r w:rsidR="0098684C">
        <w:rPr>
          <w:sz w:val="20"/>
          <w:szCs w:val="20"/>
        </w:rPr>
        <w:t xml:space="preserve">In addition, recent work undertaken by the Zero Carbon Hub as part of their </w:t>
      </w:r>
      <w:r w:rsidR="0098684C">
        <w:rPr>
          <w:i/>
          <w:sz w:val="20"/>
          <w:szCs w:val="20"/>
        </w:rPr>
        <w:t>Housebuilding Process</w:t>
      </w:r>
      <w:r w:rsidR="0098684C" w:rsidRPr="0098684C">
        <w:rPr>
          <w:i/>
          <w:sz w:val="20"/>
          <w:szCs w:val="20"/>
        </w:rPr>
        <w:t xml:space="preserve"> Review </w:t>
      </w:r>
      <w:r w:rsidR="0098684C">
        <w:rPr>
          <w:sz w:val="20"/>
          <w:szCs w:val="20"/>
        </w:rPr>
        <w:t>found errors in all of the design based SAP assessments that they reviewed (Zero Carbon Hub, 2014).</w:t>
      </w:r>
      <w:r w:rsidR="00544F0E" w:rsidRPr="00544F0E">
        <w:rPr>
          <w:sz w:val="20"/>
          <w:szCs w:val="20"/>
        </w:rPr>
        <w:t>This study, along with the work undertaken by Trinick et al. (2009)</w:t>
      </w:r>
      <w:r w:rsidR="00661728">
        <w:rPr>
          <w:sz w:val="20"/>
          <w:szCs w:val="20"/>
        </w:rPr>
        <w:t xml:space="preserve"> and the Zero Carbon Hub (2014)</w:t>
      </w:r>
      <w:r w:rsidR="00544F0E" w:rsidRPr="00544F0E">
        <w:rPr>
          <w:sz w:val="20"/>
          <w:szCs w:val="20"/>
        </w:rPr>
        <w:t>, highlights the requirement for much greater control of SAP and the need for the development and implementation of a quality control process that will minimise these input errors.</w:t>
      </w:r>
    </w:p>
    <w:p w:rsidR="00704DE0" w:rsidRDefault="00704DE0" w:rsidP="00A442E4">
      <w:pPr>
        <w:spacing w:line="360" w:lineRule="auto"/>
        <w:rPr>
          <w:sz w:val="20"/>
          <w:szCs w:val="20"/>
        </w:rPr>
      </w:pPr>
    </w:p>
    <w:p w:rsidR="00440F35" w:rsidRPr="00A97BBB" w:rsidRDefault="00A97BBB" w:rsidP="00A442E4">
      <w:pPr>
        <w:spacing w:line="360" w:lineRule="auto"/>
        <w:rPr>
          <w:b/>
          <w:sz w:val="20"/>
          <w:szCs w:val="20"/>
        </w:rPr>
      </w:pPr>
      <w:r>
        <w:rPr>
          <w:b/>
          <w:sz w:val="20"/>
          <w:szCs w:val="20"/>
        </w:rPr>
        <w:t xml:space="preserve">4.2 </w:t>
      </w:r>
      <w:r w:rsidRPr="00A97BBB">
        <w:rPr>
          <w:b/>
          <w:sz w:val="20"/>
          <w:szCs w:val="20"/>
        </w:rPr>
        <w:t xml:space="preserve">Results </w:t>
      </w:r>
      <w:r>
        <w:rPr>
          <w:b/>
          <w:sz w:val="20"/>
          <w:szCs w:val="20"/>
        </w:rPr>
        <w:t xml:space="preserve">of the coheating tests </w:t>
      </w:r>
      <w:r w:rsidRPr="00A97BBB">
        <w:rPr>
          <w:b/>
          <w:sz w:val="20"/>
          <w:szCs w:val="20"/>
        </w:rPr>
        <w:t>in context</w:t>
      </w:r>
    </w:p>
    <w:p w:rsidR="00DA1C1D" w:rsidRDefault="00B56D62" w:rsidP="00A442E4">
      <w:pPr>
        <w:spacing w:line="360" w:lineRule="auto"/>
        <w:rPr>
          <w:sz w:val="20"/>
          <w:szCs w:val="20"/>
        </w:rPr>
      </w:pPr>
      <w:r>
        <w:rPr>
          <w:sz w:val="20"/>
          <w:szCs w:val="20"/>
        </w:rPr>
        <w:t xml:space="preserve">In order to be able to put the results obtained from the case study dwellings in context, the predicted and measured HLC </w:t>
      </w:r>
      <w:r w:rsidR="003A1B36">
        <w:rPr>
          <w:sz w:val="20"/>
          <w:szCs w:val="20"/>
        </w:rPr>
        <w:t>for the case study dwellings have</w:t>
      </w:r>
      <w:r>
        <w:rPr>
          <w:sz w:val="20"/>
          <w:szCs w:val="20"/>
        </w:rPr>
        <w:t xml:space="preserve"> been compared against the results o</w:t>
      </w:r>
      <w:r w:rsidR="007B66AE">
        <w:rPr>
          <w:sz w:val="20"/>
          <w:szCs w:val="20"/>
        </w:rPr>
        <w:t>btained from 18</w:t>
      </w:r>
      <w:r>
        <w:rPr>
          <w:sz w:val="20"/>
          <w:szCs w:val="20"/>
        </w:rPr>
        <w:t xml:space="preserve"> other new build dwellings</w:t>
      </w:r>
      <w:r w:rsidR="00874A1F">
        <w:rPr>
          <w:sz w:val="20"/>
          <w:szCs w:val="20"/>
        </w:rPr>
        <w:t xml:space="preserve"> that are </w:t>
      </w:r>
      <w:r>
        <w:rPr>
          <w:sz w:val="20"/>
          <w:szCs w:val="20"/>
        </w:rPr>
        <w:t xml:space="preserve">contained within the </w:t>
      </w:r>
      <w:r w:rsidRPr="00B56D62">
        <w:rPr>
          <w:sz w:val="20"/>
          <w:szCs w:val="20"/>
        </w:rPr>
        <w:t>Centre for the Built Environment (Ce</w:t>
      </w:r>
      <w:r>
        <w:rPr>
          <w:sz w:val="20"/>
          <w:szCs w:val="20"/>
        </w:rPr>
        <w:t xml:space="preserve">BE) </w:t>
      </w:r>
      <w:r w:rsidR="00BB38E1">
        <w:rPr>
          <w:sz w:val="20"/>
          <w:szCs w:val="20"/>
        </w:rPr>
        <w:t xml:space="preserve">Group </w:t>
      </w:r>
      <w:r>
        <w:rPr>
          <w:sz w:val="20"/>
          <w:szCs w:val="20"/>
        </w:rPr>
        <w:t>at Leeds Beckett</w:t>
      </w:r>
      <w:r w:rsidR="003A1B36">
        <w:rPr>
          <w:sz w:val="20"/>
          <w:szCs w:val="20"/>
        </w:rPr>
        <w:t xml:space="preserve"> University’s coheating test</w:t>
      </w:r>
      <w:r w:rsidRPr="00B56D62">
        <w:rPr>
          <w:sz w:val="20"/>
          <w:szCs w:val="20"/>
        </w:rPr>
        <w:t xml:space="preserve"> database</w:t>
      </w:r>
      <w:r w:rsidR="00042724">
        <w:rPr>
          <w:sz w:val="20"/>
          <w:szCs w:val="20"/>
        </w:rPr>
        <w:t xml:space="preserve"> (see Figure 3)</w:t>
      </w:r>
      <w:r>
        <w:rPr>
          <w:sz w:val="20"/>
          <w:szCs w:val="20"/>
        </w:rPr>
        <w:t xml:space="preserve">. </w:t>
      </w:r>
      <w:r w:rsidR="007B66AE">
        <w:rPr>
          <w:sz w:val="20"/>
          <w:szCs w:val="20"/>
        </w:rPr>
        <w:t>T</w:t>
      </w:r>
      <w:r w:rsidR="009B3110">
        <w:rPr>
          <w:sz w:val="20"/>
          <w:szCs w:val="20"/>
        </w:rPr>
        <w:t xml:space="preserve">he CeBE </w:t>
      </w:r>
      <w:r w:rsidR="00BB38E1">
        <w:rPr>
          <w:sz w:val="20"/>
          <w:szCs w:val="20"/>
        </w:rPr>
        <w:t xml:space="preserve">Group </w:t>
      </w:r>
      <w:r w:rsidR="009B3110">
        <w:rPr>
          <w:sz w:val="20"/>
          <w:szCs w:val="20"/>
        </w:rPr>
        <w:t xml:space="preserve">coheating </w:t>
      </w:r>
      <w:r w:rsidR="003A1B36">
        <w:rPr>
          <w:sz w:val="20"/>
          <w:szCs w:val="20"/>
        </w:rPr>
        <w:t xml:space="preserve">test </w:t>
      </w:r>
      <w:r w:rsidR="007B66AE">
        <w:rPr>
          <w:sz w:val="20"/>
          <w:szCs w:val="20"/>
        </w:rPr>
        <w:t>database is the largest single database of coheating data in the</w:t>
      </w:r>
      <w:r w:rsidR="009B3110">
        <w:rPr>
          <w:sz w:val="20"/>
          <w:szCs w:val="20"/>
        </w:rPr>
        <w:t xml:space="preserve"> UK. It represents approximately 10 years’ worth of coheating testing and contains</w:t>
      </w:r>
      <w:r w:rsidR="007B66AE">
        <w:rPr>
          <w:sz w:val="20"/>
          <w:szCs w:val="20"/>
        </w:rPr>
        <w:t xml:space="preserve"> data on </w:t>
      </w:r>
      <w:r w:rsidR="00874A1F">
        <w:rPr>
          <w:sz w:val="20"/>
          <w:szCs w:val="20"/>
        </w:rPr>
        <w:t xml:space="preserve">more than 50 coheating tests undertaken in </w:t>
      </w:r>
      <w:r w:rsidR="007B66AE">
        <w:rPr>
          <w:sz w:val="20"/>
          <w:szCs w:val="20"/>
        </w:rPr>
        <w:t>both new and existing dwellings</w:t>
      </w:r>
      <w:r w:rsidR="00874A1F">
        <w:rPr>
          <w:sz w:val="20"/>
          <w:szCs w:val="20"/>
        </w:rPr>
        <w:t xml:space="preserve">, </w:t>
      </w:r>
      <w:r w:rsidR="007B66AE">
        <w:rPr>
          <w:sz w:val="20"/>
          <w:szCs w:val="20"/>
        </w:rPr>
        <w:t>all of</w:t>
      </w:r>
      <w:r w:rsidR="00874A1F">
        <w:rPr>
          <w:sz w:val="20"/>
          <w:szCs w:val="20"/>
        </w:rPr>
        <w:t xml:space="preserve"> which have been tested by the same organisation. </w:t>
      </w:r>
      <w:r w:rsidR="003A1B36">
        <w:rPr>
          <w:sz w:val="20"/>
          <w:szCs w:val="20"/>
        </w:rPr>
        <w:t>All of t</w:t>
      </w:r>
      <w:r w:rsidR="00874A1F">
        <w:rPr>
          <w:sz w:val="20"/>
          <w:szCs w:val="20"/>
        </w:rPr>
        <w:t xml:space="preserve">he new build dwellings contained within the database have all been </w:t>
      </w:r>
      <w:r w:rsidR="00874A1F" w:rsidRPr="00874A1F">
        <w:rPr>
          <w:sz w:val="20"/>
          <w:szCs w:val="20"/>
        </w:rPr>
        <w:t xml:space="preserve">built to </w:t>
      </w:r>
      <w:r w:rsidR="00874A1F">
        <w:rPr>
          <w:sz w:val="20"/>
          <w:szCs w:val="20"/>
        </w:rPr>
        <w:t xml:space="preserve">comply with </w:t>
      </w:r>
      <w:r w:rsidR="00874A1F" w:rsidRPr="00874A1F">
        <w:rPr>
          <w:sz w:val="20"/>
          <w:szCs w:val="20"/>
        </w:rPr>
        <w:t>Part L1A 2006 (NBS, 2006)</w:t>
      </w:r>
      <w:r w:rsidR="00874A1F">
        <w:rPr>
          <w:sz w:val="20"/>
          <w:szCs w:val="20"/>
        </w:rPr>
        <w:t xml:space="preserve"> as a minimum</w:t>
      </w:r>
      <w:r w:rsidR="00874A1F" w:rsidRPr="00874A1F">
        <w:rPr>
          <w:sz w:val="20"/>
          <w:szCs w:val="20"/>
        </w:rPr>
        <w:t xml:space="preserve">, </w:t>
      </w:r>
      <w:r w:rsidR="00874A1F">
        <w:rPr>
          <w:sz w:val="20"/>
          <w:szCs w:val="20"/>
        </w:rPr>
        <w:t xml:space="preserve">vary in terms of age, size, </w:t>
      </w:r>
      <w:r w:rsidR="009B3110">
        <w:rPr>
          <w:sz w:val="20"/>
          <w:szCs w:val="20"/>
        </w:rPr>
        <w:t>built form and main construction type</w:t>
      </w:r>
      <w:r w:rsidR="008B5495">
        <w:rPr>
          <w:sz w:val="20"/>
          <w:szCs w:val="20"/>
        </w:rPr>
        <w:t xml:space="preserve"> and </w:t>
      </w:r>
      <w:r w:rsidR="008B5495" w:rsidRPr="008B5495">
        <w:rPr>
          <w:sz w:val="20"/>
          <w:szCs w:val="20"/>
        </w:rPr>
        <w:t xml:space="preserve">broadly encompass the main construction techniques and dwelling forms </w:t>
      </w:r>
      <w:r w:rsidR="008B5495">
        <w:rPr>
          <w:sz w:val="20"/>
          <w:szCs w:val="20"/>
        </w:rPr>
        <w:t xml:space="preserve">found within England and Wales. </w:t>
      </w:r>
      <w:r w:rsidR="003A1B36">
        <w:rPr>
          <w:sz w:val="20"/>
          <w:szCs w:val="20"/>
        </w:rPr>
        <w:t xml:space="preserve">It should be noted that although the CeBE database is the largest of its kind in the country, due to the </w:t>
      </w:r>
      <w:r w:rsidR="003A1B36" w:rsidRPr="003A1B36">
        <w:rPr>
          <w:sz w:val="20"/>
          <w:szCs w:val="20"/>
        </w:rPr>
        <w:t>practical difficulties associated with</w:t>
      </w:r>
      <w:r w:rsidR="003A1B36">
        <w:rPr>
          <w:sz w:val="20"/>
          <w:szCs w:val="20"/>
        </w:rPr>
        <w:t xml:space="preserve"> undertaking </w:t>
      </w:r>
      <w:r w:rsidR="00DA1C1D">
        <w:rPr>
          <w:sz w:val="20"/>
          <w:szCs w:val="20"/>
        </w:rPr>
        <w:t xml:space="preserve">large </w:t>
      </w:r>
      <w:r w:rsidR="003A1B36">
        <w:rPr>
          <w:sz w:val="20"/>
          <w:szCs w:val="20"/>
        </w:rPr>
        <w:t xml:space="preserve">numbers of coheating tests on </w:t>
      </w:r>
      <w:r w:rsidR="003A1B36" w:rsidRPr="003A1B36">
        <w:rPr>
          <w:sz w:val="20"/>
          <w:szCs w:val="20"/>
        </w:rPr>
        <w:t>dwellings in the UK</w:t>
      </w:r>
      <w:r w:rsidR="003A1B36">
        <w:rPr>
          <w:sz w:val="20"/>
          <w:szCs w:val="20"/>
        </w:rPr>
        <w:t xml:space="preserve">, the </w:t>
      </w:r>
      <w:r w:rsidR="00DA1C1D">
        <w:rPr>
          <w:sz w:val="20"/>
          <w:szCs w:val="20"/>
        </w:rPr>
        <w:t xml:space="preserve">numbers of dwellings contained within the database are </w:t>
      </w:r>
      <w:r w:rsidR="003A1B36">
        <w:rPr>
          <w:sz w:val="20"/>
          <w:szCs w:val="20"/>
        </w:rPr>
        <w:t>relatively small</w:t>
      </w:r>
      <w:r w:rsidR="00DA1C1D">
        <w:rPr>
          <w:sz w:val="20"/>
          <w:szCs w:val="20"/>
        </w:rPr>
        <w:t xml:space="preserve"> and they are not the result of random sampling</w:t>
      </w:r>
      <w:r w:rsidR="003A1B36">
        <w:rPr>
          <w:sz w:val="20"/>
          <w:szCs w:val="20"/>
        </w:rPr>
        <w:t xml:space="preserve">. </w:t>
      </w:r>
      <w:r w:rsidR="00DA1C1D">
        <w:rPr>
          <w:sz w:val="20"/>
          <w:szCs w:val="20"/>
        </w:rPr>
        <w:t>In fact, due to the nature of the coheating testing work that has been undertaken by CeBE</w:t>
      </w:r>
      <w:r w:rsidR="00BB38E1">
        <w:rPr>
          <w:sz w:val="20"/>
          <w:szCs w:val="20"/>
        </w:rPr>
        <w:t xml:space="preserve"> Group</w:t>
      </w:r>
      <w:r w:rsidR="00DA1C1D">
        <w:rPr>
          <w:sz w:val="20"/>
          <w:szCs w:val="20"/>
        </w:rPr>
        <w:t xml:space="preserve">, the database is more likely to be biased towards </w:t>
      </w:r>
      <w:r w:rsidR="00BB38E1">
        <w:rPr>
          <w:sz w:val="20"/>
          <w:szCs w:val="20"/>
        </w:rPr>
        <w:t xml:space="preserve">dwellings that were designed to have a level of fabric performance in excess of the minimum required for compliance purposes alone. </w:t>
      </w:r>
      <w:r w:rsidR="003A1B36">
        <w:rPr>
          <w:sz w:val="20"/>
          <w:szCs w:val="20"/>
        </w:rPr>
        <w:t xml:space="preserve">Consequently, any </w:t>
      </w:r>
      <w:r w:rsidR="00DA1C1D">
        <w:rPr>
          <w:sz w:val="20"/>
          <w:szCs w:val="20"/>
        </w:rPr>
        <w:t xml:space="preserve">inferences made </w:t>
      </w:r>
      <w:r w:rsidR="00DA1C1D">
        <w:rPr>
          <w:sz w:val="20"/>
          <w:szCs w:val="20"/>
        </w:rPr>
        <w:lastRenderedPageBreak/>
        <w:t xml:space="preserve">using the database cannot be </w:t>
      </w:r>
      <w:r w:rsidR="00661728" w:rsidRPr="00661728">
        <w:rPr>
          <w:sz w:val="20"/>
          <w:szCs w:val="20"/>
        </w:rPr>
        <w:t>qualified as being representative of t</w:t>
      </w:r>
      <w:r w:rsidR="00BB38E1">
        <w:rPr>
          <w:sz w:val="20"/>
          <w:szCs w:val="20"/>
        </w:rPr>
        <w:t>he UK housing stock as a whole.</w:t>
      </w:r>
    </w:p>
    <w:p w:rsidR="00DA1C1D" w:rsidRDefault="00DA1C1D" w:rsidP="00A442E4">
      <w:pPr>
        <w:spacing w:line="360" w:lineRule="auto"/>
        <w:rPr>
          <w:sz w:val="20"/>
          <w:szCs w:val="20"/>
        </w:rPr>
      </w:pPr>
    </w:p>
    <w:p w:rsidR="008B5495" w:rsidRDefault="00323FDE" w:rsidP="00A442E4">
      <w:pPr>
        <w:spacing w:line="360" w:lineRule="auto"/>
        <w:rPr>
          <w:sz w:val="20"/>
          <w:szCs w:val="20"/>
        </w:rPr>
      </w:pPr>
      <w:r>
        <w:rPr>
          <w:sz w:val="20"/>
          <w:szCs w:val="20"/>
        </w:rPr>
        <w:t xml:space="preserve">An analysis of the </w:t>
      </w:r>
      <w:r w:rsidR="00A71F18">
        <w:rPr>
          <w:sz w:val="20"/>
          <w:szCs w:val="20"/>
        </w:rPr>
        <w:t xml:space="preserve">coheating </w:t>
      </w:r>
      <w:r>
        <w:rPr>
          <w:sz w:val="20"/>
          <w:szCs w:val="20"/>
        </w:rPr>
        <w:t xml:space="preserve">data </w:t>
      </w:r>
      <w:r w:rsidR="00A71F18">
        <w:rPr>
          <w:sz w:val="20"/>
          <w:szCs w:val="20"/>
        </w:rPr>
        <w:t>contained within Figure 3 illustrate</w:t>
      </w:r>
      <w:r>
        <w:rPr>
          <w:sz w:val="20"/>
          <w:szCs w:val="20"/>
        </w:rPr>
        <w:t>s</w:t>
      </w:r>
      <w:r w:rsidR="00A71F18">
        <w:rPr>
          <w:sz w:val="20"/>
          <w:szCs w:val="20"/>
        </w:rPr>
        <w:t xml:space="preserve"> that not only is there </w:t>
      </w:r>
      <w:r w:rsidR="00311843">
        <w:rPr>
          <w:sz w:val="20"/>
          <w:szCs w:val="20"/>
        </w:rPr>
        <w:t xml:space="preserve">a </w:t>
      </w:r>
      <w:r w:rsidR="00922A8F">
        <w:rPr>
          <w:sz w:val="20"/>
          <w:szCs w:val="20"/>
        </w:rPr>
        <w:t xml:space="preserve">very wide range of performance within the </w:t>
      </w:r>
      <w:r w:rsidR="00A71F18">
        <w:rPr>
          <w:sz w:val="20"/>
          <w:szCs w:val="20"/>
        </w:rPr>
        <w:t>coheating database, but in all of the new build dwellings</w:t>
      </w:r>
      <w:r>
        <w:rPr>
          <w:sz w:val="20"/>
          <w:szCs w:val="20"/>
        </w:rPr>
        <w:t xml:space="preserve"> tested</w:t>
      </w:r>
      <w:r w:rsidR="00A71F18">
        <w:rPr>
          <w:sz w:val="20"/>
          <w:szCs w:val="20"/>
        </w:rPr>
        <w:t xml:space="preserve">, the measured performance exceeded the </w:t>
      </w:r>
      <w:r>
        <w:rPr>
          <w:sz w:val="20"/>
          <w:szCs w:val="20"/>
        </w:rPr>
        <w:t xml:space="preserve">steady state </w:t>
      </w:r>
      <w:r w:rsidR="00A71F18">
        <w:rPr>
          <w:sz w:val="20"/>
          <w:szCs w:val="20"/>
        </w:rPr>
        <w:t>predicted performance.</w:t>
      </w:r>
      <w:r w:rsidR="00D970B0">
        <w:rPr>
          <w:sz w:val="20"/>
          <w:szCs w:val="20"/>
        </w:rPr>
        <w:t xml:space="preserve"> </w:t>
      </w:r>
      <w:r w:rsidR="00DE2EED">
        <w:rPr>
          <w:sz w:val="20"/>
          <w:szCs w:val="20"/>
        </w:rPr>
        <w:t xml:space="preserve">Most importantly, in the majority of the dwellings tested, </w:t>
      </w:r>
      <w:r w:rsidR="00D970B0">
        <w:rPr>
          <w:sz w:val="20"/>
          <w:szCs w:val="20"/>
        </w:rPr>
        <w:t xml:space="preserve">the </w:t>
      </w:r>
      <w:r w:rsidR="00D970B0" w:rsidRPr="00EC53D5">
        <w:rPr>
          <w:i/>
          <w:sz w:val="20"/>
          <w:szCs w:val="20"/>
        </w:rPr>
        <w:t>‘gap’</w:t>
      </w:r>
      <w:r w:rsidR="00D970B0">
        <w:rPr>
          <w:sz w:val="20"/>
          <w:szCs w:val="20"/>
        </w:rPr>
        <w:t xml:space="preserve"> between the measured and the </w:t>
      </w:r>
      <w:r>
        <w:rPr>
          <w:sz w:val="20"/>
          <w:szCs w:val="20"/>
        </w:rPr>
        <w:t xml:space="preserve">steady state </w:t>
      </w:r>
      <w:r w:rsidR="00D970B0">
        <w:rPr>
          <w:sz w:val="20"/>
          <w:szCs w:val="20"/>
        </w:rPr>
        <w:t xml:space="preserve">predicted performance is </w:t>
      </w:r>
      <w:r w:rsidR="007C3CAF">
        <w:rPr>
          <w:sz w:val="20"/>
          <w:szCs w:val="20"/>
        </w:rPr>
        <w:t>considerable</w:t>
      </w:r>
      <w:r w:rsidR="008307D2">
        <w:rPr>
          <w:sz w:val="20"/>
          <w:szCs w:val="20"/>
        </w:rPr>
        <w:t>;</w:t>
      </w:r>
      <w:r w:rsidR="00DE2EED">
        <w:rPr>
          <w:sz w:val="20"/>
          <w:szCs w:val="20"/>
        </w:rPr>
        <w:t xml:space="preserve"> in two </w:t>
      </w:r>
      <w:r w:rsidR="008307D2">
        <w:rPr>
          <w:sz w:val="20"/>
          <w:szCs w:val="20"/>
        </w:rPr>
        <w:t xml:space="preserve">of the dwellings the difference </w:t>
      </w:r>
      <w:r w:rsidR="00DE2EED">
        <w:rPr>
          <w:sz w:val="20"/>
          <w:szCs w:val="20"/>
        </w:rPr>
        <w:t>is more than 100% (se</w:t>
      </w:r>
      <w:r w:rsidR="00F037B4">
        <w:rPr>
          <w:sz w:val="20"/>
          <w:szCs w:val="20"/>
        </w:rPr>
        <w:t>e</w:t>
      </w:r>
      <w:r w:rsidR="00DE2EED">
        <w:rPr>
          <w:sz w:val="20"/>
          <w:szCs w:val="20"/>
        </w:rPr>
        <w:t xml:space="preserve"> Figure 4).</w:t>
      </w:r>
      <w:r>
        <w:rPr>
          <w:sz w:val="20"/>
          <w:szCs w:val="20"/>
        </w:rPr>
        <w:t xml:space="preserve"> </w:t>
      </w:r>
      <w:r w:rsidR="002002DB">
        <w:rPr>
          <w:sz w:val="20"/>
          <w:szCs w:val="20"/>
        </w:rPr>
        <w:t>In addition, there are</w:t>
      </w:r>
      <w:r w:rsidR="00F037B4" w:rsidRPr="00F037B4">
        <w:rPr>
          <w:sz w:val="20"/>
          <w:szCs w:val="20"/>
        </w:rPr>
        <w:t xml:space="preserve"> a number of cases</w:t>
      </w:r>
      <w:r w:rsidR="002002DB">
        <w:rPr>
          <w:sz w:val="20"/>
          <w:szCs w:val="20"/>
        </w:rPr>
        <w:t xml:space="preserve"> where </w:t>
      </w:r>
      <w:r w:rsidR="00F037B4" w:rsidRPr="00F037B4">
        <w:rPr>
          <w:sz w:val="20"/>
          <w:szCs w:val="20"/>
        </w:rPr>
        <w:t>the levels of performance measured are likely to be in excess of th</w:t>
      </w:r>
      <w:r w:rsidR="00D40D6B">
        <w:rPr>
          <w:sz w:val="20"/>
          <w:szCs w:val="20"/>
        </w:rPr>
        <w:t>at</w:t>
      </w:r>
      <w:r w:rsidR="00F037B4" w:rsidRPr="00F037B4">
        <w:rPr>
          <w:sz w:val="20"/>
          <w:szCs w:val="20"/>
        </w:rPr>
        <w:t xml:space="preserve"> required to achieve Building Regulation compliance. </w:t>
      </w:r>
      <w:r w:rsidR="00D40D6B">
        <w:rPr>
          <w:sz w:val="20"/>
          <w:szCs w:val="20"/>
        </w:rPr>
        <w:t>This is likely to have important implications in terms of the energy use and CO</w:t>
      </w:r>
      <w:r w:rsidR="00D40D6B" w:rsidRPr="00D40D6B">
        <w:rPr>
          <w:sz w:val="20"/>
          <w:szCs w:val="20"/>
          <w:vertAlign w:val="subscript"/>
        </w:rPr>
        <w:t>2</w:t>
      </w:r>
      <w:r w:rsidR="00D40D6B">
        <w:rPr>
          <w:sz w:val="20"/>
          <w:szCs w:val="20"/>
        </w:rPr>
        <w:t xml:space="preserve"> emissions attributable to these dwellings and the levels of thermal comfort experienced by the occupants. </w:t>
      </w:r>
      <w:r w:rsidR="008307D2">
        <w:rPr>
          <w:sz w:val="20"/>
          <w:szCs w:val="20"/>
        </w:rPr>
        <w:t xml:space="preserve">With respect to </w:t>
      </w:r>
      <w:r w:rsidR="00D970B0">
        <w:rPr>
          <w:sz w:val="20"/>
          <w:szCs w:val="20"/>
        </w:rPr>
        <w:t xml:space="preserve">the case study dwellings, </w:t>
      </w:r>
      <w:r w:rsidR="008307D2">
        <w:rPr>
          <w:sz w:val="20"/>
          <w:szCs w:val="20"/>
        </w:rPr>
        <w:t xml:space="preserve">although the performance of Dwellings 3A, 3B, 4 and 5 </w:t>
      </w:r>
      <w:r w:rsidRPr="00323FDE">
        <w:rPr>
          <w:sz w:val="20"/>
          <w:szCs w:val="20"/>
        </w:rPr>
        <w:t xml:space="preserve">should give some cause for concern, they are by no means the worst performing dwellings in the sample. In fact, the data </w:t>
      </w:r>
      <w:r w:rsidR="008307D2">
        <w:rPr>
          <w:sz w:val="20"/>
          <w:szCs w:val="20"/>
        </w:rPr>
        <w:t xml:space="preserve">contained within Figure 4 </w:t>
      </w:r>
      <w:r w:rsidRPr="00323FDE">
        <w:rPr>
          <w:sz w:val="20"/>
          <w:szCs w:val="20"/>
        </w:rPr>
        <w:t xml:space="preserve">suggests that the performance of </w:t>
      </w:r>
      <w:r w:rsidR="008307D2">
        <w:rPr>
          <w:sz w:val="20"/>
          <w:szCs w:val="20"/>
        </w:rPr>
        <w:t xml:space="preserve">these </w:t>
      </w:r>
      <w:r w:rsidRPr="00323FDE">
        <w:rPr>
          <w:sz w:val="20"/>
          <w:szCs w:val="20"/>
        </w:rPr>
        <w:t xml:space="preserve">dwellings </w:t>
      </w:r>
      <w:r w:rsidR="008307D2">
        <w:rPr>
          <w:sz w:val="20"/>
          <w:szCs w:val="20"/>
        </w:rPr>
        <w:t xml:space="preserve">generally </w:t>
      </w:r>
      <w:r w:rsidRPr="00323FDE">
        <w:rPr>
          <w:sz w:val="20"/>
          <w:szCs w:val="20"/>
        </w:rPr>
        <w:t>lie</w:t>
      </w:r>
      <w:r w:rsidR="008307D2">
        <w:rPr>
          <w:sz w:val="20"/>
          <w:szCs w:val="20"/>
        </w:rPr>
        <w:t>s</w:t>
      </w:r>
      <w:r w:rsidRPr="00323FDE">
        <w:rPr>
          <w:sz w:val="20"/>
          <w:szCs w:val="20"/>
        </w:rPr>
        <w:t xml:space="preserve"> somewhere towards the bottom end of the range of the sample.</w:t>
      </w:r>
      <w:r w:rsidR="00DE2EED" w:rsidRPr="00DE2EED">
        <w:rPr>
          <w:sz w:val="20"/>
          <w:szCs w:val="20"/>
        </w:rPr>
        <w:t xml:space="preserve"> </w:t>
      </w:r>
      <w:r w:rsidR="00DE2EED">
        <w:rPr>
          <w:sz w:val="20"/>
          <w:szCs w:val="20"/>
        </w:rPr>
        <w:t xml:space="preserve">In terms of </w:t>
      </w:r>
      <w:r w:rsidR="00A547CD">
        <w:rPr>
          <w:sz w:val="20"/>
          <w:szCs w:val="20"/>
        </w:rPr>
        <w:t>D</w:t>
      </w:r>
      <w:r w:rsidR="00DE2EED">
        <w:rPr>
          <w:sz w:val="20"/>
          <w:szCs w:val="20"/>
        </w:rPr>
        <w:t xml:space="preserve">wellings 1A, 1B and 2, </w:t>
      </w:r>
      <w:r w:rsidR="008307D2">
        <w:rPr>
          <w:sz w:val="20"/>
          <w:szCs w:val="20"/>
        </w:rPr>
        <w:t xml:space="preserve">Figure 3 illustrates that </w:t>
      </w:r>
      <w:r w:rsidR="00DE2EED" w:rsidRPr="00311843">
        <w:rPr>
          <w:sz w:val="20"/>
          <w:szCs w:val="20"/>
        </w:rPr>
        <w:t>the</w:t>
      </w:r>
      <w:r w:rsidR="008307D2">
        <w:rPr>
          <w:sz w:val="20"/>
          <w:szCs w:val="20"/>
        </w:rPr>
        <w:t>se</w:t>
      </w:r>
      <w:r w:rsidR="00DE2EED" w:rsidRPr="00311843">
        <w:rPr>
          <w:sz w:val="20"/>
          <w:szCs w:val="20"/>
        </w:rPr>
        <w:t xml:space="preserve"> case study dwellings are the best performing dwellings in the sample</w:t>
      </w:r>
      <w:r w:rsidR="00A547CD">
        <w:rPr>
          <w:sz w:val="20"/>
          <w:szCs w:val="20"/>
        </w:rPr>
        <w:t xml:space="preserve"> by some considerable margin</w:t>
      </w:r>
      <w:r w:rsidR="00DE2EED" w:rsidRPr="00311843">
        <w:rPr>
          <w:sz w:val="20"/>
          <w:szCs w:val="20"/>
        </w:rPr>
        <w:t xml:space="preserve">, both in terms of predicted and measured performance.  This is not surprising given that </w:t>
      </w:r>
      <w:r w:rsidR="008307D2">
        <w:rPr>
          <w:sz w:val="20"/>
          <w:szCs w:val="20"/>
        </w:rPr>
        <w:t xml:space="preserve">these </w:t>
      </w:r>
      <w:r w:rsidR="00DE2EED" w:rsidRPr="00311843">
        <w:rPr>
          <w:sz w:val="20"/>
          <w:szCs w:val="20"/>
        </w:rPr>
        <w:t xml:space="preserve">dwellings </w:t>
      </w:r>
      <w:r w:rsidR="008307D2">
        <w:rPr>
          <w:sz w:val="20"/>
          <w:szCs w:val="20"/>
        </w:rPr>
        <w:t xml:space="preserve">were intentionally designed </w:t>
      </w:r>
      <w:r w:rsidR="008307D2" w:rsidRPr="00311843">
        <w:rPr>
          <w:sz w:val="20"/>
          <w:szCs w:val="20"/>
        </w:rPr>
        <w:t>to</w:t>
      </w:r>
      <w:r w:rsidR="008307D2">
        <w:rPr>
          <w:sz w:val="20"/>
          <w:szCs w:val="20"/>
        </w:rPr>
        <w:t xml:space="preserve"> have a very low predicted HLC, as it is intended that they all be Passivhaus Certified, and have a very small floor area by UK standards.</w:t>
      </w:r>
    </w:p>
    <w:p w:rsidR="007C3CAF" w:rsidRDefault="007C3CAF" w:rsidP="00A442E4">
      <w:pPr>
        <w:spacing w:line="360" w:lineRule="auto"/>
        <w:rPr>
          <w:sz w:val="20"/>
          <w:szCs w:val="20"/>
        </w:rPr>
      </w:pPr>
    </w:p>
    <w:p w:rsidR="00A97BBB" w:rsidRDefault="00A97BBB" w:rsidP="00AD22B2">
      <w:pPr>
        <w:spacing w:line="360" w:lineRule="auto"/>
        <w:rPr>
          <w:b/>
          <w:sz w:val="20"/>
          <w:szCs w:val="20"/>
        </w:rPr>
      </w:pPr>
      <w:r>
        <w:rPr>
          <w:b/>
          <w:sz w:val="20"/>
          <w:szCs w:val="20"/>
        </w:rPr>
        <w:t>5. Conclusions</w:t>
      </w:r>
    </w:p>
    <w:p w:rsidR="00AF527C" w:rsidRPr="00720F98" w:rsidRDefault="00AF527C" w:rsidP="00AF527C">
      <w:pPr>
        <w:spacing w:line="360" w:lineRule="auto"/>
        <w:rPr>
          <w:sz w:val="20"/>
          <w:szCs w:val="20"/>
        </w:rPr>
      </w:pPr>
      <w:r>
        <w:rPr>
          <w:sz w:val="20"/>
          <w:szCs w:val="20"/>
        </w:rPr>
        <w:t>Seven case</w:t>
      </w:r>
      <w:r w:rsidR="005D2566">
        <w:rPr>
          <w:sz w:val="20"/>
          <w:szCs w:val="20"/>
        </w:rPr>
        <w:t xml:space="preserve"> study dwellings, all designed to Level 4 of the Code for Sustainable Homes or better, </w:t>
      </w:r>
      <w:r w:rsidR="0030390E">
        <w:rPr>
          <w:sz w:val="20"/>
          <w:szCs w:val="20"/>
        </w:rPr>
        <w:t xml:space="preserve">have undergone a coheating test </w:t>
      </w:r>
      <w:r w:rsidR="0030390E" w:rsidRPr="0030390E">
        <w:rPr>
          <w:sz w:val="20"/>
          <w:szCs w:val="20"/>
        </w:rPr>
        <w:t>as part of the Technology Strategy Board’s Building P</w:t>
      </w:r>
      <w:r w:rsidR="0030390E">
        <w:rPr>
          <w:sz w:val="20"/>
          <w:szCs w:val="20"/>
        </w:rPr>
        <w:t>erformance Evaluation Programme</w:t>
      </w:r>
      <w:r w:rsidR="005D2566">
        <w:rPr>
          <w:sz w:val="20"/>
          <w:szCs w:val="20"/>
        </w:rPr>
        <w:t xml:space="preserve">. The coheating test was undertaken </w:t>
      </w:r>
      <w:r w:rsidR="0030390E">
        <w:rPr>
          <w:sz w:val="20"/>
          <w:szCs w:val="20"/>
        </w:rPr>
        <w:t xml:space="preserve">in order to </w:t>
      </w:r>
      <w:r>
        <w:rPr>
          <w:sz w:val="20"/>
          <w:szCs w:val="20"/>
        </w:rPr>
        <w:t>quantify the</w:t>
      </w:r>
      <w:r w:rsidR="005D2566">
        <w:rPr>
          <w:sz w:val="20"/>
          <w:szCs w:val="20"/>
        </w:rPr>
        <w:t xml:space="preserve"> </w:t>
      </w:r>
      <w:r w:rsidRPr="00AF527C">
        <w:rPr>
          <w:sz w:val="20"/>
          <w:szCs w:val="20"/>
        </w:rPr>
        <w:t xml:space="preserve">thermal performance </w:t>
      </w:r>
      <w:r w:rsidR="005D2566">
        <w:rPr>
          <w:sz w:val="20"/>
          <w:szCs w:val="20"/>
        </w:rPr>
        <w:t xml:space="preserve">of </w:t>
      </w:r>
      <w:r w:rsidR="005D2566" w:rsidRPr="00AF527C">
        <w:rPr>
          <w:sz w:val="20"/>
          <w:szCs w:val="20"/>
        </w:rPr>
        <w:t xml:space="preserve">building fabric </w:t>
      </w:r>
      <w:r w:rsidR="005D2566">
        <w:rPr>
          <w:sz w:val="20"/>
          <w:szCs w:val="20"/>
        </w:rPr>
        <w:t xml:space="preserve">of these dwellings </w:t>
      </w:r>
      <w:r w:rsidRPr="00AF527C">
        <w:rPr>
          <w:sz w:val="20"/>
          <w:szCs w:val="20"/>
        </w:rPr>
        <w:t>once constructed.</w:t>
      </w:r>
      <w:r w:rsidR="0030390E" w:rsidRPr="0030390E">
        <w:rPr>
          <w:sz w:val="20"/>
          <w:szCs w:val="20"/>
        </w:rPr>
        <w:t xml:space="preserve"> </w:t>
      </w:r>
      <w:r w:rsidR="005F4DC0">
        <w:rPr>
          <w:sz w:val="20"/>
          <w:szCs w:val="20"/>
        </w:rPr>
        <w:t>Although it is only possible to make a number of qualitative comments</w:t>
      </w:r>
      <w:r w:rsidR="0030390E">
        <w:rPr>
          <w:sz w:val="20"/>
          <w:szCs w:val="20"/>
        </w:rPr>
        <w:t xml:space="preserve">, </w:t>
      </w:r>
      <w:r w:rsidR="002C5FE0" w:rsidRPr="002C5FE0">
        <w:rPr>
          <w:sz w:val="20"/>
          <w:szCs w:val="20"/>
        </w:rPr>
        <w:t xml:space="preserve">due to the small </w:t>
      </w:r>
      <w:r w:rsidR="0030390E">
        <w:rPr>
          <w:sz w:val="20"/>
          <w:szCs w:val="20"/>
        </w:rPr>
        <w:t xml:space="preserve">non-random nature </w:t>
      </w:r>
      <w:r w:rsidR="002C5FE0" w:rsidRPr="002C5FE0">
        <w:rPr>
          <w:sz w:val="20"/>
          <w:szCs w:val="20"/>
        </w:rPr>
        <w:t xml:space="preserve">of </w:t>
      </w:r>
      <w:r w:rsidR="0030390E">
        <w:rPr>
          <w:sz w:val="20"/>
          <w:szCs w:val="20"/>
        </w:rPr>
        <w:t xml:space="preserve">the </w:t>
      </w:r>
      <w:r w:rsidR="002C5FE0" w:rsidRPr="002C5FE0">
        <w:rPr>
          <w:sz w:val="20"/>
          <w:szCs w:val="20"/>
        </w:rPr>
        <w:t xml:space="preserve">dwellings tested, the results indicated that </w:t>
      </w:r>
      <w:r w:rsidR="005D2566">
        <w:rPr>
          <w:sz w:val="20"/>
          <w:szCs w:val="20"/>
        </w:rPr>
        <w:t xml:space="preserve">in all of the dwellings tested, </w:t>
      </w:r>
      <w:r w:rsidR="002C5FE0" w:rsidRPr="002C5FE0">
        <w:rPr>
          <w:sz w:val="20"/>
          <w:szCs w:val="20"/>
        </w:rPr>
        <w:t>a gap existed between the measured whole house heat loss and the predicted steady heat loss</w:t>
      </w:r>
      <w:r w:rsidR="00F166A2">
        <w:rPr>
          <w:sz w:val="20"/>
          <w:szCs w:val="20"/>
        </w:rPr>
        <w:t xml:space="preserve">. </w:t>
      </w:r>
      <w:r w:rsidR="00A867E2">
        <w:rPr>
          <w:sz w:val="20"/>
          <w:szCs w:val="20"/>
        </w:rPr>
        <w:t xml:space="preserve">This has implications in terms of energy </w:t>
      </w:r>
      <w:r w:rsidR="0050563E">
        <w:rPr>
          <w:sz w:val="20"/>
          <w:szCs w:val="20"/>
        </w:rPr>
        <w:t xml:space="preserve">consumption </w:t>
      </w:r>
      <w:r w:rsidR="00A867E2">
        <w:rPr>
          <w:sz w:val="20"/>
          <w:szCs w:val="20"/>
        </w:rPr>
        <w:t>and CO</w:t>
      </w:r>
      <w:r w:rsidR="00A867E2" w:rsidRPr="00A867E2">
        <w:rPr>
          <w:sz w:val="20"/>
          <w:szCs w:val="20"/>
          <w:vertAlign w:val="subscript"/>
        </w:rPr>
        <w:t>2</w:t>
      </w:r>
      <w:r w:rsidR="00A867E2">
        <w:rPr>
          <w:sz w:val="20"/>
          <w:szCs w:val="20"/>
        </w:rPr>
        <w:t xml:space="preserve"> emissions. </w:t>
      </w:r>
      <w:r w:rsidR="00F166A2">
        <w:rPr>
          <w:sz w:val="20"/>
          <w:szCs w:val="20"/>
        </w:rPr>
        <w:t>Although a gap in performance was measured in all of the case study dwellings, t</w:t>
      </w:r>
      <w:r w:rsidR="002C5FE0" w:rsidRPr="002C5FE0">
        <w:rPr>
          <w:sz w:val="20"/>
          <w:szCs w:val="20"/>
        </w:rPr>
        <w:t xml:space="preserve">he </w:t>
      </w:r>
      <w:r w:rsidR="00F166A2">
        <w:rPr>
          <w:sz w:val="20"/>
          <w:szCs w:val="20"/>
        </w:rPr>
        <w:t>absolute size of the</w:t>
      </w:r>
      <w:r w:rsidR="002C5FE0" w:rsidRPr="002C5FE0">
        <w:rPr>
          <w:sz w:val="20"/>
          <w:szCs w:val="20"/>
        </w:rPr>
        <w:t xml:space="preserve"> </w:t>
      </w:r>
      <w:r w:rsidR="005D2566">
        <w:rPr>
          <w:sz w:val="20"/>
          <w:szCs w:val="20"/>
        </w:rPr>
        <w:t xml:space="preserve">measured </w:t>
      </w:r>
      <w:r w:rsidR="002C5FE0" w:rsidRPr="002C5FE0">
        <w:rPr>
          <w:sz w:val="20"/>
          <w:szCs w:val="20"/>
        </w:rPr>
        <w:t>gap varied considerably from dwelling to dwelling, ranging from just over</w:t>
      </w:r>
      <w:r w:rsidR="00F166A2">
        <w:rPr>
          <w:sz w:val="20"/>
          <w:szCs w:val="20"/>
        </w:rPr>
        <w:t xml:space="preserve"> 2W</w:t>
      </w:r>
      <w:r w:rsidR="00F166A2" w:rsidRPr="00F166A2">
        <w:rPr>
          <w:sz w:val="20"/>
          <w:szCs w:val="20"/>
        </w:rPr>
        <w:t xml:space="preserve">/K </w:t>
      </w:r>
      <w:r w:rsidR="00F166A2">
        <w:rPr>
          <w:sz w:val="20"/>
          <w:szCs w:val="20"/>
        </w:rPr>
        <w:t>to almost 86W/K.</w:t>
      </w:r>
      <w:r w:rsidR="00374261">
        <w:rPr>
          <w:sz w:val="20"/>
          <w:szCs w:val="20"/>
        </w:rPr>
        <w:t xml:space="preserve"> </w:t>
      </w:r>
      <w:r w:rsidR="00F166A2" w:rsidRPr="00F166A2">
        <w:rPr>
          <w:sz w:val="20"/>
          <w:szCs w:val="20"/>
        </w:rPr>
        <w:t xml:space="preserve">If one takes into account the various uncertainties associated with </w:t>
      </w:r>
      <w:r w:rsidR="00F166A2">
        <w:rPr>
          <w:sz w:val="20"/>
          <w:szCs w:val="20"/>
        </w:rPr>
        <w:t>the coheating test</w:t>
      </w:r>
      <w:r w:rsidR="00F166A2" w:rsidRPr="00F166A2">
        <w:rPr>
          <w:sz w:val="20"/>
          <w:szCs w:val="20"/>
        </w:rPr>
        <w:t xml:space="preserve">, then the size of the building fabric </w:t>
      </w:r>
      <w:r w:rsidR="00F166A2" w:rsidRPr="00EC53D5">
        <w:rPr>
          <w:i/>
          <w:sz w:val="20"/>
          <w:szCs w:val="20"/>
        </w:rPr>
        <w:t xml:space="preserve">‘performance gap’ </w:t>
      </w:r>
      <w:r w:rsidR="00F166A2">
        <w:rPr>
          <w:sz w:val="20"/>
          <w:szCs w:val="20"/>
        </w:rPr>
        <w:t xml:space="preserve">that was </w:t>
      </w:r>
      <w:r w:rsidR="00F166A2" w:rsidRPr="00F166A2">
        <w:rPr>
          <w:sz w:val="20"/>
          <w:szCs w:val="20"/>
        </w:rPr>
        <w:t xml:space="preserve">measured for </w:t>
      </w:r>
      <w:r w:rsidR="00F166A2">
        <w:rPr>
          <w:sz w:val="20"/>
          <w:szCs w:val="20"/>
        </w:rPr>
        <w:t xml:space="preserve">three of the </w:t>
      </w:r>
      <w:r w:rsidR="00F166A2" w:rsidRPr="00F166A2">
        <w:rPr>
          <w:sz w:val="20"/>
          <w:szCs w:val="20"/>
        </w:rPr>
        <w:t>case study dwellings</w:t>
      </w:r>
      <w:r w:rsidR="00F166A2">
        <w:rPr>
          <w:sz w:val="20"/>
          <w:szCs w:val="20"/>
        </w:rPr>
        <w:t xml:space="preserve"> can be considered to be negligible</w:t>
      </w:r>
      <w:r w:rsidR="00F166A2" w:rsidRPr="00F166A2">
        <w:rPr>
          <w:sz w:val="20"/>
          <w:szCs w:val="20"/>
        </w:rPr>
        <w:t xml:space="preserve">, indicating that the building fabric associated with these dwellings is performing </w:t>
      </w:r>
      <w:r w:rsidR="00F166A2" w:rsidRPr="00F166A2">
        <w:rPr>
          <w:i/>
          <w:sz w:val="20"/>
          <w:szCs w:val="20"/>
        </w:rPr>
        <w:t>in situ</w:t>
      </w:r>
      <w:r w:rsidR="00F166A2" w:rsidRPr="00F166A2">
        <w:rPr>
          <w:sz w:val="20"/>
          <w:szCs w:val="20"/>
        </w:rPr>
        <w:t xml:space="preserve"> pretty much as predicted. </w:t>
      </w:r>
      <w:r w:rsidR="00F166A2">
        <w:rPr>
          <w:sz w:val="20"/>
          <w:szCs w:val="20"/>
        </w:rPr>
        <w:t xml:space="preserve">This </w:t>
      </w:r>
      <w:r w:rsidR="00BE033D">
        <w:rPr>
          <w:sz w:val="20"/>
          <w:szCs w:val="20"/>
        </w:rPr>
        <w:t xml:space="preserve">result </w:t>
      </w:r>
      <w:r w:rsidR="00F166A2">
        <w:rPr>
          <w:sz w:val="20"/>
          <w:szCs w:val="20"/>
        </w:rPr>
        <w:t xml:space="preserve">is </w:t>
      </w:r>
      <w:r w:rsidR="00374261">
        <w:rPr>
          <w:sz w:val="20"/>
          <w:szCs w:val="20"/>
        </w:rPr>
        <w:t>extremely important</w:t>
      </w:r>
      <w:r w:rsidR="00F166A2" w:rsidRPr="002C5FE0">
        <w:rPr>
          <w:sz w:val="20"/>
          <w:szCs w:val="20"/>
        </w:rPr>
        <w:t xml:space="preserve">, as </w:t>
      </w:r>
      <w:r w:rsidR="00BE033D">
        <w:rPr>
          <w:sz w:val="20"/>
          <w:szCs w:val="20"/>
        </w:rPr>
        <w:t xml:space="preserve">it </w:t>
      </w:r>
      <w:r w:rsidR="00374261">
        <w:rPr>
          <w:sz w:val="20"/>
          <w:szCs w:val="20"/>
        </w:rPr>
        <w:t xml:space="preserve">illustrates </w:t>
      </w:r>
      <w:r w:rsidR="00BE033D">
        <w:rPr>
          <w:sz w:val="20"/>
          <w:szCs w:val="20"/>
        </w:rPr>
        <w:t xml:space="preserve">that </w:t>
      </w:r>
      <w:r w:rsidR="00F166A2" w:rsidRPr="002C5FE0">
        <w:rPr>
          <w:sz w:val="20"/>
          <w:szCs w:val="20"/>
        </w:rPr>
        <w:t>it is practically possible</w:t>
      </w:r>
      <w:r w:rsidR="00374261">
        <w:rPr>
          <w:sz w:val="20"/>
          <w:szCs w:val="20"/>
        </w:rPr>
        <w:t xml:space="preserve"> </w:t>
      </w:r>
      <w:r w:rsidRPr="00720F98">
        <w:rPr>
          <w:sz w:val="20"/>
          <w:szCs w:val="20"/>
        </w:rPr>
        <w:t xml:space="preserve">to construct dwellings where the building fabric performs thermally more or less as predicted, thus effectively bridging the </w:t>
      </w:r>
      <w:r w:rsidR="00A867E2">
        <w:rPr>
          <w:sz w:val="20"/>
          <w:szCs w:val="20"/>
        </w:rPr>
        <w:t>building fabric</w:t>
      </w:r>
      <w:r w:rsidRPr="00720F98">
        <w:rPr>
          <w:sz w:val="20"/>
          <w:szCs w:val="20"/>
        </w:rPr>
        <w:t xml:space="preserve"> </w:t>
      </w:r>
      <w:r w:rsidRPr="00374261">
        <w:rPr>
          <w:i/>
          <w:sz w:val="20"/>
          <w:szCs w:val="20"/>
        </w:rPr>
        <w:t>‘performance gap’</w:t>
      </w:r>
      <w:r w:rsidRPr="00720F98">
        <w:rPr>
          <w:sz w:val="20"/>
          <w:szCs w:val="20"/>
        </w:rPr>
        <w:t xml:space="preserve"> that </w:t>
      </w:r>
      <w:r w:rsidR="00A547CD">
        <w:rPr>
          <w:sz w:val="20"/>
          <w:szCs w:val="20"/>
        </w:rPr>
        <w:t xml:space="preserve">has been found to </w:t>
      </w:r>
      <w:r w:rsidRPr="00720F98">
        <w:rPr>
          <w:sz w:val="20"/>
          <w:szCs w:val="20"/>
        </w:rPr>
        <w:t>exist in mainstream housing in the UK.</w:t>
      </w:r>
    </w:p>
    <w:p w:rsidR="00EC5EE9" w:rsidRDefault="00EC5EE9" w:rsidP="002C5FE0">
      <w:pPr>
        <w:spacing w:line="360" w:lineRule="auto"/>
        <w:rPr>
          <w:sz w:val="20"/>
          <w:szCs w:val="20"/>
        </w:rPr>
      </w:pPr>
    </w:p>
    <w:p w:rsidR="00720F98" w:rsidRDefault="00EC5EE9" w:rsidP="002C5FE0">
      <w:pPr>
        <w:spacing w:line="360" w:lineRule="auto"/>
        <w:rPr>
          <w:sz w:val="20"/>
          <w:szCs w:val="20"/>
        </w:rPr>
      </w:pPr>
      <w:r>
        <w:rPr>
          <w:sz w:val="20"/>
          <w:szCs w:val="20"/>
        </w:rPr>
        <w:t xml:space="preserve">The </w:t>
      </w:r>
      <w:r w:rsidR="00AF527C">
        <w:rPr>
          <w:sz w:val="20"/>
          <w:szCs w:val="20"/>
        </w:rPr>
        <w:t xml:space="preserve">results obtained from the </w:t>
      </w:r>
      <w:r>
        <w:rPr>
          <w:sz w:val="20"/>
          <w:szCs w:val="20"/>
        </w:rPr>
        <w:t xml:space="preserve">case study dwellings have also been compared to </w:t>
      </w:r>
      <w:r w:rsidR="00A547CD">
        <w:rPr>
          <w:sz w:val="20"/>
          <w:szCs w:val="20"/>
        </w:rPr>
        <w:t xml:space="preserve">a </w:t>
      </w:r>
      <w:r w:rsidR="0030390E">
        <w:rPr>
          <w:sz w:val="20"/>
          <w:szCs w:val="20"/>
        </w:rPr>
        <w:t xml:space="preserve">larger </w:t>
      </w:r>
      <w:r w:rsidR="00374261">
        <w:rPr>
          <w:sz w:val="20"/>
          <w:szCs w:val="20"/>
        </w:rPr>
        <w:t xml:space="preserve">new build </w:t>
      </w:r>
      <w:r w:rsidR="0030390E">
        <w:rPr>
          <w:sz w:val="20"/>
          <w:szCs w:val="20"/>
        </w:rPr>
        <w:t>coheating test dataset</w:t>
      </w:r>
      <w:r w:rsidR="00AF527C">
        <w:rPr>
          <w:sz w:val="20"/>
          <w:szCs w:val="20"/>
        </w:rPr>
        <w:t xml:space="preserve">. This comparison revealed that </w:t>
      </w:r>
      <w:r w:rsidR="00374261">
        <w:rPr>
          <w:sz w:val="20"/>
          <w:szCs w:val="20"/>
        </w:rPr>
        <w:t xml:space="preserve">although a gap exists between the predicted and measured thermal performance of the building fabric in the majority of the case study dwellings, </w:t>
      </w:r>
      <w:r w:rsidR="00AF527C">
        <w:rPr>
          <w:sz w:val="20"/>
          <w:szCs w:val="20"/>
        </w:rPr>
        <w:t xml:space="preserve">the case study dwellings are </w:t>
      </w:r>
      <w:r w:rsidR="00720F98" w:rsidRPr="00720F98">
        <w:rPr>
          <w:sz w:val="20"/>
          <w:szCs w:val="20"/>
        </w:rPr>
        <w:t xml:space="preserve">by no means the worst performing dwellings in the sample. In fact, the </w:t>
      </w:r>
      <w:r w:rsidR="00AF527C">
        <w:rPr>
          <w:sz w:val="20"/>
          <w:szCs w:val="20"/>
        </w:rPr>
        <w:t xml:space="preserve">fabric performance of the case study dwellings </w:t>
      </w:r>
      <w:r w:rsidR="00A547CD">
        <w:rPr>
          <w:sz w:val="20"/>
          <w:szCs w:val="20"/>
        </w:rPr>
        <w:t xml:space="preserve">is </w:t>
      </w:r>
      <w:r w:rsidR="00720F98" w:rsidRPr="00720F98">
        <w:rPr>
          <w:sz w:val="20"/>
          <w:szCs w:val="20"/>
        </w:rPr>
        <w:t xml:space="preserve">generally </w:t>
      </w:r>
      <w:r w:rsidR="00A547CD">
        <w:rPr>
          <w:sz w:val="20"/>
          <w:szCs w:val="20"/>
        </w:rPr>
        <w:t xml:space="preserve">very positive, as it </w:t>
      </w:r>
      <w:r w:rsidR="00720F98" w:rsidRPr="00720F98">
        <w:rPr>
          <w:sz w:val="20"/>
          <w:szCs w:val="20"/>
        </w:rPr>
        <w:t>lies somewhere towards the bottom end of the range of the sample.</w:t>
      </w:r>
    </w:p>
    <w:p w:rsidR="002C5FE0" w:rsidRDefault="002C5FE0" w:rsidP="002C5FE0">
      <w:pPr>
        <w:spacing w:line="360" w:lineRule="auto"/>
        <w:rPr>
          <w:sz w:val="20"/>
          <w:szCs w:val="20"/>
        </w:rPr>
      </w:pPr>
    </w:p>
    <w:p w:rsidR="00F3526B" w:rsidRDefault="00F3526B" w:rsidP="00AD22B2">
      <w:pPr>
        <w:spacing w:line="360" w:lineRule="auto"/>
        <w:rPr>
          <w:b/>
          <w:sz w:val="20"/>
          <w:szCs w:val="20"/>
        </w:rPr>
      </w:pPr>
      <w:r>
        <w:rPr>
          <w:b/>
          <w:sz w:val="20"/>
          <w:szCs w:val="20"/>
        </w:rPr>
        <w:t xml:space="preserve">Practical relevance </w:t>
      </w:r>
      <w:r w:rsidR="001874EA">
        <w:rPr>
          <w:b/>
          <w:sz w:val="20"/>
          <w:szCs w:val="20"/>
        </w:rPr>
        <w:t>and lessons learned</w:t>
      </w:r>
    </w:p>
    <w:p w:rsidR="001874EA" w:rsidRDefault="00F3526B" w:rsidP="00AD22B2">
      <w:pPr>
        <w:spacing w:line="360" w:lineRule="auto"/>
        <w:rPr>
          <w:sz w:val="20"/>
          <w:szCs w:val="20"/>
        </w:rPr>
      </w:pPr>
      <w:r w:rsidRPr="00F3526B">
        <w:rPr>
          <w:sz w:val="20"/>
          <w:szCs w:val="20"/>
        </w:rPr>
        <w:t xml:space="preserve">This paper </w:t>
      </w:r>
      <w:r w:rsidR="001874EA">
        <w:rPr>
          <w:sz w:val="20"/>
          <w:szCs w:val="20"/>
        </w:rPr>
        <w:t>describes an aggregate approach</w:t>
      </w:r>
      <w:r w:rsidRPr="00F3526B">
        <w:rPr>
          <w:sz w:val="20"/>
          <w:szCs w:val="20"/>
        </w:rPr>
        <w:t>, a (coheating test), that</w:t>
      </w:r>
      <w:r w:rsidR="001874EA">
        <w:rPr>
          <w:sz w:val="20"/>
          <w:szCs w:val="20"/>
        </w:rPr>
        <w:t xml:space="preserve"> </w:t>
      </w:r>
      <w:r w:rsidRPr="00F3526B">
        <w:rPr>
          <w:sz w:val="20"/>
          <w:szCs w:val="20"/>
        </w:rPr>
        <w:t xml:space="preserve">has been applied to a small </w:t>
      </w:r>
      <w:r w:rsidR="001874EA">
        <w:rPr>
          <w:sz w:val="20"/>
          <w:szCs w:val="20"/>
        </w:rPr>
        <w:t xml:space="preserve">number of case study </w:t>
      </w:r>
      <w:r w:rsidRPr="00F3526B">
        <w:rPr>
          <w:sz w:val="20"/>
          <w:szCs w:val="20"/>
        </w:rPr>
        <w:t xml:space="preserve">dwellings to </w:t>
      </w:r>
      <w:r w:rsidR="001874EA">
        <w:rPr>
          <w:sz w:val="20"/>
          <w:szCs w:val="20"/>
        </w:rPr>
        <w:t xml:space="preserve">determine </w:t>
      </w:r>
      <w:r w:rsidRPr="00F3526B">
        <w:rPr>
          <w:sz w:val="20"/>
          <w:szCs w:val="20"/>
        </w:rPr>
        <w:t xml:space="preserve">the </w:t>
      </w:r>
      <w:r w:rsidR="001874EA">
        <w:rPr>
          <w:sz w:val="20"/>
          <w:szCs w:val="20"/>
        </w:rPr>
        <w:t xml:space="preserve">thermal performance of their building fabric </w:t>
      </w:r>
      <w:r w:rsidR="001874EA" w:rsidRPr="001874EA">
        <w:rPr>
          <w:i/>
          <w:sz w:val="20"/>
          <w:szCs w:val="20"/>
        </w:rPr>
        <w:t>in situ</w:t>
      </w:r>
      <w:r w:rsidR="001874EA">
        <w:rPr>
          <w:sz w:val="20"/>
          <w:szCs w:val="20"/>
        </w:rPr>
        <w:t>. The results suggest that although a considerable gap in performance can exist</w:t>
      </w:r>
      <w:r w:rsidR="00A867E2">
        <w:rPr>
          <w:sz w:val="20"/>
          <w:szCs w:val="20"/>
        </w:rPr>
        <w:t xml:space="preserve">, which will have significant </w:t>
      </w:r>
      <w:r w:rsidR="00A867E2" w:rsidRPr="00A867E2">
        <w:rPr>
          <w:sz w:val="20"/>
          <w:szCs w:val="20"/>
        </w:rPr>
        <w:t>implications in terms of energy use and CO</w:t>
      </w:r>
      <w:r w:rsidR="00A867E2" w:rsidRPr="00A867E2">
        <w:rPr>
          <w:sz w:val="20"/>
          <w:szCs w:val="20"/>
          <w:vertAlign w:val="subscript"/>
        </w:rPr>
        <w:t>2</w:t>
      </w:r>
      <w:r w:rsidR="00A867E2">
        <w:rPr>
          <w:sz w:val="20"/>
          <w:szCs w:val="20"/>
        </w:rPr>
        <w:t xml:space="preserve"> emissions,</w:t>
      </w:r>
      <w:r w:rsidR="00A867E2" w:rsidRPr="00A867E2">
        <w:rPr>
          <w:sz w:val="20"/>
          <w:szCs w:val="20"/>
        </w:rPr>
        <w:t xml:space="preserve"> </w:t>
      </w:r>
      <w:r w:rsidR="00A867E2">
        <w:rPr>
          <w:sz w:val="20"/>
          <w:szCs w:val="20"/>
        </w:rPr>
        <w:t xml:space="preserve">the results also indicate that </w:t>
      </w:r>
      <w:r w:rsidR="001874EA">
        <w:rPr>
          <w:sz w:val="20"/>
          <w:szCs w:val="20"/>
        </w:rPr>
        <w:t xml:space="preserve">it is possible to </w:t>
      </w:r>
      <w:r w:rsidR="001874EA" w:rsidRPr="001874EA">
        <w:rPr>
          <w:sz w:val="20"/>
          <w:szCs w:val="20"/>
        </w:rPr>
        <w:t>construct dwellings where the building fabric performs thermally more or less as predicted</w:t>
      </w:r>
      <w:r w:rsidR="001874EA">
        <w:rPr>
          <w:sz w:val="20"/>
          <w:szCs w:val="20"/>
        </w:rPr>
        <w:t>.</w:t>
      </w:r>
      <w:r w:rsidR="00A867E2" w:rsidRPr="00A867E2">
        <w:t xml:space="preserve"> </w:t>
      </w:r>
      <w:r w:rsidR="00A867E2" w:rsidRPr="00A867E2">
        <w:rPr>
          <w:sz w:val="20"/>
          <w:szCs w:val="20"/>
        </w:rPr>
        <w:t xml:space="preserve">This result is extremely important, as it illustrates that it is practically possible to </w:t>
      </w:r>
      <w:r w:rsidR="00A867E2">
        <w:rPr>
          <w:sz w:val="20"/>
          <w:szCs w:val="20"/>
        </w:rPr>
        <w:t>bridge</w:t>
      </w:r>
      <w:r w:rsidR="00A867E2" w:rsidRPr="00A867E2">
        <w:rPr>
          <w:sz w:val="20"/>
          <w:szCs w:val="20"/>
        </w:rPr>
        <w:t xml:space="preserve"> the </w:t>
      </w:r>
      <w:r w:rsidR="00A867E2">
        <w:rPr>
          <w:sz w:val="20"/>
          <w:szCs w:val="20"/>
        </w:rPr>
        <w:t xml:space="preserve">building fabric </w:t>
      </w:r>
      <w:r w:rsidR="00A867E2" w:rsidRPr="00EC53D5">
        <w:rPr>
          <w:i/>
          <w:sz w:val="20"/>
          <w:szCs w:val="20"/>
        </w:rPr>
        <w:t>‘performance gap’</w:t>
      </w:r>
      <w:r w:rsidR="00A867E2" w:rsidRPr="00A867E2">
        <w:rPr>
          <w:sz w:val="20"/>
          <w:szCs w:val="20"/>
        </w:rPr>
        <w:t xml:space="preserve"> that </w:t>
      </w:r>
      <w:r w:rsidR="00A547CD">
        <w:rPr>
          <w:sz w:val="20"/>
          <w:szCs w:val="20"/>
        </w:rPr>
        <w:t xml:space="preserve">has been found to </w:t>
      </w:r>
      <w:r w:rsidR="00A867E2" w:rsidRPr="00A867E2">
        <w:rPr>
          <w:sz w:val="20"/>
          <w:szCs w:val="20"/>
        </w:rPr>
        <w:t>exist in mainstream housing in the UK.</w:t>
      </w:r>
    </w:p>
    <w:p w:rsidR="00F3526B" w:rsidRDefault="00F3526B" w:rsidP="00AD22B2">
      <w:pPr>
        <w:spacing w:line="360" w:lineRule="auto"/>
        <w:rPr>
          <w:sz w:val="20"/>
          <w:szCs w:val="20"/>
        </w:rPr>
      </w:pPr>
    </w:p>
    <w:p w:rsidR="00A547CD" w:rsidRPr="00A442E4" w:rsidRDefault="00A547CD" w:rsidP="00A547CD">
      <w:pPr>
        <w:spacing w:line="360" w:lineRule="auto"/>
        <w:rPr>
          <w:b/>
          <w:sz w:val="20"/>
          <w:szCs w:val="20"/>
        </w:rPr>
      </w:pPr>
      <w:r w:rsidRPr="00A442E4">
        <w:rPr>
          <w:b/>
          <w:sz w:val="20"/>
          <w:szCs w:val="20"/>
        </w:rPr>
        <w:t>Acknowledgements</w:t>
      </w:r>
    </w:p>
    <w:p w:rsidR="00A547CD" w:rsidRDefault="00A547CD" w:rsidP="00A547CD">
      <w:pPr>
        <w:spacing w:line="360" w:lineRule="auto"/>
        <w:rPr>
          <w:sz w:val="18"/>
          <w:szCs w:val="20"/>
        </w:rPr>
      </w:pPr>
      <w:r>
        <w:rPr>
          <w:sz w:val="18"/>
          <w:szCs w:val="20"/>
        </w:rPr>
        <w:t>The authors would like to</w:t>
      </w:r>
      <w:r w:rsidRPr="00C2767A">
        <w:rPr>
          <w:sz w:val="18"/>
          <w:szCs w:val="20"/>
        </w:rPr>
        <w:t xml:space="preserve"> acknowledge the assistance, funding and support given by the </w:t>
      </w:r>
      <w:r>
        <w:rPr>
          <w:sz w:val="18"/>
          <w:szCs w:val="20"/>
        </w:rPr>
        <w:t xml:space="preserve">Technology Strategy Board </w:t>
      </w:r>
      <w:r w:rsidRPr="00C2767A">
        <w:rPr>
          <w:sz w:val="18"/>
          <w:szCs w:val="20"/>
        </w:rPr>
        <w:t xml:space="preserve">when undertaking the coheating tests referred to within this paper: The authors would also like to thank Dr Jez Wingfield of the National Energy Foundation (formerly </w:t>
      </w:r>
      <w:r w:rsidR="00A208BE">
        <w:rPr>
          <w:sz w:val="18"/>
          <w:szCs w:val="20"/>
        </w:rPr>
        <w:t xml:space="preserve">of </w:t>
      </w:r>
      <w:r w:rsidRPr="00C2767A">
        <w:rPr>
          <w:sz w:val="18"/>
          <w:szCs w:val="20"/>
        </w:rPr>
        <w:t>Leeds Metropolitan University) who developed an earlier v</w:t>
      </w:r>
      <w:r>
        <w:rPr>
          <w:sz w:val="18"/>
          <w:szCs w:val="20"/>
        </w:rPr>
        <w:t>ersion of the Leeds Beckett</w:t>
      </w:r>
      <w:r w:rsidRPr="00C2767A">
        <w:rPr>
          <w:sz w:val="18"/>
          <w:szCs w:val="20"/>
        </w:rPr>
        <w:t xml:space="preserve"> University </w:t>
      </w:r>
      <w:r>
        <w:rPr>
          <w:sz w:val="18"/>
          <w:szCs w:val="20"/>
        </w:rPr>
        <w:t xml:space="preserve">(formerly Leeds Metropolitan University) </w:t>
      </w:r>
      <w:r w:rsidRPr="00C2767A">
        <w:rPr>
          <w:sz w:val="18"/>
          <w:szCs w:val="20"/>
        </w:rPr>
        <w:t>coheating database.</w:t>
      </w:r>
    </w:p>
    <w:p w:rsidR="00961114" w:rsidRDefault="00961114" w:rsidP="00AD22B2">
      <w:pPr>
        <w:spacing w:line="360" w:lineRule="auto"/>
        <w:rPr>
          <w:b/>
          <w:sz w:val="20"/>
          <w:szCs w:val="20"/>
        </w:rPr>
      </w:pPr>
    </w:p>
    <w:p w:rsidR="0071542F" w:rsidRPr="00AD22B2" w:rsidRDefault="0071542F" w:rsidP="00AD22B2">
      <w:pPr>
        <w:spacing w:line="360" w:lineRule="auto"/>
        <w:rPr>
          <w:rStyle w:val="Hyperlink"/>
          <w:rFonts w:cs="Arial"/>
          <w:b/>
          <w:color w:val="auto"/>
          <w:sz w:val="20"/>
          <w:szCs w:val="20"/>
          <w:u w:val="none"/>
        </w:rPr>
      </w:pPr>
      <w:r w:rsidRPr="00A442E4">
        <w:rPr>
          <w:b/>
          <w:sz w:val="20"/>
          <w:szCs w:val="20"/>
        </w:rPr>
        <w:t>References</w:t>
      </w:r>
    </w:p>
    <w:p w:rsidR="002002DB" w:rsidRDefault="002002DB" w:rsidP="0071542F">
      <w:pPr>
        <w:pStyle w:val="Referencetext"/>
        <w:spacing w:line="360" w:lineRule="auto"/>
        <w:jc w:val="left"/>
      </w:pPr>
      <w:r w:rsidRPr="002002DB">
        <w:t>Anderson, B. (2006) Conventions for U-value Calculations. BR 443. Watford: Building Research Establishment.</w:t>
      </w:r>
    </w:p>
    <w:p w:rsidR="00AC6535" w:rsidRDefault="00AC6535" w:rsidP="0071542F">
      <w:pPr>
        <w:pStyle w:val="Referencetext"/>
        <w:spacing w:line="360" w:lineRule="auto"/>
        <w:jc w:val="left"/>
      </w:pPr>
      <w:r w:rsidRPr="00AC6535">
        <w:t>ATTMA (2010) ATTMA Technical Standard L1. Measuring the air permeability of building envelopes (dwellings). October 2010 Issue. Northampton, UK, Air Tightness Testing and Measurement Association.</w:t>
      </w:r>
    </w:p>
    <w:p w:rsidR="0071542F" w:rsidRDefault="00A40022" w:rsidP="0071542F">
      <w:pPr>
        <w:pStyle w:val="Referencetext"/>
        <w:spacing w:line="360" w:lineRule="auto"/>
        <w:jc w:val="left"/>
      </w:pPr>
      <w:r>
        <w:t>Bankvall</w:t>
      </w:r>
      <w:r w:rsidR="00F65552" w:rsidRPr="002072EC">
        <w:t xml:space="preserve"> </w:t>
      </w:r>
      <w:r w:rsidR="00F65552">
        <w:t xml:space="preserve">CG (1978) </w:t>
      </w:r>
      <w:r w:rsidR="00F65552" w:rsidRPr="002072EC">
        <w:t>Forced Convection: Practi</w:t>
      </w:r>
      <w:r w:rsidR="00F65552">
        <w:t xml:space="preserve">cal Thermal Conductivity </w:t>
      </w:r>
      <w:r w:rsidR="00AD22B2">
        <w:t xml:space="preserve">in an Insulated Structure Under </w:t>
      </w:r>
      <w:r w:rsidR="00F65552">
        <w:t>the Influence of Workmanship and Wind.</w:t>
      </w:r>
      <w:r w:rsidR="00F65552" w:rsidRPr="002072EC">
        <w:t xml:space="preserve"> ASTM STP 660, </w:t>
      </w:r>
      <w:r w:rsidR="00F65552">
        <w:t>pp</w:t>
      </w:r>
      <w:r w:rsidR="0071542F">
        <w:t xml:space="preserve">. </w:t>
      </w:r>
      <w:r w:rsidR="00F65552">
        <w:t>409-425.</w:t>
      </w:r>
    </w:p>
    <w:p w:rsidR="0071542F" w:rsidRDefault="007670A9" w:rsidP="0071542F">
      <w:pPr>
        <w:pStyle w:val="Referencetext"/>
        <w:spacing w:line="360" w:lineRule="auto"/>
        <w:jc w:val="left"/>
      </w:pPr>
      <w:r w:rsidRPr="002C06E5">
        <w:t xml:space="preserve">Bell M and Lowe RJ </w:t>
      </w:r>
      <w:r>
        <w:t xml:space="preserve">(1997) </w:t>
      </w:r>
      <w:r w:rsidRPr="002C06E5">
        <w:t>The York Energy Demonstration Project. Final Report on a DOE Greenhouse Project, CEBE Research Report No 3, Leeds Metropolitan Univ</w:t>
      </w:r>
      <w:r>
        <w:t>ersity</w:t>
      </w:r>
      <w:r w:rsidRPr="002C06E5">
        <w:t>.</w:t>
      </w:r>
    </w:p>
    <w:p w:rsidR="004C0075" w:rsidRDefault="00703DD7" w:rsidP="004C0075">
      <w:pPr>
        <w:pStyle w:val="Referencetext"/>
        <w:spacing w:line="360" w:lineRule="auto"/>
        <w:jc w:val="left"/>
      </w:pPr>
      <w:r w:rsidRPr="00703DD7">
        <w:t>Boar</w:t>
      </w:r>
      <w:r w:rsidR="00A40022">
        <w:t>dman B</w:t>
      </w:r>
      <w:r w:rsidR="00AD22B2">
        <w:t xml:space="preserve"> (2007) Home truths: A Low Carbon Strategy to Reduce UK H</w:t>
      </w:r>
      <w:r w:rsidRPr="00703DD7">
        <w:t xml:space="preserve">ousing </w:t>
      </w:r>
      <w:r w:rsidR="00AD22B2">
        <w:t>E</w:t>
      </w:r>
      <w:r w:rsidRPr="00703DD7">
        <w:t>missions by 80% by 2050. ECI Research Report 34. Oxford, University of Oxford</w:t>
      </w:r>
      <w:r w:rsidR="004C0075">
        <w:t xml:space="preserve"> Environmental Change Institute.</w:t>
      </w:r>
    </w:p>
    <w:p w:rsidR="00236B19" w:rsidRDefault="004C0075" w:rsidP="00236B19">
      <w:pPr>
        <w:pStyle w:val="Referencetext"/>
        <w:spacing w:line="360" w:lineRule="auto"/>
        <w:jc w:val="left"/>
      </w:pPr>
      <w:r>
        <w:t xml:space="preserve">Bouchié R Alzetto F Brun A Boisson P Thebault S (2014) Short Methodologies for In-situ Assessment of the Intrinsic Thermal Performance of the Building Envelope, In Sustainable </w:t>
      </w:r>
      <w:r>
        <w:lastRenderedPageBreak/>
        <w:t>Places 2014, Nice</w:t>
      </w:r>
      <w:r w:rsidR="00236B19">
        <w:t>.</w:t>
      </w:r>
      <w:r w:rsidR="00236B19" w:rsidRPr="00236B19">
        <w:t>BRE</w:t>
      </w:r>
      <w:r w:rsidR="00236B19">
        <w:t xml:space="preserve"> (2011) </w:t>
      </w:r>
      <w:r w:rsidR="00236B19" w:rsidRPr="00236B19">
        <w:t>SAP 20</w:t>
      </w:r>
      <w:r w:rsidR="00236B19">
        <w:t>09</w:t>
      </w:r>
      <w:r w:rsidR="00236B19" w:rsidRPr="00236B19">
        <w:t>: The Government’s Standard Assessment Procedure for Energy Rating of Dwellings. 20</w:t>
      </w:r>
      <w:r w:rsidR="00236B19">
        <w:t>09</w:t>
      </w:r>
      <w:r w:rsidR="00236B19" w:rsidRPr="00236B19">
        <w:t xml:space="preserve"> Edition</w:t>
      </w:r>
      <w:r w:rsidR="00236B19">
        <w:t xml:space="preserve"> Incorporating RdSAP 2009</w:t>
      </w:r>
      <w:r w:rsidR="00236B19" w:rsidRPr="00236B19">
        <w:t>. Garston, Watford, 201</w:t>
      </w:r>
      <w:r w:rsidR="00236B19">
        <w:t>1</w:t>
      </w:r>
      <w:r w:rsidR="00236B19" w:rsidRPr="00236B19">
        <w:t>.</w:t>
      </w:r>
    </w:p>
    <w:p w:rsidR="00E25501" w:rsidRDefault="00E25501" w:rsidP="00236B19">
      <w:pPr>
        <w:pStyle w:val="Referencetext"/>
        <w:spacing w:line="360" w:lineRule="auto"/>
        <w:jc w:val="left"/>
      </w:pPr>
      <w:r w:rsidRPr="00E25501">
        <w:t>BSI (2007) BS EN ISO 6946: Building components and building elements – Thermal resistance and thermal transmittance – Calculation methods. Milton Keynes, British Standards Institution.</w:t>
      </w:r>
    </w:p>
    <w:p w:rsidR="002002DB" w:rsidRDefault="002002DB" w:rsidP="00236B19">
      <w:pPr>
        <w:pStyle w:val="Referencetext"/>
        <w:spacing w:line="360" w:lineRule="auto"/>
        <w:jc w:val="left"/>
      </w:pPr>
      <w:r w:rsidRPr="002002DB">
        <w:t>Building Research Establishment. (2011) U-value Calculator. version 2.03 [Software]. Watford: Building Research Establishment.</w:t>
      </w:r>
    </w:p>
    <w:p w:rsidR="0071542F" w:rsidRDefault="0071542F" w:rsidP="004C0075">
      <w:pPr>
        <w:pStyle w:val="Referencetext"/>
        <w:spacing w:line="360" w:lineRule="auto"/>
        <w:jc w:val="left"/>
      </w:pPr>
      <w:r w:rsidRPr="008B7A88">
        <w:t>DCLG (2008) Regional Spatial Strategy (RSS) – Formerly Regional Planning Guidance 9 (RPG 9). London Department for Communities and Local Government.</w:t>
      </w:r>
    </w:p>
    <w:p w:rsidR="0071542F" w:rsidRDefault="0071542F" w:rsidP="0071542F">
      <w:pPr>
        <w:pStyle w:val="Referencetext"/>
        <w:spacing w:line="360" w:lineRule="auto"/>
        <w:jc w:val="left"/>
      </w:pPr>
      <w:r w:rsidRPr="00F10656">
        <w:t xml:space="preserve">DECC (2014) Digest of United Kingdom Energy Statistics (DUKES) 2014. </w:t>
      </w:r>
      <w:r w:rsidRPr="0071542F">
        <w:t>London, Department of Energy &amp; Climate Change.</w:t>
      </w:r>
      <w:r w:rsidR="00AD22B2">
        <w:t xml:space="preserve"> </w:t>
      </w:r>
      <w:r w:rsidR="00AD22B2" w:rsidRPr="00AD22B2">
        <w:t>Available from: &lt;https://</w:t>
      </w:r>
      <w:r w:rsidR="00AD22B2">
        <w:t xml:space="preserve"> </w:t>
      </w:r>
      <w:r w:rsidR="00AD22B2" w:rsidRPr="00AD22B2">
        <w:t xml:space="preserve">www.gov.uk/government/uploads/system/uploads/attachment_data/file/338750/DUKES_2014_printed.pdf </w:t>
      </w:r>
      <w:r w:rsidR="00AD22B2">
        <w:t>[Accessed October 13th</w:t>
      </w:r>
      <w:r w:rsidR="00AD22B2" w:rsidRPr="00AD22B2">
        <w:t>, 2014].</w:t>
      </w:r>
    </w:p>
    <w:p w:rsidR="0071542F" w:rsidRDefault="00310613" w:rsidP="0071542F">
      <w:pPr>
        <w:pStyle w:val="Referencetext"/>
        <w:spacing w:line="360" w:lineRule="auto"/>
        <w:jc w:val="left"/>
      </w:pPr>
      <w:r>
        <w:t>DECC (2013) 2012 UK Greenhouse Gas emissions, Provisional Figures and 2011 UK Greenhouse Gas Emissions, Final Figures by Fuel Type and End-U</w:t>
      </w:r>
      <w:r w:rsidR="0071542F" w:rsidRPr="00F10656">
        <w:t>ser [Internet]. London, Department of Energy &amp; Climate Change. Available from: &lt;https://www.gov.uk/government/publications/provisional-uk-emissions-estimates [Accessed January 14th, 2014].</w:t>
      </w:r>
    </w:p>
    <w:p w:rsidR="0071542F" w:rsidRDefault="005C3D33" w:rsidP="0071542F">
      <w:pPr>
        <w:pStyle w:val="Referencetext"/>
        <w:spacing w:line="360" w:lineRule="auto"/>
        <w:jc w:val="left"/>
      </w:pPr>
      <w:r w:rsidRPr="005C3D33">
        <w:t xml:space="preserve">Doran S </w:t>
      </w:r>
      <w:r w:rsidR="00B35ABA">
        <w:t xml:space="preserve">(2001) </w:t>
      </w:r>
      <w:r w:rsidRPr="005C3D33">
        <w:t>Field Investigations of the Thermal Performance of Construction Elements As Built. BRE Client Report No. 78132. A DETR Framework Project Report. East Kilbride, UK, Building Re</w:t>
      </w:r>
      <w:r w:rsidR="00B35ABA">
        <w:t>search Establishment (BRE)</w:t>
      </w:r>
      <w:r w:rsidRPr="005C3D33">
        <w:t>.</w:t>
      </w:r>
    </w:p>
    <w:p w:rsidR="0071542F" w:rsidRDefault="00A40022" w:rsidP="00A40022">
      <w:pPr>
        <w:pStyle w:val="Referencetext"/>
        <w:spacing w:line="360" w:lineRule="auto"/>
        <w:jc w:val="left"/>
      </w:pPr>
      <w:r>
        <w:t>Doran S and Carr B</w:t>
      </w:r>
      <w:r w:rsidR="001B3216">
        <w:t xml:space="preserve"> (2008) Thermal Transmittance of Walls of Dwellings Before and After Application of Cavity Wall Insulation. A Report Prepared by BRE Scotland for the Energy Saving Trust, Report Number 222077, East Kilbride, UK, BRE Scotland.</w:t>
      </w:r>
    </w:p>
    <w:p w:rsidR="0071542F" w:rsidRDefault="00A40022" w:rsidP="0071542F">
      <w:pPr>
        <w:pStyle w:val="Referencetext"/>
        <w:spacing w:line="360" w:lineRule="auto"/>
        <w:jc w:val="left"/>
      </w:pPr>
      <w:r>
        <w:t>Everett R</w:t>
      </w:r>
      <w:r w:rsidR="007670A9" w:rsidRPr="002C06E5">
        <w:t xml:space="preserve"> </w:t>
      </w:r>
      <w:r w:rsidR="007670A9">
        <w:t xml:space="preserve">(1985) </w:t>
      </w:r>
      <w:r w:rsidR="007670A9" w:rsidRPr="002C06E5">
        <w:t xml:space="preserve">Rapid Thermal Calibration of Houses. Technical Report ERG 055 for the Science and Engineering Research </w:t>
      </w:r>
      <w:r w:rsidR="007670A9">
        <w:t>Council, Milton Keynes, UK</w:t>
      </w:r>
      <w:r w:rsidR="007670A9" w:rsidRPr="002C06E5">
        <w:t>.</w:t>
      </w:r>
    </w:p>
    <w:p w:rsidR="0071542F" w:rsidRDefault="00A40022" w:rsidP="0071542F">
      <w:pPr>
        <w:pStyle w:val="Referencetext"/>
        <w:spacing w:line="360" w:lineRule="auto"/>
        <w:jc w:val="left"/>
      </w:pPr>
      <w:r>
        <w:t>Hens H Janssens A and Depraetere</w:t>
      </w:r>
      <w:r w:rsidR="00524050">
        <w:t xml:space="preserve"> W (2001) Hygrothermal Performance of Masonry Cavity Walls with Very Low U-factor: A Test House Evaluation. Proceedings of the Performences of Envelopes of Whole Buildings VIII Conference, Clearwater Beach, Florida, pp</w:t>
      </w:r>
      <w:r w:rsidR="0071542F">
        <w:t xml:space="preserve">. </w:t>
      </w:r>
      <w:r w:rsidR="00524050">
        <w:t>1-13.</w:t>
      </w:r>
    </w:p>
    <w:p w:rsidR="00AD22B2" w:rsidRDefault="00A40022" w:rsidP="00AD22B2">
      <w:pPr>
        <w:pStyle w:val="Referencetext"/>
        <w:spacing w:line="360" w:lineRule="auto"/>
        <w:jc w:val="left"/>
      </w:pPr>
      <w:r>
        <w:t>Hens H</w:t>
      </w:r>
      <w:r w:rsidR="00524050" w:rsidRPr="005C3D33">
        <w:t xml:space="preserve"> Jans</w:t>
      </w:r>
      <w:r>
        <w:t>sens A Depraetere W Carmeliet J</w:t>
      </w:r>
      <w:r w:rsidR="00524050" w:rsidRPr="005C3D33">
        <w:t xml:space="preserve"> and Lecompte J </w:t>
      </w:r>
      <w:r w:rsidR="00524050">
        <w:t xml:space="preserve">(2007) </w:t>
      </w:r>
      <w:r w:rsidR="00310613">
        <w:t>Brick Cavity Walls: A Performance Analysis Based on Measurements and S</w:t>
      </w:r>
      <w:r w:rsidR="00524050" w:rsidRPr="005C3D33">
        <w:t>imulations, J</w:t>
      </w:r>
      <w:r w:rsidR="00524050">
        <w:t>ournal of Building Physics,</w:t>
      </w:r>
      <w:r w:rsidR="0071542F">
        <w:t xml:space="preserve"> Vol. 31, No. 2, pp. </w:t>
      </w:r>
      <w:r w:rsidR="00524050" w:rsidRPr="005C3D33">
        <w:t>95-124.</w:t>
      </w:r>
    </w:p>
    <w:p w:rsidR="00AD22B2" w:rsidRDefault="00F10656" w:rsidP="00AD22B2">
      <w:pPr>
        <w:pStyle w:val="Referencetext"/>
        <w:spacing w:line="360" w:lineRule="auto"/>
        <w:jc w:val="left"/>
      </w:pPr>
      <w:r w:rsidRPr="00F10656">
        <w:t>HMSO (2008) Climate Change Act 2008: Chapter 27. London, UK, The Stationary Office Limited.</w:t>
      </w:r>
    </w:p>
    <w:p w:rsidR="00AD22B2" w:rsidRDefault="00A40022" w:rsidP="00AD22B2">
      <w:pPr>
        <w:pStyle w:val="Referencetext"/>
        <w:spacing w:line="360" w:lineRule="auto"/>
        <w:jc w:val="left"/>
      </w:pPr>
      <w:r>
        <w:t>Johnston D</w:t>
      </w:r>
      <w:r w:rsidR="009B30F4" w:rsidRPr="009B30F4">
        <w:t xml:space="preserve"> Miles-Shen</w:t>
      </w:r>
      <w:r>
        <w:t>ton D Farmer D and Wingfield J</w:t>
      </w:r>
      <w:r w:rsidR="009B30F4">
        <w:t xml:space="preserve"> (2013) </w:t>
      </w:r>
      <w:r w:rsidR="009B30F4" w:rsidRPr="009B30F4">
        <w:t xml:space="preserve">Whole House Heat Loss Test Method (Coheating). June 2013 [Internet] Leeds, Leeds Metropolitan University. Available from: &lt;www.leedsmet.ac.uk/as/cebe/projects.htm&gt; </w:t>
      </w:r>
      <w:r w:rsidR="009B30F4">
        <w:t>[Accessed 24th April 2014]</w:t>
      </w:r>
      <w:r w:rsidR="009B30F4" w:rsidRPr="009B30F4">
        <w:t>.</w:t>
      </w:r>
    </w:p>
    <w:p w:rsidR="00A40022" w:rsidRDefault="00A40022" w:rsidP="00AD22B2">
      <w:pPr>
        <w:pStyle w:val="Referencetext"/>
        <w:spacing w:line="360" w:lineRule="auto"/>
        <w:jc w:val="left"/>
      </w:pPr>
      <w:r w:rsidRPr="00A40022">
        <w:t>Johnst</w:t>
      </w:r>
      <w:r>
        <w:t>on D Miles-Shenton D and Wingfield J (2012</w:t>
      </w:r>
      <w:r w:rsidRPr="00A40022">
        <w:t xml:space="preserve">) </w:t>
      </w:r>
      <w:r>
        <w:t>Post-Construction and Initial Occupation Report on a Small Development of Six D</w:t>
      </w:r>
      <w:r w:rsidRPr="00A40022">
        <w:t>wellings, York</w:t>
      </w:r>
      <w:r>
        <w:t>.</w:t>
      </w:r>
      <w:r w:rsidRPr="00A40022">
        <w:t xml:space="preserve"> A report to the Technology Strategy </w:t>
      </w:r>
      <w:r w:rsidRPr="00A40022">
        <w:lastRenderedPageBreak/>
        <w:t>Board as part of the Technology Strategy Board’s Building Performance</w:t>
      </w:r>
      <w:r>
        <w:t xml:space="preserve"> Evaluation Programme. March 2012</w:t>
      </w:r>
      <w:r w:rsidRPr="00A40022">
        <w:t>. Leeds, UK, Centre for the Built Environment (CeBE), Leeds Metropolitan University.</w:t>
      </w:r>
    </w:p>
    <w:p w:rsidR="00AD22B2" w:rsidRDefault="00A40022" w:rsidP="00AD22B2">
      <w:pPr>
        <w:pStyle w:val="Referencetext"/>
        <w:spacing w:line="360" w:lineRule="auto"/>
        <w:jc w:val="left"/>
      </w:pPr>
      <w:r>
        <w:t>Killip G</w:t>
      </w:r>
      <w:r w:rsidR="00310613">
        <w:t xml:space="preserve"> (2008) Building a G</w:t>
      </w:r>
      <w:r w:rsidR="00703DD7" w:rsidRPr="00703DD7">
        <w:t xml:space="preserve">reener </w:t>
      </w:r>
      <w:r w:rsidR="00310613">
        <w:t>Britain: Transforming the UK’s Existing Housing S</w:t>
      </w:r>
      <w:r w:rsidR="00703DD7" w:rsidRPr="00703DD7">
        <w:t>tock. A report for the Federation of Master Builders by the University of Oxford Environmental Change Institute. London, Federation of Master Builders.</w:t>
      </w:r>
    </w:p>
    <w:p w:rsidR="00AD22B2" w:rsidRDefault="00A40022" w:rsidP="00AD22B2">
      <w:pPr>
        <w:pStyle w:val="Referencetext"/>
        <w:spacing w:line="360" w:lineRule="auto"/>
        <w:jc w:val="left"/>
      </w:pPr>
      <w:r>
        <w:t>Lecompte J</w:t>
      </w:r>
      <w:r w:rsidR="002072EC">
        <w:t xml:space="preserve"> (1990) Energy – Insulation: The Influence of Natural Convection on the Thermal Quality of </w:t>
      </w:r>
      <w:r w:rsidR="00310613">
        <w:t>Insulated Cavity Construction, R</w:t>
      </w:r>
      <w:r w:rsidR="002072EC">
        <w:t>esults of Experimental Research and Computer Simulation. Building Research and Practice, Number 6, pp</w:t>
      </w:r>
      <w:r w:rsidR="00AD22B2">
        <w:t xml:space="preserve">. </w:t>
      </w:r>
      <w:r w:rsidR="002072EC">
        <w:t>349-354.</w:t>
      </w:r>
    </w:p>
    <w:p w:rsidR="00AD22B2" w:rsidRDefault="00A40022" w:rsidP="00AD22B2">
      <w:pPr>
        <w:pStyle w:val="Referencetext"/>
        <w:spacing w:line="360" w:lineRule="auto"/>
        <w:jc w:val="left"/>
      </w:pPr>
      <w:r>
        <w:t>Mangematin E</w:t>
      </w:r>
      <w:r w:rsidR="009B30F4" w:rsidRPr="009B30F4">
        <w:t xml:space="preserve"> Pandraud G and Roux D </w:t>
      </w:r>
      <w:r w:rsidR="009B30F4">
        <w:t xml:space="preserve">(2012) </w:t>
      </w:r>
      <w:r w:rsidR="009B30F4" w:rsidRPr="009B30F4">
        <w:t xml:space="preserve">Quick Measurements of Energy Efficiency of Buildings. C. R. Physique, 2012; 13, </w:t>
      </w:r>
      <w:r w:rsidR="009B30F4">
        <w:t>pp</w:t>
      </w:r>
      <w:r w:rsidR="00AD22B2">
        <w:t xml:space="preserve">. </w:t>
      </w:r>
      <w:r w:rsidR="009B30F4" w:rsidRPr="009B30F4">
        <w:t>383-390.</w:t>
      </w:r>
    </w:p>
    <w:p w:rsidR="00AD22B2" w:rsidRDefault="00815DCB" w:rsidP="00AD22B2">
      <w:pPr>
        <w:pStyle w:val="Referencetext"/>
        <w:spacing w:line="360" w:lineRule="auto"/>
        <w:jc w:val="left"/>
      </w:pPr>
      <w:r w:rsidRPr="00815DCB">
        <w:t xml:space="preserve">NBS </w:t>
      </w:r>
      <w:r>
        <w:t xml:space="preserve">(2006) </w:t>
      </w:r>
      <w:r w:rsidRPr="00815DCB">
        <w:t>The Building Regulations 2000 Approved Document Part L1A: Conservation of fuel and power in new dwellings.</w:t>
      </w:r>
      <w:r>
        <w:t xml:space="preserve"> 2006 Edition. London, NBS</w:t>
      </w:r>
      <w:r w:rsidRPr="00815DCB">
        <w:t>.</w:t>
      </w:r>
    </w:p>
    <w:p w:rsidR="00AD22B2" w:rsidRDefault="00A40022" w:rsidP="00AD22B2">
      <w:pPr>
        <w:pStyle w:val="Referencetext"/>
        <w:spacing w:line="360" w:lineRule="auto"/>
        <w:jc w:val="left"/>
      </w:pPr>
      <w:r>
        <w:t>Palmer J</w:t>
      </w:r>
      <w:r w:rsidR="00F10656" w:rsidRPr="00F10656">
        <w:t xml:space="preserve"> and Co</w:t>
      </w:r>
      <w:r>
        <w:t>oper I</w:t>
      </w:r>
      <w:r w:rsidR="00310613">
        <w:t xml:space="preserve"> (2013) United Kingdom Housing Energy Fact F</w:t>
      </w:r>
      <w:r w:rsidR="00F10656" w:rsidRPr="00F10656">
        <w:t>ile 2013. A report prepared under contract to DECC by Cambridge Architectural Research, Eclipse Research Consultants and Cambridge Energy. London, UK, Department of Energy &amp; Climate Change.</w:t>
      </w:r>
    </w:p>
    <w:p w:rsidR="002002DB" w:rsidRDefault="002002DB" w:rsidP="00AD22B2">
      <w:pPr>
        <w:pStyle w:val="Referencetext"/>
        <w:spacing w:line="360" w:lineRule="auto"/>
        <w:jc w:val="left"/>
      </w:pPr>
      <w:r w:rsidRPr="002002DB">
        <w:t>Physibel. (2010) TRISCO. version 12.0w [Software]. Maldegem: Physibel.</w:t>
      </w:r>
    </w:p>
    <w:p w:rsidR="0073317A" w:rsidRDefault="0073317A" w:rsidP="00AD22B2">
      <w:pPr>
        <w:pStyle w:val="Referencetext"/>
        <w:spacing w:line="360" w:lineRule="auto"/>
        <w:jc w:val="left"/>
      </w:pPr>
      <w:r>
        <w:t>Sherman MH (1998) The Use of Blower-Door D</w:t>
      </w:r>
      <w:r w:rsidRPr="0073317A">
        <w:t>ata. LBL 35173. Berkeley, California, Lawrence Berkeley Laboratory.</w:t>
      </w:r>
    </w:p>
    <w:p w:rsidR="00AD22B2" w:rsidRDefault="00A40022" w:rsidP="00AD22B2">
      <w:pPr>
        <w:pStyle w:val="Referencetext"/>
        <w:spacing w:line="360" w:lineRule="auto"/>
        <w:jc w:val="left"/>
      </w:pPr>
      <w:r>
        <w:t xml:space="preserve">Siviour J </w:t>
      </w:r>
      <w:r w:rsidR="007670A9">
        <w:t xml:space="preserve">(1985) </w:t>
      </w:r>
      <w:r w:rsidR="007670A9" w:rsidRPr="002C06E5">
        <w:t xml:space="preserve">Experimental Thermal Calibration of Houses. In: Everett R Rapid Thermal Calibration of Houses. Technical Report ERG 055 for the Science and Engineering Research </w:t>
      </w:r>
      <w:r w:rsidR="007670A9">
        <w:t>Council, Milton Keynes, UK</w:t>
      </w:r>
      <w:r w:rsidR="007670A9" w:rsidRPr="002C06E5">
        <w:t>.</w:t>
      </w:r>
    </w:p>
    <w:p w:rsidR="00AD22B2" w:rsidRDefault="002C06E5" w:rsidP="00AD22B2">
      <w:pPr>
        <w:pStyle w:val="Referencetext"/>
        <w:spacing w:line="360" w:lineRule="auto"/>
        <w:jc w:val="left"/>
      </w:pPr>
      <w:r w:rsidRPr="002C06E5">
        <w:t xml:space="preserve">Socolow RH </w:t>
      </w:r>
      <w:r>
        <w:t xml:space="preserve">(1978) </w:t>
      </w:r>
      <w:r w:rsidRPr="002C06E5">
        <w:t>Energy Saving Energy in the Home - Princeton's Experiments at Twin Rivers, Massachusetts, USA</w:t>
      </w:r>
      <w:r>
        <w:t>, Ballinger Publishing Company.</w:t>
      </w:r>
    </w:p>
    <w:p w:rsidR="0014145C" w:rsidRDefault="00A40022" w:rsidP="0014145C">
      <w:pPr>
        <w:pStyle w:val="Referencetext"/>
        <w:spacing w:line="360" w:lineRule="auto"/>
        <w:jc w:val="left"/>
      </w:pPr>
      <w:r>
        <w:t>Sonderegger RC</w:t>
      </w:r>
      <w:r w:rsidR="002C06E5" w:rsidRPr="002C06E5">
        <w:t xml:space="preserve"> Condon PE and Modera MP </w:t>
      </w:r>
      <w:r w:rsidR="009D3EB2">
        <w:t>(1980</w:t>
      </w:r>
      <w:r w:rsidR="002C06E5">
        <w:t xml:space="preserve">) </w:t>
      </w:r>
      <w:r w:rsidR="00AD22B2">
        <w:t>In-situ Measurements of Residential Energy P</w:t>
      </w:r>
      <w:r w:rsidR="002C06E5" w:rsidRPr="002C06E5">
        <w:t>erformance</w:t>
      </w:r>
      <w:r w:rsidR="00AD22B2">
        <w:t xml:space="preserve"> Using Electric C</w:t>
      </w:r>
      <w:r w:rsidR="002C06E5" w:rsidRPr="002C06E5">
        <w:t xml:space="preserve">o-heating. ASHRAE </w:t>
      </w:r>
      <w:r w:rsidR="009D3EB2">
        <w:t>Transactions, 1980</w:t>
      </w:r>
      <w:r w:rsidR="0014145C">
        <w:t xml:space="preserve">; Vol. 86 (I), </w:t>
      </w:r>
      <w:r w:rsidR="0014145C" w:rsidRPr="0014145C">
        <w:rPr>
          <w:color w:val="000000"/>
        </w:rPr>
        <w:t>LBL-10117.</w:t>
      </w:r>
    </w:p>
    <w:p w:rsidR="0014145C" w:rsidRDefault="002C06E5" w:rsidP="0014145C">
      <w:pPr>
        <w:pStyle w:val="Referencetext"/>
        <w:spacing w:line="360" w:lineRule="auto"/>
        <w:jc w:val="left"/>
      </w:pPr>
      <w:r w:rsidRPr="002C06E5">
        <w:t>Son</w:t>
      </w:r>
      <w:r>
        <w:t>deregger RC and Modera MP (1979</w:t>
      </w:r>
      <w:r w:rsidR="0023374E">
        <w:t>) Electric Co-Heating: A Method for Evaluating S</w:t>
      </w:r>
      <w:r w:rsidR="0014145C">
        <w:t>easonal Heating Efficiencies and Heat Loss Rates in D</w:t>
      </w:r>
      <w:r w:rsidRPr="002C06E5">
        <w:t>wellings, Presented at the Second International CIB Symposium on Energy Conservation in the Built Environment, Copenhagen, Denmark,</w:t>
      </w:r>
      <w:r>
        <w:t xml:space="preserve"> May 28 - June 1, LBL-8949</w:t>
      </w:r>
      <w:r w:rsidRPr="002C06E5">
        <w:t>.</w:t>
      </w:r>
    </w:p>
    <w:p w:rsidR="0014145C" w:rsidRDefault="00A40022" w:rsidP="0014145C">
      <w:pPr>
        <w:pStyle w:val="Referencetext"/>
        <w:spacing w:line="360" w:lineRule="auto"/>
        <w:jc w:val="left"/>
      </w:pPr>
      <w:r>
        <w:t>Stafford A Bell M</w:t>
      </w:r>
      <w:r w:rsidR="004A2470" w:rsidRPr="004A2470">
        <w:t xml:space="preserve"> and Gorse C (2012) Building Confidence - A Working Paper. Centre for Low Carbon Futures Report No. 008, March 2012 [Internet]. York, The Centre for Low carbon Futures. Available from: &lt; http://www.lowcarbonfutures.org/reports/research-reports?page=1&gt; [</w:t>
      </w:r>
      <w:r w:rsidR="004A2470">
        <w:t>Accessed:24th March 2014].</w:t>
      </w:r>
    </w:p>
    <w:p w:rsidR="0014145C" w:rsidRDefault="00A40022" w:rsidP="0014145C">
      <w:pPr>
        <w:pStyle w:val="Referencetext"/>
        <w:spacing w:line="360" w:lineRule="auto"/>
        <w:jc w:val="left"/>
      </w:pPr>
      <w:r>
        <w:t xml:space="preserve">Subbarao </w:t>
      </w:r>
      <w:r w:rsidR="009B30F4" w:rsidRPr="009B30F4">
        <w:t xml:space="preserve">K </w:t>
      </w:r>
      <w:r w:rsidR="009B30F4">
        <w:t xml:space="preserve">(1988) </w:t>
      </w:r>
      <w:r w:rsidR="009B30F4" w:rsidRPr="009B30F4">
        <w:t>PSTAR - Primary and Secondary Terms-Analysis and Renormalization: A Unified Approach to Building and Energy Simulations and Short-Term Testing – A Summary. September 1988. SERI/TR-254-3347. Colorado, USA, S</w:t>
      </w:r>
      <w:r w:rsidR="009B30F4">
        <w:t>olar Energy Research Institute.</w:t>
      </w:r>
    </w:p>
    <w:p w:rsidR="004E6003" w:rsidRDefault="00A40022" w:rsidP="004E6003">
      <w:pPr>
        <w:pStyle w:val="Referencetext"/>
        <w:spacing w:line="360" w:lineRule="auto"/>
        <w:jc w:val="left"/>
      </w:pPr>
      <w:r>
        <w:t>Subbarao K</w:t>
      </w:r>
      <w:r w:rsidR="005D159F" w:rsidRPr="005D159F">
        <w:t xml:space="preserve"> Burch</w:t>
      </w:r>
      <w:r>
        <w:t xml:space="preserve"> JD Hancock CE</w:t>
      </w:r>
      <w:r w:rsidR="005D159F" w:rsidRPr="005D159F">
        <w:t xml:space="preserve"> Lekov A and Balcomb JD </w:t>
      </w:r>
      <w:r w:rsidR="005D159F">
        <w:t xml:space="preserve">(1988) </w:t>
      </w:r>
      <w:r w:rsidR="005D159F" w:rsidRPr="005D159F">
        <w:t xml:space="preserve">Short-Term Energy Monitoring (STEM): Application of the PSTAR Method to a Residence in Fredericksburg, </w:t>
      </w:r>
      <w:r w:rsidR="005D159F" w:rsidRPr="005D159F">
        <w:lastRenderedPageBreak/>
        <w:t>Virginia. September 1988. SERI/TR-254-3356. Colorado, USA, Solar</w:t>
      </w:r>
      <w:r w:rsidR="005D159F">
        <w:t xml:space="preserve"> Energy Research Institute</w:t>
      </w:r>
      <w:r w:rsidR="005D159F" w:rsidRPr="005D159F">
        <w:t>.</w:t>
      </w:r>
    </w:p>
    <w:p w:rsidR="004E6003" w:rsidRDefault="00406FE8" w:rsidP="004E6003">
      <w:pPr>
        <w:pStyle w:val="Referencetext"/>
        <w:spacing w:line="360" w:lineRule="auto"/>
        <w:jc w:val="left"/>
      </w:pPr>
      <w:r w:rsidRPr="00406FE8">
        <w:t xml:space="preserve">The Technology Strategy Board </w:t>
      </w:r>
      <w:r>
        <w:t xml:space="preserve">(2010) </w:t>
      </w:r>
      <w:r w:rsidRPr="00406FE8">
        <w:t>Building Performance Evaluation, Domestic Buildings - Guidance for Project Execution. Swindon, The</w:t>
      </w:r>
      <w:r>
        <w:t xml:space="preserve"> Technology Strategy Board</w:t>
      </w:r>
      <w:r w:rsidRPr="00406FE8">
        <w:t>.</w:t>
      </w:r>
    </w:p>
    <w:p w:rsidR="00544F0E" w:rsidRDefault="00544F0E" w:rsidP="004E6003">
      <w:pPr>
        <w:pStyle w:val="Referencetext"/>
        <w:spacing w:line="360" w:lineRule="auto"/>
        <w:jc w:val="left"/>
      </w:pPr>
      <w:r>
        <w:t>Trinick J</w:t>
      </w:r>
      <w:r w:rsidRPr="00544F0E">
        <w:t xml:space="preserve"> E</w:t>
      </w:r>
      <w:r>
        <w:t>lliott E</w:t>
      </w:r>
      <w:r w:rsidRPr="00544F0E">
        <w:t xml:space="preserve"> G</w:t>
      </w:r>
      <w:r>
        <w:t>reen</w:t>
      </w:r>
      <w:r w:rsidR="000B3493">
        <w:t xml:space="preserve"> M</w:t>
      </w:r>
      <w:r w:rsidRPr="00544F0E">
        <w:t xml:space="preserve"> S</w:t>
      </w:r>
      <w:r w:rsidR="000B3493">
        <w:t>hepherd J</w:t>
      </w:r>
      <w:r w:rsidRPr="00544F0E">
        <w:t xml:space="preserve"> and O</w:t>
      </w:r>
      <w:r w:rsidR="000B3493">
        <w:t>rme M</w:t>
      </w:r>
      <w:r w:rsidRPr="00544F0E">
        <w:t xml:space="preserve"> (2009) EEPH / CLG Research into Compliance with Part L of the Building Regulations for New Homes – Phase 2 Main Report. Faber Maunsell, AECOM.</w:t>
      </w:r>
    </w:p>
    <w:p w:rsidR="00E25501" w:rsidRDefault="00E25501" w:rsidP="004E6003">
      <w:pPr>
        <w:pStyle w:val="Referencetext"/>
        <w:spacing w:line="360" w:lineRule="auto"/>
        <w:jc w:val="left"/>
      </w:pPr>
      <w:r w:rsidRPr="00E25501">
        <w:t>Ward, T. and Sanders, C. (2007) Conventions for calculating linear thermal transmittance and temperature factors. BR 497. Watford, UK, Building Research Establishment.</w:t>
      </w:r>
    </w:p>
    <w:p w:rsidR="004E6003" w:rsidRDefault="009B30F4" w:rsidP="004E6003">
      <w:pPr>
        <w:pStyle w:val="Referencetext"/>
        <w:spacing w:line="360" w:lineRule="auto"/>
        <w:jc w:val="left"/>
      </w:pPr>
      <w:r w:rsidRPr="009B30F4">
        <w:t>Wingfield, J. Johnston, D. Miles-Shenton</w:t>
      </w:r>
      <w:r w:rsidR="004E6003">
        <w:t>, D. and Bell, M. (2010) Whole House Heat Loss Test M</w:t>
      </w:r>
      <w:r w:rsidRPr="009B30F4">
        <w:t>ethod (Coheating). [Internet] Leeds, Leeds Metropolitan University. Available from: &lt;http://www.leedsmet.ac.uk/as/cebe/projects/coheating_test_protocol.pdf&gt; [Accessed 24th April 2014].</w:t>
      </w:r>
    </w:p>
    <w:p w:rsidR="0098684C" w:rsidRDefault="0098684C" w:rsidP="004E6003">
      <w:pPr>
        <w:pStyle w:val="Referencetext"/>
        <w:spacing w:line="360" w:lineRule="auto"/>
        <w:jc w:val="left"/>
      </w:pPr>
      <w:r>
        <w:t xml:space="preserve">Zero Carbon Hub (2014) Closing the Gap Between Design &amp; As-Built Performance – End of Term Report. July 2014. </w:t>
      </w:r>
    </w:p>
    <w:p w:rsidR="00524050" w:rsidRPr="004E6003" w:rsidRDefault="004E6003" w:rsidP="004E6003">
      <w:pPr>
        <w:pStyle w:val="Referencetext"/>
        <w:spacing w:line="360" w:lineRule="auto"/>
        <w:jc w:val="left"/>
        <w:rPr>
          <w:color w:val="0000FF"/>
          <w:u w:val="single"/>
          <w:lang w:eastAsia="en-GB"/>
        </w:rPr>
      </w:pPr>
      <w:r>
        <w:t>Zero Carbon Hub (2010) Carbon Compliance for Tomorrow’s New Homes: A Review of the Modelling Tool and A</w:t>
      </w:r>
      <w:r w:rsidR="00524050" w:rsidRPr="00524050">
        <w:t>ss</w:t>
      </w:r>
      <w:r>
        <w:t>umptions. Topic 4: Closing the Gap Between Designed and Built P</w:t>
      </w:r>
      <w:r w:rsidR="00524050" w:rsidRPr="00524050">
        <w:t>erformance. August 2010. [Internet] London, Zero Carbon Hub, Available from: &lt;http://www.zerocarbonhub.org/full-lib&gt; [Accessed: 24th March 2014].</w:t>
      </w:r>
    </w:p>
    <w:p w:rsidR="00965665" w:rsidRDefault="00965665" w:rsidP="00A442E4">
      <w:pPr>
        <w:spacing w:line="360" w:lineRule="auto"/>
        <w:rPr>
          <w:sz w:val="20"/>
          <w:szCs w:val="20"/>
        </w:rPr>
      </w:pPr>
    </w:p>
    <w:bookmarkEnd w:id="0"/>
    <w:bookmarkEnd w:id="1"/>
    <w:bookmarkEnd w:id="2"/>
    <w:p w:rsidR="0003108B" w:rsidRPr="00A442E4" w:rsidRDefault="0003108B" w:rsidP="00A442E4">
      <w:pPr>
        <w:spacing w:line="360" w:lineRule="auto"/>
        <w:rPr>
          <w:b/>
          <w:sz w:val="20"/>
          <w:szCs w:val="20"/>
        </w:rPr>
      </w:pPr>
    </w:p>
    <w:p w:rsidR="00961114" w:rsidRDefault="00961114">
      <w:pPr>
        <w:rPr>
          <w:b/>
          <w:sz w:val="20"/>
          <w:szCs w:val="20"/>
        </w:rPr>
      </w:pPr>
      <w:r>
        <w:rPr>
          <w:b/>
          <w:sz w:val="20"/>
          <w:szCs w:val="20"/>
        </w:rPr>
        <w:br w:type="page"/>
      </w:r>
    </w:p>
    <w:p w:rsidR="0026553C" w:rsidRDefault="0026553C">
      <w:pPr>
        <w:rPr>
          <w:b/>
          <w:sz w:val="20"/>
          <w:szCs w:val="20"/>
        </w:rPr>
      </w:pPr>
      <w:r>
        <w:rPr>
          <w:b/>
          <w:sz w:val="20"/>
          <w:szCs w:val="20"/>
        </w:rPr>
        <w:lastRenderedPageBreak/>
        <w:t>Table</w:t>
      </w:r>
      <w:r w:rsidRPr="0026553C">
        <w:rPr>
          <w:b/>
          <w:sz w:val="20"/>
          <w:szCs w:val="20"/>
        </w:rPr>
        <w:t xml:space="preserve"> captions</w:t>
      </w:r>
    </w:p>
    <w:p w:rsidR="0026553C" w:rsidRDefault="0026553C">
      <w:pPr>
        <w:rPr>
          <w:b/>
          <w:sz w:val="20"/>
          <w:szCs w:val="20"/>
        </w:rPr>
      </w:pPr>
    </w:p>
    <w:p w:rsidR="0026553C" w:rsidRDefault="0026553C">
      <w:pPr>
        <w:rPr>
          <w:b/>
          <w:sz w:val="20"/>
          <w:szCs w:val="20"/>
        </w:rPr>
      </w:pPr>
    </w:p>
    <w:p w:rsidR="0026553C" w:rsidRPr="0026553C" w:rsidRDefault="0026553C">
      <w:pPr>
        <w:rPr>
          <w:sz w:val="20"/>
          <w:szCs w:val="20"/>
        </w:rPr>
      </w:pPr>
      <w:r w:rsidRPr="0026553C">
        <w:rPr>
          <w:sz w:val="20"/>
          <w:szCs w:val="20"/>
        </w:rPr>
        <w:t>Table 1: Details of the case study dwellings.</w:t>
      </w:r>
    </w:p>
    <w:p w:rsidR="0026553C" w:rsidRDefault="0026553C">
      <w:pPr>
        <w:rPr>
          <w:sz w:val="20"/>
          <w:szCs w:val="20"/>
        </w:rPr>
      </w:pPr>
    </w:p>
    <w:p w:rsidR="0026553C" w:rsidRDefault="0026553C">
      <w:pPr>
        <w:rPr>
          <w:b/>
          <w:sz w:val="20"/>
          <w:szCs w:val="20"/>
        </w:rPr>
      </w:pPr>
      <w:r w:rsidRPr="0026553C">
        <w:rPr>
          <w:sz w:val="20"/>
          <w:szCs w:val="20"/>
        </w:rPr>
        <w:t>Table 2: Main construction types and design U-values for the case study dwellings.</w:t>
      </w:r>
      <w:r>
        <w:rPr>
          <w:b/>
          <w:sz w:val="20"/>
          <w:szCs w:val="20"/>
        </w:rPr>
        <w:br w:type="page"/>
      </w:r>
    </w:p>
    <w:p w:rsidR="0003108B" w:rsidRDefault="00961114" w:rsidP="00A442E4">
      <w:pPr>
        <w:spacing w:line="360" w:lineRule="auto"/>
        <w:rPr>
          <w:sz w:val="20"/>
          <w:szCs w:val="20"/>
        </w:rPr>
      </w:pPr>
      <w:r w:rsidRPr="00A442E4">
        <w:rPr>
          <w:b/>
          <w:sz w:val="20"/>
          <w:szCs w:val="20"/>
        </w:rPr>
        <w:lastRenderedPageBreak/>
        <w:t>Figure captions</w:t>
      </w:r>
    </w:p>
    <w:p w:rsidR="00961114" w:rsidRDefault="00961114" w:rsidP="00A442E4">
      <w:pPr>
        <w:spacing w:line="360" w:lineRule="auto"/>
        <w:rPr>
          <w:sz w:val="20"/>
          <w:szCs w:val="20"/>
        </w:rPr>
      </w:pPr>
    </w:p>
    <w:p w:rsidR="00A547CD" w:rsidRDefault="00A547CD" w:rsidP="00A442E4">
      <w:pPr>
        <w:spacing w:line="360" w:lineRule="auto"/>
        <w:rPr>
          <w:sz w:val="20"/>
          <w:szCs w:val="20"/>
        </w:rPr>
      </w:pPr>
      <w:r w:rsidRPr="00A547CD">
        <w:rPr>
          <w:sz w:val="20"/>
          <w:szCs w:val="20"/>
        </w:rPr>
        <w:t>Figure 1 An example of the multiple linear regression method of analysis that accounts for the effect of solar radiation on the test data.</w:t>
      </w:r>
    </w:p>
    <w:p w:rsidR="00961114" w:rsidRDefault="00961114" w:rsidP="00A442E4">
      <w:pPr>
        <w:spacing w:line="360" w:lineRule="auto"/>
        <w:rPr>
          <w:sz w:val="20"/>
          <w:szCs w:val="20"/>
        </w:rPr>
      </w:pPr>
    </w:p>
    <w:p w:rsidR="00961114" w:rsidRDefault="00961114" w:rsidP="00A442E4">
      <w:pPr>
        <w:spacing w:line="360" w:lineRule="auto"/>
        <w:rPr>
          <w:sz w:val="20"/>
          <w:szCs w:val="20"/>
        </w:rPr>
      </w:pPr>
      <w:r w:rsidRPr="00961114">
        <w:rPr>
          <w:sz w:val="20"/>
          <w:szCs w:val="20"/>
        </w:rPr>
        <w:t>Figure 2 Design intent, predicted and measured HLC of the case study dwellings.</w:t>
      </w:r>
    </w:p>
    <w:p w:rsidR="00A547CD" w:rsidRDefault="00A547CD" w:rsidP="00A442E4">
      <w:pPr>
        <w:spacing w:line="360" w:lineRule="auto"/>
        <w:rPr>
          <w:sz w:val="20"/>
          <w:szCs w:val="20"/>
        </w:rPr>
      </w:pPr>
    </w:p>
    <w:p w:rsidR="00A547CD" w:rsidRDefault="00A547CD" w:rsidP="00A442E4">
      <w:pPr>
        <w:spacing w:line="360" w:lineRule="auto"/>
        <w:rPr>
          <w:sz w:val="20"/>
          <w:szCs w:val="20"/>
        </w:rPr>
      </w:pPr>
      <w:r w:rsidRPr="00A547CD">
        <w:rPr>
          <w:sz w:val="20"/>
          <w:szCs w:val="20"/>
        </w:rPr>
        <w:t>Figure 3 Measured versus steady state predicted HLC of the case study dwellings and the Leeds Beckett new build coheating database.</w:t>
      </w:r>
    </w:p>
    <w:p w:rsidR="00A547CD" w:rsidRDefault="00A547CD" w:rsidP="00A442E4">
      <w:pPr>
        <w:spacing w:line="360" w:lineRule="auto"/>
        <w:rPr>
          <w:sz w:val="20"/>
          <w:szCs w:val="20"/>
        </w:rPr>
      </w:pPr>
    </w:p>
    <w:p w:rsidR="00A547CD" w:rsidRPr="00A442E4" w:rsidRDefault="00A547CD" w:rsidP="00A442E4">
      <w:pPr>
        <w:spacing w:line="360" w:lineRule="auto"/>
        <w:rPr>
          <w:sz w:val="20"/>
          <w:szCs w:val="20"/>
        </w:rPr>
      </w:pPr>
      <w:r w:rsidRPr="00A547CD">
        <w:rPr>
          <w:sz w:val="20"/>
          <w:szCs w:val="20"/>
        </w:rPr>
        <w:t>Figure 4 Comparative difference in the measured versus steady state predicted HLC of the case study dwellings and the Leeds Beckett new build coheating database.</w:t>
      </w:r>
    </w:p>
    <w:sectPr w:rsidR="00A547CD" w:rsidRPr="00A442E4" w:rsidSect="0006269A">
      <w:footerReference w:type="default" r:id="rId8"/>
      <w:footerReference w:type="first" r:id="rId9"/>
      <w:pgSz w:w="11906" w:h="16838" w:code="9"/>
      <w:pgMar w:top="1560" w:right="1701" w:bottom="1560"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B1" w:rsidRDefault="005F66B1">
      <w:r>
        <w:separator/>
      </w:r>
    </w:p>
  </w:endnote>
  <w:endnote w:type="continuationSeparator" w:id="0">
    <w:p w:rsidR="005F66B1" w:rsidRDefault="005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5A" w:rsidRDefault="00B74A5A">
    <w:pPr>
      <w:pStyle w:val="Footer"/>
      <w:jc w:val="right"/>
    </w:pPr>
    <w:r>
      <w:fldChar w:fldCharType="begin"/>
    </w:r>
    <w:r>
      <w:instrText xml:space="preserve"> PAGE   \* MERGEFORMAT </w:instrText>
    </w:r>
    <w:r>
      <w:fldChar w:fldCharType="separate"/>
    </w:r>
    <w:r w:rsidR="00CC1827">
      <w:rPr>
        <w:noProof/>
      </w:rPr>
      <w:t>2</w:t>
    </w:r>
    <w:r>
      <w:rPr>
        <w:noProof/>
      </w:rPr>
      <w:fldChar w:fldCharType="end"/>
    </w:r>
  </w:p>
  <w:p w:rsidR="00B74A5A" w:rsidRPr="00652B19" w:rsidRDefault="00B74A5A" w:rsidP="00652B19">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5A" w:rsidRPr="0006269A" w:rsidRDefault="00B74A5A" w:rsidP="0006269A">
    <w:pPr>
      <w:pStyle w:val="Authoraffiliations"/>
    </w:pPr>
    <w:r w:rsidRPr="0006269A">
      <w:t>This is an example created from parts of other articles, it is not designed to be read for sense.</w:t>
    </w:r>
  </w:p>
  <w:p w:rsidR="00B74A5A" w:rsidRDefault="00B74A5A">
    <w:pPr>
      <w:pStyle w:val="Footer"/>
    </w:pPr>
  </w:p>
  <w:p w:rsidR="00B74A5A" w:rsidRDefault="00B7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B1" w:rsidRDefault="005F66B1">
      <w:r>
        <w:separator/>
      </w:r>
    </w:p>
  </w:footnote>
  <w:footnote w:type="continuationSeparator" w:id="0">
    <w:p w:rsidR="005F66B1" w:rsidRDefault="005F66B1">
      <w:r>
        <w:continuationSeparator/>
      </w:r>
    </w:p>
  </w:footnote>
  <w:footnote w:id="1">
    <w:p w:rsidR="002747AD" w:rsidRDefault="002747AD">
      <w:pPr>
        <w:pStyle w:val="FootnoteText"/>
      </w:pPr>
      <w:r>
        <w:rPr>
          <w:rStyle w:val="FootnoteReference"/>
        </w:rPr>
        <w:footnoteRef/>
      </w:r>
      <w:r>
        <w:t xml:space="preserve"> </w:t>
      </w:r>
      <w:r w:rsidRPr="00CC1827">
        <w:rPr>
          <w:sz w:val="16"/>
          <w:szCs w:val="16"/>
        </w:rPr>
        <w:t>A higher setpoint temperature that is outside the range of temperatures normally experienced during occupation, may result in accelerated shrinkage and drying out of the building fabric.</w:t>
      </w:r>
    </w:p>
  </w:footnote>
  <w:footnote w:id="2">
    <w:p w:rsidR="00314286" w:rsidRDefault="00314286">
      <w:pPr>
        <w:pStyle w:val="FootnoteText"/>
      </w:pPr>
      <w:r>
        <w:rPr>
          <w:rStyle w:val="FootnoteReference"/>
        </w:rPr>
        <w:footnoteRef/>
      </w:r>
      <w:r>
        <w:t xml:space="preserve"> </w:t>
      </w:r>
      <w:r w:rsidRPr="00A24420">
        <w:rPr>
          <w:sz w:val="16"/>
          <w:szCs w:val="16"/>
        </w:rPr>
        <w:t xml:space="preserve">This involves </w:t>
      </w:r>
      <w:r w:rsidR="00A24420" w:rsidRPr="00A24420">
        <w:rPr>
          <w:sz w:val="16"/>
          <w:szCs w:val="16"/>
        </w:rPr>
        <w:t xml:space="preserve">measuring and recording the airflow rate that is required to maintain a number of positive and negative pressure differences across the building envelope using a </w:t>
      </w:r>
      <w:r w:rsidRPr="00A24420">
        <w:rPr>
          <w:sz w:val="16"/>
          <w:szCs w:val="16"/>
        </w:rPr>
        <w:t>portable variable speed fan</w:t>
      </w:r>
      <w:r w:rsidR="00A24420" w:rsidRPr="00A24420">
        <w:rPr>
          <w:sz w:val="16"/>
          <w:szCs w:val="16"/>
        </w:rPr>
        <w:t>,</w:t>
      </w:r>
      <w:r w:rsidRPr="00A24420">
        <w:rPr>
          <w:sz w:val="16"/>
          <w:szCs w:val="16"/>
        </w:rPr>
        <w:t xml:space="preserve"> </w:t>
      </w:r>
      <w:r w:rsidR="00A24420" w:rsidRPr="00A24420">
        <w:rPr>
          <w:sz w:val="16"/>
          <w:szCs w:val="16"/>
        </w:rPr>
        <w:t xml:space="preserve">which is sealed </w:t>
      </w:r>
      <w:r w:rsidRPr="00A24420">
        <w:rPr>
          <w:sz w:val="16"/>
          <w:szCs w:val="16"/>
        </w:rPr>
        <w:t>int</w:t>
      </w:r>
      <w:r w:rsidR="00A24420" w:rsidRPr="00A24420">
        <w:rPr>
          <w:sz w:val="16"/>
          <w:szCs w:val="16"/>
        </w:rPr>
        <w:t>o an external doorway using an</w:t>
      </w:r>
      <w:r w:rsidRPr="00A24420">
        <w:rPr>
          <w:sz w:val="16"/>
          <w:szCs w:val="16"/>
        </w:rPr>
        <w:t xml:space="preserve"> adjustable door frame and panel. </w:t>
      </w:r>
      <w:r w:rsidR="00A24420" w:rsidRPr="00A24420">
        <w:rPr>
          <w:sz w:val="16"/>
          <w:szCs w:val="16"/>
        </w:rPr>
        <w:t>T</w:t>
      </w:r>
      <w:r w:rsidRPr="00A24420">
        <w:rPr>
          <w:sz w:val="16"/>
          <w:szCs w:val="16"/>
        </w:rPr>
        <w:t>he greater the air flow required to maintain a given pressure differentia</w:t>
      </w:r>
      <w:r w:rsidR="00A24420" w:rsidRPr="00A24420">
        <w:rPr>
          <w:sz w:val="16"/>
          <w:szCs w:val="16"/>
        </w:rPr>
        <w:t>l, the leakier the building.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535FC"/>
    <w:multiLevelType w:val="hybridMultilevel"/>
    <w:tmpl w:val="8DD808E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742D7"/>
    <w:multiLevelType w:val="multilevel"/>
    <w:tmpl w:val="AA9A4540"/>
    <w:lvl w:ilvl="0">
      <w:start w:val="1"/>
      <w:numFmt w:val="decimal"/>
      <w:pStyle w:val="NumPara"/>
      <w:lvlText w:val="%1"/>
      <w:lvlJc w:val="left"/>
      <w:pPr>
        <w:tabs>
          <w:tab w:val="num" w:pos="567"/>
        </w:tabs>
        <w:ind w:left="567" w:hanging="567"/>
      </w:pPr>
      <w:rPr>
        <w:rFonts w:hint="default"/>
      </w:rPr>
    </w:lvl>
    <w:lvl w:ilvl="1">
      <w:start w:val="1"/>
      <w:numFmt w:val="lowerLetter"/>
      <w:pStyle w:val="sub-para"/>
      <w:lvlText w:val="%2)"/>
      <w:lvlJc w:val="left"/>
      <w:pPr>
        <w:tabs>
          <w:tab w:val="num" w:pos="927"/>
        </w:tabs>
        <w:ind w:left="851" w:hanging="28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567"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38E6522"/>
    <w:multiLevelType w:val="multilevel"/>
    <w:tmpl w:val="3C807C1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27F64"/>
    <w:multiLevelType w:val="hybridMultilevel"/>
    <w:tmpl w:val="CAFC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D797B1A"/>
    <w:multiLevelType w:val="hybridMultilevel"/>
    <w:tmpl w:val="F2123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2"/>
  </w:num>
  <w:num w:numId="4">
    <w:abstractNumId w:val="15"/>
  </w:num>
  <w:num w:numId="5">
    <w:abstractNumId w:val="16"/>
  </w:num>
  <w:num w:numId="6">
    <w:abstractNumId w:val="2"/>
  </w:num>
  <w:num w:numId="7">
    <w:abstractNumId w:val="5"/>
  </w:num>
  <w:num w:numId="8">
    <w:abstractNumId w:val="21"/>
  </w:num>
  <w:num w:numId="9">
    <w:abstractNumId w:val="13"/>
  </w:num>
  <w:num w:numId="10">
    <w:abstractNumId w:val="11"/>
  </w:num>
  <w:num w:numId="11">
    <w:abstractNumId w:val="0"/>
  </w:num>
  <w:num w:numId="12">
    <w:abstractNumId w:val="28"/>
  </w:num>
  <w:num w:numId="13">
    <w:abstractNumId w:val="6"/>
  </w:num>
  <w:num w:numId="14">
    <w:abstractNumId w:val="7"/>
  </w:num>
  <w:num w:numId="15">
    <w:abstractNumId w:val="19"/>
  </w:num>
  <w:num w:numId="16">
    <w:abstractNumId w:val="23"/>
  </w:num>
  <w:num w:numId="17">
    <w:abstractNumId w:val="14"/>
  </w:num>
  <w:num w:numId="18">
    <w:abstractNumId w:val="25"/>
  </w:num>
  <w:num w:numId="19">
    <w:abstractNumId w:val="26"/>
  </w:num>
  <w:num w:numId="20">
    <w:abstractNumId w:val="22"/>
  </w:num>
  <w:num w:numId="21">
    <w:abstractNumId w:val="9"/>
  </w:num>
  <w:num w:numId="22">
    <w:abstractNumId w:val="1"/>
  </w:num>
  <w:num w:numId="23">
    <w:abstractNumId w:val="12"/>
  </w:num>
  <w:num w:numId="24">
    <w:abstractNumId w:val="12"/>
  </w:num>
  <w:num w:numId="25">
    <w:abstractNumId w:val="12"/>
  </w:num>
  <w:num w:numId="26">
    <w:abstractNumId w:val="27"/>
  </w:num>
  <w:num w:numId="27">
    <w:abstractNumId w:val="3"/>
  </w:num>
  <w:num w:numId="28">
    <w:abstractNumId w:val="17"/>
  </w:num>
  <w:num w:numId="29">
    <w:abstractNumId w:val="8"/>
  </w:num>
  <w:num w:numId="30">
    <w:abstractNumId w:val="4"/>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29"/>
    <w:rsid w:val="000011DC"/>
    <w:rsid w:val="00003487"/>
    <w:rsid w:val="00005F28"/>
    <w:rsid w:val="00012A45"/>
    <w:rsid w:val="00013F15"/>
    <w:rsid w:val="00015AF4"/>
    <w:rsid w:val="00017B67"/>
    <w:rsid w:val="000216AD"/>
    <w:rsid w:val="00021CF7"/>
    <w:rsid w:val="00025297"/>
    <w:rsid w:val="0003108B"/>
    <w:rsid w:val="000354F3"/>
    <w:rsid w:val="00035A94"/>
    <w:rsid w:val="00037662"/>
    <w:rsid w:val="00041DFB"/>
    <w:rsid w:val="00042724"/>
    <w:rsid w:val="000432C7"/>
    <w:rsid w:val="000439AF"/>
    <w:rsid w:val="00046AC9"/>
    <w:rsid w:val="00053FF8"/>
    <w:rsid w:val="00062311"/>
    <w:rsid w:val="0006269A"/>
    <w:rsid w:val="00063FF4"/>
    <w:rsid w:val="00066267"/>
    <w:rsid w:val="00067625"/>
    <w:rsid w:val="0007488E"/>
    <w:rsid w:val="0008010A"/>
    <w:rsid w:val="00080AFC"/>
    <w:rsid w:val="000821C4"/>
    <w:rsid w:val="0009328C"/>
    <w:rsid w:val="00093544"/>
    <w:rsid w:val="00093774"/>
    <w:rsid w:val="00093C66"/>
    <w:rsid w:val="000973C6"/>
    <w:rsid w:val="000A217D"/>
    <w:rsid w:val="000A2B2A"/>
    <w:rsid w:val="000A6C89"/>
    <w:rsid w:val="000A6F7B"/>
    <w:rsid w:val="000A7327"/>
    <w:rsid w:val="000B3493"/>
    <w:rsid w:val="000B38F8"/>
    <w:rsid w:val="000B5A54"/>
    <w:rsid w:val="000B64C8"/>
    <w:rsid w:val="000B6A58"/>
    <w:rsid w:val="000C3EA4"/>
    <w:rsid w:val="000C5300"/>
    <w:rsid w:val="000C6314"/>
    <w:rsid w:val="000D432E"/>
    <w:rsid w:val="000D4FE8"/>
    <w:rsid w:val="000D5CC3"/>
    <w:rsid w:val="000E022E"/>
    <w:rsid w:val="000E3D9D"/>
    <w:rsid w:val="000E7D73"/>
    <w:rsid w:val="000E7DAF"/>
    <w:rsid w:val="000F3C5A"/>
    <w:rsid w:val="000F3CBA"/>
    <w:rsid w:val="000F5B62"/>
    <w:rsid w:val="000F672F"/>
    <w:rsid w:val="00100BF2"/>
    <w:rsid w:val="0010462D"/>
    <w:rsid w:val="00105BBC"/>
    <w:rsid w:val="001100BC"/>
    <w:rsid w:val="001102FA"/>
    <w:rsid w:val="00113B66"/>
    <w:rsid w:val="001141DE"/>
    <w:rsid w:val="00114355"/>
    <w:rsid w:val="001162C3"/>
    <w:rsid w:val="00121915"/>
    <w:rsid w:val="001233E8"/>
    <w:rsid w:val="001255DF"/>
    <w:rsid w:val="001268D1"/>
    <w:rsid w:val="00130B0A"/>
    <w:rsid w:val="00130F07"/>
    <w:rsid w:val="001354F8"/>
    <w:rsid w:val="00136CA1"/>
    <w:rsid w:val="00137E4F"/>
    <w:rsid w:val="0014145C"/>
    <w:rsid w:val="001441FB"/>
    <w:rsid w:val="00145406"/>
    <w:rsid w:val="00145A60"/>
    <w:rsid w:val="00150EF4"/>
    <w:rsid w:val="0015197D"/>
    <w:rsid w:val="00153CD6"/>
    <w:rsid w:val="001572DE"/>
    <w:rsid w:val="00157F8E"/>
    <w:rsid w:val="00160067"/>
    <w:rsid w:val="001621A5"/>
    <w:rsid w:val="001632CD"/>
    <w:rsid w:val="00166CF1"/>
    <w:rsid w:val="001704F8"/>
    <w:rsid w:val="00170FB1"/>
    <w:rsid w:val="00171E2C"/>
    <w:rsid w:val="00171FB8"/>
    <w:rsid w:val="00177EB3"/>
    <w:rsid w:val="00184C1B"/>
    <w:rsid w:val="001874EA"/>
    <w:rsid w:val="00190CB2"/>
    <w:rsid w:val="00191695"/>
    <w:rsid w:val="001973BD"/>
    <w:rsid w:val="001A2E59"/>
    <w:rsid w:val="001A307D"/>
    <w:rsid w:val="001A3601"/>
    <w:rsid w:val="001A7F4F"/>
    <w:rsid w:val="001B1866"/>
    <w:rsid w:val="001B3216"/>
    <w:rsid w:val="001B40B0"/>
    <w:rsid w:val="001B5F22"/>
    <w:rsid w:val="001B638C"/>
    <w:rsid w:val="001C00CB"/>
    <w:rsid w:val="001C1E82"/>
    <w:rsid w:val="001C229D"/>
    <w:rsid w:val="001C5A9D"/>
    <w:rsid w:val="001C70DD"/>
    <w:rsid w:val="001D38F3"/>
    <w:rsid w:val="001D3C65"/>
    <w:rsid w:val="001D5280"/>
    <w:rsid w:val="001D5A1F"/>
    <w:rsid w:val="001D73B1"/>
    <w:rsid w:val="001D78A9"/>
    <w:rsid w:val="001D7D3D"/>
    <w:rsid w:val="001E2AD9"/>
    <w:rsid w:val="001E3C72"/>
    <w:rsid w:val="001F3CA3"/>
    <w:rsid w:val="001F50EF"/>
    <w:rsid w:val="001F5EAB"/>
    <w:rsid w:val="002002DB"/>
    <w:rsid w:val="00200303"/>
    <w:rsid w:val="002007BD"/>
    <w:rsid w:val="00202A24"/>
    <w:rsid w:val="00203A55"/>
    <w:rsid w:val="00203F5D"/>
    <w:rsid w:val="002056ED"/>
    <w:rsid w:val="0020674A"/>
    <w:rsid w:val="00207080"/>
    <w:rsid w:val="002072EC"/>
    <w:rsid w:val="002112EA"/>
    <w:rsid w:val="00212950"/>
    <w:rsid w:val="00212F14"/>
    <w:rsid w:val="002144CD"/>
    <w:rsid w:val="00215362"/>
    <w:rsid w:val="002209E9"/>
    <w:rsid w:val="0022497A"/>
    <w:rsid w:val="002264CD"/>
    <w:rsid w:val="0023374E"/>
    <w:rsid w:val="00233872"/>
    <w:rsid w:val="00235970"/>
    <w:rsid w:val="00236B19"/>
    <w:rsid w:val="00236E91"/>
    <w:rsid w:val="00243AB8"/>
    <w:rsid w:val="002443BC"/>
    <w:rsid w:val="00247123"/>
    <w:rsid w:val="0024796C"/>
    <w:rsid w:val="002505E2"/>
    <w:rsid w:val="00256CCE"/>
    <w:rsid w:val="00261EAF"/>
    <w:rsid w:val="00262679"/>
    <w:rsid w:val="00263028"/>
    <w:rsid w:val="002638F9"/>
    <w:rsid w:val="00263E80"/>
    <w:rsid w:val="0026553C"/>
    <w:rsid w:val="00267FD2"/>
    <w:rsid w:val="002738EC"/>
    <w:rsid w:val="0027477D"/>
    <w:rsid w:val="002747AD"/>
    <w:rsid w:val="002766A1"/>
    <w:rsid w:val="002814D0"/>
    <w:rsid w:val="00281B78"/>
    <w:rsid w:val="002838F7"/>
    <w:rsid w:val="0028692E"/>
    <w:rsid w:val="002908DD"/>
    <w:rsid w:val="00291DCF"/>
    <w:rsid w:val="0029255A"/>
    <w:rsid w:val="00293DE4"/>
    <w:rsid w:val="002A0041"/>
    <w:rsid w:val="002A7F72"/>
    <w:rsid w:val="002B288C"/>
    <w:rsid w:val="002B343E"/>
    <w:rsid w:val="002B5829"/>
    <w:rsid w:val="002B603A"/>
    <w:rsid w:val="002B66B7"/>
    <w:rsid w:val="002C06E5"/>
    <w:rsid w:val="002C0EC6"/>
    <w:rsid w:val="002C474A"/>
    <w:rsid w:val="002C5149"/>
    <w:rsid w:val="002C5FE0"/>
    <w:rsid w:val="002D3C4B"/>
    <w:rsid w:val="002D6EDA"/>
    <w:rsid w:val="002E2D9D"/>
    <w:rsid w:val="002E3E9B"/>
    <w:rsid w:val="002E7399"/>
    <w:rsid w:val="002F0314"/>
    <w:rsid w:val="002F0BD0"/>
    <w:rsid w:val="002F3041"/>
    <w:rsid w:val="002F34CC"/>
    <w:rsid w:val="002F3A49"/>
    <w:rsid w:val="002F6BD5"/>
    <w:rsid w:val="0030148D"/>
    <w:rsid w:val="00301EC5"/>
    <w:rsid w:val="00301F56"/>
    <w:rsid w:val="0030390E"/>
    <w:rsid w:val="003064F2"/>
    <w:rsid w:val="00310613"/>
    <w:rsid w:val="00311178"/>
    <w:rsid w:val="00311843"/>
    <w:rsid w:val="00314286"/>
    <w:rsid w:val="00314BFD"/>
    <w:rsid w:val="00315EBA"/>
    <w:rsid w:val="00320582"/>
    <w:rsid w:val="003225E0"/>
    <w:rsid w:val="00323FDE"/>
    <w:rsid w:val="00325940"/>
    <w:rsid w:val="00332513"/>
    <w:rsid w:val="00332CB1"/>
    <w:rsid w:val="00333E50"/>
    <w:rsid w:val="003344F1"/>
    <w:rsid w:val="00335539"/>
    <w:rsid w:val="00336039"/>
    <w:rsid w:val="0033641F"/>
    <w:rsid w:val="00336941"/>
    <w:rsid w:val="00343995"/>
    <w:rsid w:val="003448E7"/>
    <w:rsid w:val="00345798"/>
    <w:rsid w:val="003465F0"/>
    <w:rsid w:val="0035023B"/>
    <w:rsid w:val="00350684"/>
    <w:rsid w:val="00350AA5"/>
    <w:rsid w:val="003517C8"/>
    <w:rsid w:val="00353ED8"/>
    <w:rsid w:val="003560CF"/>
    <w:rsid w:val="003571A2"/>
    <w:rsid w:val="00357704"/>
    <w:rsid w:val="00361B3A"/>
    <w:rsid w:val="00364622"/>
    <w:rsid w:val="00367310"/>
    <w:rsid w:val="00374261"/>
    <w:rsid w:val="00374EC1"/>
    <w:rsid w:val="003815AF"/>
    <w:rsid w:val="00382AF1"/>
    <w:rsid w:val="00387143"/>
    <w:rsid w:val="003901FB"/>
    <w:rsid w:val="00396293"/>
    <w:rsid w:val="003A104D"/>
    <w:rsid w:val="003A1B36"/>
    <w:rsid w:val="003A2F01"/>
    <w:rsid w:val="003A6C50"/>
    <w:rsid w:val="003A6FC8"/>
    <w:rsid w:val="003A7F72"/>
    <w:rsid w:val="003B4F87"/>
    <w:rsid w:val="003B7B61"/>
    <w:rsid w:val="003C0261"/>
    <w:rsid w:val="003C5D08"/>
    <w:rsid w:val="003C6F17"/>
    <w:rsid w:val="003D02B8"/>
    <w:rsid w:val="003D2F17"/>
    <w:rsid w:val="003D49B4"/>
    <w:rsid w:val="003D7B53"/>
    <w:rsid w:val="003E0E4F"/>
    <w:rsid w:val="003E14FC"/>
    <w:rsid w:val="003E19D3"/>
    <w:rsid w:val="003E3520"/>
    <w:rsid w:val="003E3C67"/>
    <w:rsid w:val="003E72AA"/>
    <w:rsid w:val="003E7E95"/>
    <w:rsid w:val="003F073D"/>
    <w:rsid w:val="003F4EDC"/>
    <w:rsid w:val="003F5089"/>
    <w:rsid w:val="003F7F7D"/>
    <w:rsid w:val="00403895"/>
    <w:rsid w:val="00403B92"/>
    <w:rsid w:val="00405300"/>
    <w:rsid w:val="00405583"/>
    <w:rsid w:val="00405702"/>
    <w:rsid w:val="0040634B"/>
    <w:rsid w:val="00406FE8"/>
    <w:rsid w:val="00412F1C"/>
    <w:rsid w:val="00412F98"/>
    <w:rsid w:val="00414A52"/>
    <w:rsid w:val="00416F45"/>
    <w:rsid w:val="00421EBB"/>
    <w:rsid w:val="00424BF9"/>
    <w:rsid w:val="00426291"/>
    <w:rsid w:val="00427804"/>
    <w:rsid w:val="0043035F"/>
    <w:rsid w:val="00433464"/>
    <w:rsid w:val="00437B73"/>
    <w:rsid w:val="00440F35"/>
    <w:rsid w:val="00445587"/>
    <w:rsid w:val="004456C9"/>
    <w:rsid w:val="00450314"/>
    <w:rsid w:val="00452372"/>
    <w:rsid w:val="00453464"/>
    <w:rsid w:val="0045517D"/>
    <w:rsid w:val="0045670A"/>
    <w:rsid w:val="00456BB5"/>
    <w:rsid w:val="00460535"/>
    <w:rsid w:val="00462386"/>
    <w:rsid w:val="004633BA"/>
    <w:rsid w:val="004655DD"/>
    <w:rsid w:val="004677CC"/>
    <w:rsid w:val="004737BB"/>
    <w:rsid w:val="00475B06"/>
    <w:rsid w:val="00477431"/>
    <w:rsid w:val="00480A59"/>
    <w:rsid w:val="004833CA"/>
    <w:rsid w:val="004904F7"/>
    <w:rsid w:val="0049185B"/>
    <w:rsid w:val="00495222"/>
    <w:rsid w:val="004A2470"/>
    <w:rsid w:val="004A34AF"/>
    <w:rsid w:val="004B0D70"/>
    <w:rsid w:val="004B2588"/>
    <w:rsid w:val="004B395E"/>
    <w:rsid w:val="004B414A"/>
    <w:rsid w:val="004B5233"/>
    <w:rsid w:val="004C0075"/>
    <w:rsid w:val="004C1E46"/>
    <w:rsid w:val="004C3262"/>
    <w:rsid w:val="004C3EA7"/>
    <w:rsid w:val="004E283F"/>
    <w:rsid w:val="004E4E65"/>
    <w:rsid w:val="004E6003"/>
    <w:rsid w:val="004E6224"/>
    <w:rsid w:val="004F076B"/>
    <w:rsid w:val="004F5467"/>
    <w:rsid w:val="005008E4"/>
    <w:rsid w:val="0050563E"/>
    <w:rsid w:val="00506343"/>
    <w:rsid w:val="00507880"/>
    <w:rsid w:val="00514BD2"/>
    <w:rsid w:val="00516B46"/>
    <w:rsid w:val="00524050"/>
    <w:rsid w:val="00524618"/>
    <w:rsid w:val="00524B6D"/>
    <w:rsid w:val="005276B7"/>
    <w:rsid w:val="00533EE4"/>
    <w:rsid w:val="00542171"/>
    <w:rsid w:val="005422C4"/>
    <w:rsid w:val="0054346B"/>
    <w:rsid w:val="00543A16"/>
    <w:rsid w:val="00544F0E"/>
    <w:rsid w:val="00546D89"/>
    <w:rsid w:val="005618E5"/>
    <w:rsid w:val="00566252"/>
    <w:rsid w:val="00566843"/>
    <w:rsid w:val="00571C3F"/>
    <w:rsid w:val="005747A0"/>
    <w:rsid w:val="00575768"/>
    <w:rsid w:val="0057698B"/>
    <w:rsid w:val="00576A9C"/>
    <w:rsid w:val="005811BF"/>
    <w:rsid w:val="0058393C"/>
    <w:rsid w:val="005846E0"/>
    <w:rsid w:val="0058632B"/>
    <w:rsid w:val="0059310D"/>
    <w:rsid w:val="00594A06"/>
    <w:rsid w:val="005953A6"/>
    <w:rsid w:val="00597A1D"/>
    <w:rsid w:val="005A1341"/>
    <w:rsid w:val="005A271E"/>
    <w:rsid w:val="005A2986"/>
    <w:rsid w:val="005A3B2E"/>
    <w:rsid w:val="005A5DD3"/>
    <w:rsid w:val="005B0E51"/>
    <w:rsid w:val="005B0F69"/>
    <w:rsid w:val="005B104C"/>
    <w:rsid w:val="005B1484"/>
    <w:rsid w:val="005B3AEB"/>
    <w:rsid w:val="005B5E4B"/>
    <w:rsid w:val="005C31CF"/>
    <w:rsid w:val="005C3D33"/>
    <w:rsid w:val="005D06B7"/>
    <w:rsid w:val="005D159F"/>
    <w:rsid w:val="005D2566"/>
    <w:rsid w:val="005D48AA"/>
    <w:rsid w:val="005D5D8F"/>
    <w:rsid w:val="005D6B1C"/>
    <w:rsid w:val="005D7DD3"/>
    <w:rsid w:val="005E1539"/>
    <w:rsid w:val="005E1648"/>
    <w:rsid w:val="005E2F92"/>
    <w:rsid w:val="005E3EF8"/>
    <w:rsid w:val="005E5038"/>
    <w:rsid w:val="005F2420"/>
    <w:rsid w:val="005F268C"/>
    <w:rsid w:val="005F4DC0"/>
    <w:rsid w:val="005F5C99"/>
    <w:rsid w:val="005F5CD8"/>
    <w:rsid w:val="005F66B1"/>
    <w:rsid w:val="00601326"/>
    <w:rsid w:val="0060279B"/>
    <w:rsid w:val="00606E68"/>
    <w:rsid w:val="00611193"/>
    <w:rsid w:val="00612127"/>
    <w:rsid w:val="00613830"/>
    <w:rsid w:val="006165F2"/>
    <w:rsid w:val="00616BD0"/>
    <w:rsid w:val="0062251E"/>
    <w:rsid w:val="006260EF"/>
    <w:rsid w:val="00633722"/>
    <w:rsid w:val="00634F75"/>
    <w:rsid w:val="0064076F"/>
    <w:rsid w:val="00646C2F"/>
    <w:rsid w:val="00650B34"/>
    <w:rsid w:val="00652B19"/>
    <w:rsid w:val="00653056"/>
    <w:rsid w:val="006562BF"/>
    <w:rsid w:val="00661728"/>
    <w:rsid w:val="006662CB"/>
    <w:rsid w:val="006667F8"/>
    <w:rsid w:val="006742AD"/>
    <w:rsid w:val="00675A05"/>
    <w:rsid w:val="006764C1"/>
    <w:rsid w:val="0068141C"/>
    <w:rsid w:val="00681EF2"/>
    <w:rsid w:val="00686673"/>
    <w:rsid w:val="006872D3"/>
    <w:rsid w:val="00687C97"/>
    <w:rsid w:val="00690BDC"/>
    <w:rsid w:val="006A120A"/>
    <w:rsid w:val="006A236F"/>
    <w:rsid w:val="006A23C7"/>
    <w:rsid w:val="006A302C"/>
    <w:rsid w:val="006A3685"/>
    <w:rsid w:val="006A452D"/>
    <w:rsid w:val="006A7411"/>
    <w:rsid w:val="006B07A3"/>
    <w:rsid w:val="006B0A60"/>
    <w:rsid w:val="006B16D5"/>
    <w:rsid w:val="006B270C"/>
    <w:rsid w:val="006B5148"/>
    <w:rsid w:val="006B7EF8"/>
    <w:rsid w:val="006C145B"/>
    <w:rsid w:val="006C21C6"/>
    <w:rsid w:val="006D0372"/>
    <w:rsid w:val="006D280C"/>
    <w:rsid w:val="006D4003"/>
    <w:rsid w:val="006E1B88"/>
    <w:rsid w:val="006F2C51"/>
    <w:rsid w:val="006F357C"/>
    <w:rsid w:val="007000CF"/>
    <w:rsid w:val="0070052E"/>
    <w:rsid w:val="0070205E"/>
    <w:rsid w:val="0070398F"/>
    <w:rsid w:val="00703DD7"/>
    <w:rsid w:val="00704DE0"/>
    <w:rsid w:val="00705328"/>
    <w:rsid w:val="00711BB2"/>
    <w:rsid w:val="00713AE8"/>
    <w:rsid w:val="0071542F"/>
    <w:rsid w:val="00717480"/>
    <w:rsid w:val="00720F98"/>
    <w:rsid w:val="00721581"/>
    <w:rsid w:val="007269DF"/>
    <w:rsid w:val="007274A2"/>
    <w:rsid w:val="00730D31"/>
    <w:rsid w:val="007311B8"/>
    <w:rsid w:val="00731CF5"/>
    <w:rsid w:val="0073278A"/>
    <w:rsid w:val="00732798"/>
    <w:rsid w:val="00732810"/>
    <w:rsid w:val="0073317A"/>
    <w:rsid w:val="007375D5"/>
    <w:rsid w:val="00737CB2"/>
    <w:rsid w:val="0074018F"/>
    <w:rsid w:val="00742BC6"/>
    <w:rsid w:val="00743BEC"/>
    <w:rsid w:val="00750695"/>
    <w:rsid w:val="007559E2"/>
    <w:rsid w:val="0075616A"/>
    <w:rsid w:val="00765B0D"/>
    <w:rsid w:val="007670A9"/>
    <w:rsid w:val="0077452C"/>
    <w:rsid w:val="00776F00"/>
    <w:rsid w:val="00776F41"/>
    <w:rsid w:val="00783878"/>
    <w:rsid w:val="007865D0"/>
    <w:rsid w:val="00787B79"/>
    <w:rsid w:val="007A0652"/>
    <w:rsid w:val="007A140C"/>
    <w:rsid w:val="007A33AB"/>
    <w:rsid w:val="007B4D15"/>
    <w:rsid w:val="007B663D"/>
    <w:rsid w:val="007B66AE"/>
    <w:rsid w:val="007B6AB4"/>
    <w:rsid w:val="007B7D76"/>
    <w:rsid w:val="007C04E8"/>
    <w:rsid w:val="007C1336"/>
    <w:rsid w:val="007C347E"/>
    <w:rsid w:val="007C3CAF"/>
    <w:rsid w:val="007C7149"/>
    <w:rsid w:val="007D023C"/>
    <w:rsid w:val="007D0871"/>
    <w:rsid w:val="007D0F46"/>
    <w:rsid w:val="007D32F7"/>
    <w:rsid w:val="007D57F5"/>
    <w:rsid w:val="007D6604"/>
    <w:rsid w:val="007D67D7"/>
    <w:rsid w:val="007E013E"/>
    <w:rsid w:val="007E1BD9"/>
    <w:rsid w:val="007E5C51"/>
    <w:rsid w:val="007F5146"/>
    <w:rsid w:val="008007C7"/>
    <w:rsid w:val="00800AFC"/>
    <w:rsid w:val="0080732D"/>
    <w:rsid w:val="00815881"/>
    <w:rsid w:val="00815DCB"/>
    <w:rsid w:val="0081625C"/>
    <w:rsid w:val="00821058"/>
    <w:rsid w:val="008219D1"/>
    <w:rsid w:val="008307D2"/>
    <w:rsid w:val="00831B4C"/>
    <w:rsid w:val="00835DC8"/>
    <w:rsid w:val="008362E1"/>
    <w:rsid w:val="0084572E"/>
    <w:rsid w:val="00851855"/>
    <w:rsid w:val="008578AB"/>
    <w:rsid w:val="00862271"/>
    <w:rsid w:val="00865ADE"/>
    <w:rsid w:val="0086648C"/>
    <w:rsid w:val="00872DD2"/>
    <w:rsid w:val="00874A1F"/>
    <w:rsid w:val="00876F98"/>
    <w:rsid w:val="008773C2"/>
    <w:rsid w:val="00880BC4"/>
    <w:rsid w:val="008848B8"/>
    <w:rsid w:val="0088534E"/>
    <w:rsid w:val="00887319"/>
    <w:rsid w:val="008936C4"/>
    <w:rsid w:val="00894867"/>
    <w:rsid w:val="00895721"/>
    <w:rsid w:val="00895D40"/>
    <w:rsid w:val="00896600"/>
    <w:rsid w:val="00897954"/>
    <w:rsid w:val="00897DF9"/>
    <w:rsid w:val="008A3C47"/>
    <w:rsid w:val="008A3E05"/>
    <w:rsid w:val="008A4E0B"/>
    <w:rsid w:val="008B037A"/>
    <w:rsid w:val="008B093E"/>
    <w:rsid w:val="008B5370"/>
    <w:rsid w:val="008B5495"/>
    <w:rsid w:val="008B7A88"/>
    <w:rsid w:val="008C0AD5"/>
    <w:rsid w:val="008C6E90"/>
    <w:rsid w:val="008D0714"/>
    <w:rsid w:val="008D150D"/>
    <w:rsid w:val="008D5F0B"/>
    <w:rsid w:val="008F0BD0"/>
    <w:rsid w:val="008F7558"/>
    <w:rsid w:val="008F7807"/>
    <w:rsid w:val="00900AC1"/>
    <w:rsid w:val="00900DE0"/>
    <w:rsid w:val="00901024"/>
    <w:rsid w:val="00901317"/>
    <w:rsid w:val="00904A00"/>
    <w:rsid w:val="00912FB4"/>
    <w:rsid w:val="00916059"/>
    <w:rsid w:val="009202F8"/>
    <w:rsid w:val="00922A8F"/>
    <w:rsid w:val="009243BE"/>
    <w:rsid w:val="00927DA0"/>
    <w:rsid w:val="00932C4B"/>
    <w:rsid w:val="00943733"/>
    <w:rsid w:val="00944607"/>
    <w:rsid w:val="0095051D"/>
    <w:rsid w:val="00951B92"/>
    <w:rsid w:val="00953422"/>
    <w:rsid w:val="0095454C"/>
    <w:rsid w:val="00961114"/>
    <w:rsid w:val="0096118F"/>
    <w:rsid w:val="00965665"/>
    <w:rsid w:val="00970D57"/>
    <w:rsid w:val="0097542B"/>
    <w:rsid w:val="009775B1"/>
    <w:rsid w:val="009815E6"/>
    <w:rsid w:val="00982F2D"/>
    <w:rsid w:val="009855ED"/>
    <w:rsid w:val="00986544"/>
    <w:rsid w:val="0098684C"/>
    <w:rsid w:val="00992E91"/>
    <w:rsid w:val="00997377"/>
    <w:rsid w:val="00997F5B"/>
    <w:rsid w:val="009A4483"/>
    <w:rsid w:val="009B0459"/>
    <w:rsid w:val="009B05F1"/>
    <w:rsid w:val="009B07E5"/>
    <w:rsid w:val="009B09A7"/>
    <w:rsid w:val="009B21B8"/>
    <w:rsid w:val="009B2E29"/>
    <w:rsid w:val="009B30F4"/>
    <w:rsid w:val="009B3110"/>
    <w:rsid w:val="009B35E3"/>
    <w:rsid w:val="009B538E"/>
    <w:rsid w:val="009B55A3"/>
    <w:rsid w:val="009B6DB9"/>
    <w:rsid w:val="009B6F33"/>
    <w:rsid w:val="009C0BA3"/>
    <w:rsid w:val="009C1E32"/>
    <w:rsid w:val="009C4F3C"/>
    <w:rsid w:val="009C50F6"/>
    <w:rsid w:val="009C5279"/>
    <w:rsid w:val="009C784B"/>
    <w:rsid w:val="009D1D42"/>
    <w:rsid w:val="009D3B39"/>
    <w:rsid w:val="009D3EB2"/>
    <w:rsid w:val="009D5EA9"/>
    <w:rsid w:val="009D670E"/>
    <w:rsid w:val="009E52E5"/>
    <w:rsid w:val="009F15EE"/>
    <w:rsid w:val="009F3B4F"/>
    <w:rsid w:val="009F56BD"/>
    <w:rsid w:val="009F5A66"/>
    <w:rsid w:val="00A00AA9"/>
    <w:rsid w:val="00A01456"/>
    <w:rsid w:val="00A04A53"/>
    <w:rsid w:val="00A0500B"/>
    <w:rsid w:val="00A155C7"/>
    <w:rsid w:val="00A1596D"/>
    <w:rsid w:val="00A15F6F"/>
    <w:rsid w:val="00A208BE"/>
    <w:rsid w:val="00A2139B"/>
    <w:rsid w:val="00A2389D"/>
    <w:rsid w:val="00A24420"/>
    <w:rsid w:val="00A252EF"/>
    <w:rsid w:val="00A36108"/>
    <w:rsid w:val="00A40022"/>
    <w:rsid w:val="00A41AD1"/>
    <w:rsid w:val="00A442E4"/>
    <w:rsid w:val="00A47D89"/>
    <w:rsid w:val="00A5149B"/>
    <w:rsid w:val="00A52D23"/>
    <w:rsid w:val="00A547CD"/>
    <w:rsid w:val="00A561D3"/>
    <w:rsid w:val="00A5714D"/>
    <w:rsid w:val="00A57AB4"/>
    <w:rsid w:val="00A671FD"/>
    <w:rsid w:val="00A67AE0"/>
    <w:rsid w:val="00A70185"/>
    <w:rsid w:val="00A704EE"/>
    <w:rsid w:val="00A7107F"/>
    <w:rsid w:val="00A7176D"/>
    <w:rsid w:val="00A71F18"/>
    <w:rsid w:val="00A73436"/>
    <w:rsid w:val="00A75414"/>
    <w:rsid w:val="00A76438"/>
    <w:rsid w:val="00A766DC"/>
    <w:rsid w:val="00A7694F"/>
    <w:rsid w:val="00A856F4"/>
    <w:rsid w:val="00A85D2C"/>
    <w:rsid w:val="00A85F52"/>
    <w:rsid w:val="00A867E2"/>
    <w:rsid w:val="00A874E9"/>
    <w:rsid w:val="00A93B0E"/>
    <w:rsid w:val="00A9719A"/>
    <w:rsid w:val="00A97BBB"/>
    <w:rsid w:val="00A97C7E"/>
    <w:rsid w:val="00AA0978"/>
    <w:rsid w:val="00AA0DCA"/>
    <w:rsid w:val="00AA2596"/>
    <w:rsid w:val="00AA31A3"/>
    <w:rsid w:val="00AA392A"/>
    <w:rsid w:val="00AA67C3"/>
    <w:rsid w:val="00AA6965"/>
    <w:rsid w:val="00AB143E"/>
    <w:rsid w:val="00AB193A"/>
    <w:rsid w:val="00AB5272"/>
    <w:rsid w:val="00AB640B"/>
    <w:rsid w:val="00AB6646"/>
    <w:rsid w:val="00AB7C2F"/>
    <w:rsid w:val="00AC2744"/>
    <w:rsid w:val="00AC524D"/>
    <w:rsid w:val="00AC595C"/>
    <w:rsid w:val="00AC6535"/>
    <w:rsid w:val="00AC782B"/>
    <w:rsid w:val="00AD0778"/>
    <w:rsid w:val="00AD0CAD"/>
    <w:rsid w:val="00AD22B2"/>
    <w:rsid w:val="00AD4B76"/>
    <w:rsid w:val="00AD5644"/>
    <w:rsid w:val="00AE300C"/>
    <w:rsid w:val="00AE4772"/>
    <w:rsid w:val="00AE7F1D"/>
    <w:rsid w:val="00AF0624"/>
    <w:rsid w:val="00AF2B60"/>
    <w:rsid w:val="00AF527C"/>
    <w:rsid w:val="00AF576A"/>
    <w:rsid w:val="00AF6745"/>
    <w:rsid w:val="00AF6ABA"/>
    <w:rsid w:val="00B014B8"/>
    <w:rsid w:val="00B01C64"/>
    <w:rsid w:val="00B02008"/>
    <w:rsid w:val="00B15218"/>
    <w:rsid w:val="00B172C0"/>
    <w:rsid w:val="00B24EFA"/>
    <w:rsid w:val="00B2521A"/>
    <w:rsid w:val="00B25902"/>
    <w:rsid w:val="00B2791E"/>
    <w:rsid w:val="00B30B9D"/>
    <w:rsid w:val="00B312D4"/>
    <w:rsid w:val="00B32B2C"/>
    <w:rsid w:val="00B32DB2"/>
    <w:rsid w:val="00B355CB"/>
    <w:rsid w:val="00B35ABA"/>
    <w:rsid w:val="00B370DC"/>
    <w:rsid w:val="00B40E7E"/>
    <w:rsid w:val="00B43EB8"/>
    <w:rsid w:val="00B45F48"/>
    <w:rsid w:val="00B46310"/>
    <w:rsid w:val="00B476E0"/>
    <w:rsid w:val="00B47B71"/>
    <w:rsid w:val="00B53B09"/>
    <w:rsid w:val="00B56CDE"/>
    <w:rsid w:val="00B56D62"/>
    <w:rsid w:val="00B5758C"/>
    <w:rsid w:val="00B66AA7"/>
    <w:rsid w:val="00B70C58"/>
    <w:rsid w:val="00B7262D"/>
    <w:rsid w:val="00B740FA"/>
    <w:rsid w:val="00B74A5A"/>
    <w:rsid w:val="00B7533D"/>
    <w:rsid w:val="00B76B6E"/>
    <w:rsid w:val="00B8365C"/>
    <w:rsid w:val="00B83678"/>
    <w:rsid w:val="00B83AAC"/>
    <w:rsid w:val="00B84DBD"/>
    <w:rsid w:val="00B85681"/>
    <w:rsid w:val="00B869EC"/>
    <w:rsid w:val="00B9136E"/>
    <w:rsid w:val="00BA03B8"/>
    <w:rsid w:val="00BA2407"/>
    <w:rsid w:val="00BA2999"/>
    <w:rsid w:val="00BB38E1"/>
    <w:rsid w:val="00BB3D29"/>
    <w:rsid w:val="00BB3FF4"/>
    <w:rsid w:val="00BB4CC3"/>
    <w:rsid w:val="00BB6665"/>
    <w:rsid w:val="00BB6D6B"/>
    <w:rsid w:val="00BC134E"/>
    <w:rsid w:val="00BC30E1"/>
    <w:rsid w:val="00BC523B"/>
    <w:rsid w:val="00BC61BF"/>
    <w:rsid w:val="00BC6A89"/>
    <w:rsid w:val="00BD2E19"/>
    <w:rsid w:val="00BD4152"/>
    <w:rsid w:val="00BD6448"/>
    <w:rsid w:val="00BD7686"/>
    <w:rsid w:val="00BE033D"/>
    <w:rsid w:val="00BE1A36"/>
    <w:rsid w:val="00BE2F98"/>
    <w:rsid w:val="00BE5FC8"/>
    <w:rsid w:val="00BF13C3"/>
    <w:rsid w:val="00BF290C"/>
    <w:rsid w:val="00BF4846"/>
    <w:rsid w:val="00BF6434"/>
    <w:rsid w:val="00BF7B76"/>
    <w:rsid w:val="00C01062"/>
    <w:rsid w:val="00C10533"/>
    <w:rsid w:val="00C10C14"/>
    <w:rsid w:val="00C1180B"/>
    <w:rsid w:val="00C12555"/>
    <w:rsid w:val="00C14276"/>
    <w:rsid w:val="00C1455C"/>
    <w:rsid w:val="00C14AD5"/>
    <w:rsid w:val="00C155F7"/>
    <w:rsid w:val="00C158A3"/>
    <w:rsid w:val="00C20DFF"/>
    <w:rsid w:val="00C2268E"/>
    <w:rsid w:val="00C2351F"/>
    <w:rsid w:val="00C24402"/>
    <w:rsid w:val="00C255CB"/>
    <w:rsid w:val="00C25774"/>
    <w:rsid w:val="00C25DCE"/>
    <w:rsid w:val="00C2767A"/>
    <w:rsid w:val="00C3026A"/>
    <w:rsid w:val="00C3197D"/>
    <w:rsid w:val="00C319CD"/>
    <w:rsid w:val="00C32247"/>
    <w:rsid w:val="00C353FE"/>
    <w:rsid w:val="00C35523"/>
    <w:rsid w:val="00C37A83"/>
    <w:rsid w:val="00C37A8C"/>
    <w:rsid w:val="00C37C63"/>
    <w:rsid w:val="00C44274"/>
    <w:rsid w:val="00C4643F"/>
    <w:rsid w:val="00C50645"/>
    <w:rsid w:val="00C52D55"/>
    <w:rsid w:val="00C53D45"/>
    <w:rsid w:val="00C53D74"/>
    <w:rsid w:val="00C57ABF"/>
    <w:rsid w:val="00C64D1C"/>
    <w:rsid w:val="00C6546F"/>
    <w:rsid w:val="00C67EFF"/>
    <w:rsid w:val="00C71FED"/>
    <w:rsid w:val="00C72921"/>
    <w:rsid w:val="00C739D2"/>
    <w:rsid w:val="00C73D11"/>
    <w:rsid w:val="00C75D56"/>
    <w:rsid w:val="00C80D6C"/>
    <w:rsid w:val="00C82604"/>
    <w:rsid w:val="00C82798"/>
    <w:rsid w:val="00C82CD1"/>
    <w:rsid w:val="00C8618F"/>
    <w:rsid w:val="00C90A1B"/>
    <w:rsid w:val="00C91572"/>
    <w:rsid w:val="00C92687"/>
    <w:rsid w:val="00C92C12"/>
    <w:rsid w:val="00C95E32"/>
    <w:rsid w:val="00C97977"/>
    <w:rsid w:val="00CA19D2"/>
    <w:rsid w:val="00CA1E36"/>
    <w:rsid w:val="00CB2293"/>
    <w:rsid w:val="00CB6FF2"/>
    <w:rsid w:val="00CB7BD3"/>
    <w:rsid w:val="00CB7F15"/>
    <w:rsid w:val="00CC0CE1"/>
    <w:rsid w:val="00CC1827"/>
    <w:rsid w:val="00CC4E41"/>
    <w:rsid w:val="00CC5D75"/>
    <w:rsid w:val="00CC672E"/>
    <w:rsid w:val="00CD2562"/>
    <w:rsid w:val="00CE125F"/>
    <w:rsid w:val="00CE45E2"/>
    <w:rsid w:val="00CE6132"/>
    <w:rsid w:val="00CE6E46"/>
    <w:rsid w:val="00CF03F1"/>
    <w:rsid w:val="00CF04FB"/>
    <w:rsid w:val="00CF31EC"/>
    <w:rsid w:val="00CF44F1"/>
    <w:rsid w:val="00D04317"/>
    <w:rsid w:val="00D0510D"/>
    <w:rsid w:val="00D066EA"/>
    <w:rsid w:val="00D10569"/>
    <w:rsid w:val="00D13BF1"/>
    <w:rsid w:val="00D1748D"/>
    <w:rsid w:val="00D211C9"/>
    <w:rsid w:val="00D21B26"/>
    <w:rsid w:val="00D27997"/>
    <w:rsid w:val="00D308C5"/>
    <w:rsid w:val="00D31B79"/>
    <w:rsid w:val="00D33732"/>
    <w:rsid w:val="00D3536B"/>
    <w:rsid w:val="00D35BC6"/>
    <w:rsid w:val="00D40D6B"/>
    <w:rsid w:val="00D410F2"/>
    <w:rsid w:val="00D42277"/>
    <w:rsid w:val="00D425AF"/>
    <w:rsid w:val="00D427ED"/>
    <w:rsid w:val="00D45C2E"/>
    <w:rsid w:val="00D47D91"/>
    <w:rsid w:val="00D50236"/>
    <w:rsid w:val="00D52352"/>
    <w:rsid w:val="00D55DA9"/>
    <w:rsid w:val="00D56EAE"/>
    <w:rsid w:val="00D609A0"/>
    <w:rsid w:val="00D61EE0"/>
    <w:rsid w:val="00D62B9F"/>
    <w:rsid w:val="00D62D2A"/>
    <w:rsid w:val="00D66C1F"/>
    <w:rsid w:val="00D67DE4"/>
    <w:rsid w:val="00D71D42"/>
    <w:rsid w:val="00D7333C"/>
    <w:rsid w:val="00D74FD8"/>
    <w:rsid w:val="00D758EB"/>
    <w:rsid w:val="00D7616B"/>
    <w:rsid w:val="00D7627C"/>
    <w:rsid w:val="00D7701D"/>
    <w:rsid w:val="00D84272"/>
    <w:rsid w:val="00D905A7"/>
    <w:rsid w:val="00D90B40"/>
    <w:rsid w:val="00D91D36"/>
    <w:rsid w:val="00D970B0"/>
    <w:rsid w:val="00DA01D7"/>
    <w:rsid w:val="00DA03C9"/>
    <w:rsid w:val="00DA19D0"/>
    <w:rsid w:val="00DA1C1D"/>
    <w:rsid w:val="00DA3767"/>
    <w:rsid w:val="00DA3850"/>
    <w:rsid w:val="00DA3C3A"/>
    <w:rsid w:val="00DA4011"/>
    <w:rsid w:val="00DA5706"/>
    <w:rsid w:val="00DC6A7C"/>
    <w:rsid w:val="00DD7CED"/>
    <w:rsid w:val="00DE10F6"/>
    <w:rsid w:val="00DE2AE7"/>
    <w:rsid w:val="00DE2EED"/>
    <w:rsid w:val="00DE3FF8"/>
    <w:rsid w:val="00DE4305"/>
    <w:rsid w:val="00DE7B7B"/>
    <w:rsid w:val="00DF4CAB"/>
    <w:rsid w:val="00DF5210"/>
    <w:rsid w:val="00DF548E"/>
    <w:rsid w:val="00DF66F4"/>
    <w:rsid w:val="00E0308C"/>
    <w:rsid w:val="00E040A5"/>
    <w:rsid w:val="00E10274"/>
    <w:rsid w:val="00E1163B"/>
    <w:rsid w:val="00E130AB"/>
    <w:rsid w:val="00E14C18"/>
    <w:rsid w:val="00E173A5"/>
    <w:rsid w:val="00E21CD7"/>
    <w:rsid w:val="00E25501"/>
    <w:rsid w:val="00E25B63"/>
    <w:rsid w:val="00E316A7"/>
    <w:rsid w:val="00E33FA7"/>
    <w:rsid w:val="00E34C47"/>
    <w:rsid w:val="00E37DAD"/>
    <w:rsid w:val="00E44815"/>
    <w:rsid w:val="00E4586C"/>
    <w:rsid w:val="00E46EEA"/>
    <w:rsid w:val="00E473CE"/>
    <w:rsid w:val="00E4742D"/>
    <w:rsid w:val="00E5046D"/>
    <w:rsid w:val="00E51D80"/>
    <w:rsid w:val="00E5558B"/>
    <w:rsid w:val="00E603AE"/>
    <w:rsid w:val="00E6155E"/>
    <w:rsid w:val="00E62F12"/>
    <w:rsid w:val="00E64EC2"/>
    <w:rsid w:val="00E73088"/>
    <w:rsid w:val="00E73566"/>
    <w:rsid w:val="00E74C73"/>
    <w:rsid w:val="00E82587"/>
    <w:rsid w:val="00E82659"/>
    <w:rsid w:val="00E8479D"/>
    <w:rsid w:val="00E84E7F"/>
    <w:rsid w:val="00E86291"/>
    <w:rsid w:val="00E870E9"/>
    <w:rsid w:val="00E87B32"/>
    <w:rsid w:val="00E92763"/>
    <w:rsid w:val="00E93742"/>
    <w:rsid w:val="00E93849"/>
    <w:rsid w:val="00E9635B"/>
    <w:rsid w:val="00E96527"/>
    <w:rsid w:val="00EA1719"/>
    <w:rsid w:val="00EB0ED2"/>
    <w:rsid w:val="00EC269F"/>
    <w:rsid w:val="00EC4047"/>
    <w:rsid w:val="00EC418B"/>
    <w:rsid w:val="00EC4F41"/>
    <w:rsid w:val="00EC53D5"/>
    <w:rsid w:val="00EC563B"/>
    <w:rsid w:val="00EC5EE9"/>
    <w:rsid w:val="00EC664C"/>
    <w:rsid w:val="00EC6B6E"/>
    <w:rsid w:val="00ED3173"/>
    <w:rsid w:val="00ED61E6"/>
    <w:rsid w:val="00EE435F"/>
    <w:rsid w:val="00EE7D02"/>
    <w:rsid w:val="00EF32DC"/>
    <w:rsid w:val="00EF3C16"/>
    <w:rsid w:val="00EF3D1E"/>
    <w:rsid w:val="00EF4C66"/>
    <w:rsid w:val="00EF4E45"/>
    <w:rsid w:val="00EF5079"/>
    <w:rsid w:val="00EF6C19"/>
    <w:rsid w:val="00F037B4"/>
    <w:rsid w:val="00F10656"/>
    <w:rsid w:val="00F10B93"/>
    <w:rsid w:val="00F11B73"/>
    <w:rsid w:val="00F1663B"/>
    <w:rsid w:val="00F166A2"/>
    <w:rsid w:val="00F17FD2"/>
    <w:rsid w:val="00F223E1"/>
    <w:rsid w:val="00F2335E"/>
    <w:rsid w:val="00F2386E"/>
    <w:rsid w:val="00F3526B"/>
    <w:rsid w:val="00F3570C"/>
    <w:rsid w:val="00F359E3"/>
    <w:rsid w:val="00F36111"/>
    <w:rsid w:val="00F3771A"/>
    <w:rsid w:val="00F43780"/>
    <w:rsid w:val="00F439D3"/>
    <w:rsid w:val="00F46675"/>
    <w:rsid w:val="00F53437"/>
    <w:rsid w:val="00F65552"/>
    <w:rsid w:val="00F65554"/>
    <w:rsid w:val="00F65880"/>
    <w:rsid w:val="00F70078"/>
    <w:rsid w:val="00F73041"/>
    <w:rsid w:val="00F732FE"/>
    <w:rsid w:val="00F75F3E"/>
    <w:rsid w:val="00F76990"/>
    <w:rsid w:val="00F77D0B"/>
    <w:rsid w:val="00F812D3"/>
    <w:rsid w:val="00F864EA"/>
    <w:rsid w:val="00F865CC"/>
    <w:rsid w:val="00F90BE6"/>
    <w:rsid w:val="00F91911"/>
    <w:rsid w:val="00FA06DA"/>
    <w:rsid w:val="00FA302A"/>
    <w:rsid w:val="00FA3454"/>
    <w:rsid w:val="00FA4348"/>
    <w:rsid w:val="00FA5E48"/>
    <w:rsid w:val="00FB041F"/>
    <w:rsid w:val="00FB0BCE"/>
    <w:rsid w:val="00FB2072"/>
    <w:rsid w:val="00FC0A0C"/>
    <w:rsid w:val="00FC1A4A"/>
    <w:rsid w:val="00FC2B2B"/>
    <w:rsid w:val="00FC314B"/>
    <w:rsid w:val="00FC4AEE"/>
    <w:rsid w:val="00FC55C1"/>
    <w:rsid w:val="00FC64B9"/>
    <w:rsid w:val="00FD054C"/>
    <w:rsid w:val="00FD23BD"/>
    <w:rsid w:val="00FD2E69"/>
    <w:rsid w:val="00FD3768"/>
    <w:rsid w:val="00FD4AB0"/>
    <w:rsid w:val="00FD5BAB"/>
    <w:rsid w:val="00FE0959"/>
    <w:rsid w:val="00FE3B17"/>
    <w:rsid w:val="00FE4035"/>
    <w:rsid w:val="00FE5511"/>
    <w:rsid w:val="00FE7487"/>
    <w:rsid w:val="00FF0C1D"/>
    <w:rsid w:val="00FF11A4"/>
    <w:rsid w:val="00FF15D5"/>
    <w:rsid w:val="00FF4AFB"/>
    <w:rsid w:val="00FF5733"/>
    <w:rsid w:val="00FF64DC"/>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3A4B1-E786-43DA-8AEB-79E90D3A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AE"/>
    <w:rPr>
      <w:rFonts w:ascii="Arial" w:hAnsi="Arial" w:cs="Arial"/>
    </w:rPr>
  </w:style>
  <w:style w:type="paragraph" w:styleId="Heading1">
    <w:name w:val="heading 1"/>
    <w:basedOn w:val="Normal"/>
    <w:next w:val="Normal"/>
    <w:link w:val="Heading1Char"/>
    <w:uiPriority w:val="99"/>
    <w:qFormat/>
    <w:rsid w:val="002B5829"/>
    <w:pPr>
      <w:keepNext/>
      <w:numPr>
        <w:numId w:val="3"/>
      </w:numPr>
      <w:spacing w:before="240" w:after="480"/>
      <w:outlineLvl w:val="0"/>
    </w:pPr>
    <w:rPr>
      <w:b/>
      <w:bCs/>
      <w:kern w:val="32"/>
      <w:sz w:val="32"/>
      <w:szCs w:val="32"/>
    </w:rPr>
  </w:style>
  <w:style w:type="paragraph" w:styleId="Heading2">
    <w:name w:val="heading 2"/>
    <w:basedOn w:val="Normal"/>
    <w:next w:val="Normal"/>
    <w:link w:val="Heading2Char"/>
    <w:uiPriority w:val="99"/>
    <w:qFormat/>
    <w:rsid w:val="002B5829"/>
    <w:pPr>
      <w:keepNext/>
      <w:numPr>
        <w:ilvl w:val="1"/>
        <w:numId w:val="3"/>
      </w:numPr>
      <w:spacing w:before="480" w:after="120"/>
      <w:outlineLvl w:val="1"/>
    </w:pPr>
    <w:rPr>
      <w:b/>
      <w:bCs/>
      <w:iCs/>
      <w:sz w:val="28"/>
      <w:szCs w:val="28"/>
    </w:rPr>
  </w:style>
  <w:style w:type="paragraph" w:styleId="Heading3">
    <w:name w:val="heading 3"/>
    <w:basedOn w:val="Normal"/>
    <w:next w:val="Normal"/>
    <w:link w:val="Heading3Char"/>
    <w:uiPriority w:val="99"/>
    <w:qFormat/>
    <w:rsid w:val="002B5829"/>
    <w:pPr>
      <w:keepNext/>
      <w:numPr>
        <w:ilvl w:val="2"/>
        <w:numId w:val="3"/>
      </w:numPr>
      <w:spacing w:before="360" w:after="120"/>
      <w:outlineLvl w:val="2"/>
    </w:pPr>
    <w:rPr>
      <w:b/>
      <w:bCs/>
      <w:sz w:val="26"/>
      <w:szCs w:val="26"/>
    </w:rPr>
  </w:style>
  <w:style w:type="paragraph" w:styleId="Heading4">
    <w:name w:val="heading 4"/>
    <w:basedOn w:val="Normal"/>
    <w:next w:val="Normal"/>
    <w:link w:val="Heading4Char"/>
    <w:uiPriority w:val="99"/>
    <w:qFormat/>
    <w:rsid w:val="002B5829"/>
    <w:pPr>
      <w:keepNext/>
      <w:numPr>
        <w:ilvl w:val="3"/>
        <w:numId w:val="3"/>
      </w:numPr>
      <w:spacing w:before="240" w:after="60"/>
      <w:outlineLvl w:val="3"/>
    </w:pPr>
    <w:rPr>
      <w:b/>
      <w:bCs/>
      <w:szCs w:val="28"/>
    </w:rPr>
  </w:style>
  <w:style w:type="paragraph" w:styleId="Heading5">
    <w:name w:val="heading 5"/>
    <w:basedOn w:val="Normal"/>
    <w:next w:val="Normal"/>
    <w:link w:val="Heading5Char"/>
    <w:uiPriority w:val="99"/>
    <w:qFormat/>
    <w:rsid w:val="002B5829"/>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2B5829"/>
    <w:pPr>
      <w:numPr>
        <w:ilvl w:val="5"/>
        <w:numId w:val="3"/>
      </w:numPr>
      <w:spacing w:before="240" w:after="60"/>
      <w:outlineLvl w:val="5"/>
    </w:pPr>
    <w:rPr>
      <w:b/>
      <w:bCs/>
    </w:rPr>
  </w:style>
  <w:style w:type="paragraph" w:styleId="Heading7">
    <w:name w:val="heading 7"/>
    <w:basedOn w:val="Normal"/>
    <w:next w:val="Normal"/>
    <w:link w:val="Heading7Char"/>
    <w:uiPriority w:val="99"/>
    <w:qFormat/>
    <w:rsid w:val="002B5829"/>
    <w:pPr>
      <w:numPr>
        <w:ilvl w:val="6"/>
        <w:numId w:val="3"/>
      </w:numPr>
      <w:spacing w:before="240" w:after="60"/>
      <w:outlineLvl w:val="6"/>
    </w:pPr>
  </w:style>
  <w:style w:type="paragraph" w:styleId="Heading8">
    <w:name w:val="heading 8"/>
    <w:basedOn w:val="Normal"/>
    <w:next w:val="Normal"/>
    <w:link w:val="Heading8Char"/>
    <w:uiPriority w:val="99"/>
    <w:qFormat/>
    <w:rsid w:val="002B5829"/>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2B5829"/>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A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2B5829"/>
    <w:rPr>
      <w:rFonts w:ascii="Arial" w:hAnsi="Arial" w:cs="Arial"/>
      <w:b/>
      <w:bCs/>
      <w:iCs/>
      <w:sz w:val="28"/>
      <w:szCs w:val="28"/>
      <w:lang w:val="en-GB" w:eastAsia="en-GB" w:bidi="ar-SA"/>
    </w:rPr>
  </w:style>
  <w:style w:type="character" w:customStyle="1" w:styleId="Heading3Char">
    <w:name w:val="Heading 3 Char"/>
    <w:basedOn w:val="DefaultParagraphFont"/>
    <w:link w:val="Heading3"/>
    <w:uiPriority w:val="9"/>
    <w:semiHidden/>
    <w:rsid w:val="00244A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4A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4A5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4A5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4A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4A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44A50"/>
    <w:rPr>
      <w:rFonts w:asciiTheme="majorHAnsi" w:eastAsiaTheme="majorEastAsia" w:hAnsiTheme="majorHAnsi" w:cstheme="majorBidi"/>
    </w:rPr>
  </w:style>
  <w:style w:type="paragraph" w:customStyle="1" w:styleId="Style2">
    <w:name w:val="Style2"/>
    <w:basedOn w:val="Normal"/>
    <w:autoRedefine/>
    <w:uiPriority w:val="99"/>
    <w:rsid w:val="002B5829"/>
    <w:pPr>
      <w:numPr>
        <w:numId w:val="1"/>
      </w:numPr>
    </w:pPr>
    <w:rPr>
      <w:b/>
      <w:bCs/>
      <w:sz w:val="20"/>
      <w:szCs w:val="20"/>
    </w:rPr>
  </w:style>
  <w:style w:type="paragraph" w:customStyle="1" w:styleId="TOC1">
    <w:name w:val="TOC1"/>
    <w:basedOn w:val="TOC10"/>
    <w:autoRedefine/>
    <w:uiPriority w:val="99"/>
    <w:rsid w:val="002B5829"/>
    <w:rPr>
      <w:b w:val="0"/>
      <w:sz w:val="28"/>
      <w:szCs w:val="28"/>
      <w:lang w:val="en-US" w:eastAsia="en-US"/>
    </w:rPr>
  </w:style>
  <w:style w:type="paragraph" w:styleId="TOC10">
    <w:name w:val="toc 1"/>
    <w:basedOn w:val="Normal"/>
    <w:next w:val="Normal"/>
    <w:autoRedefine/>
    <w:uiPriority w:val="99"/>
    <w:semiHidden/>
    <w:rsid w:val="002B5829"/>
    <w:pPr>
      <w:tabs>
        <w:tab w:val="right" w:leader="dot" w:pos="8494"/>
      </w:tabs>
      <w:spacing w:line="360" w:lineRule="auto"/>
    </w:pPr>
    <w:rPr>
      <w:b/>
      <w:noProof/>
    </w:rPr>
  </w:style>
  <w:style w:type="paragraph" w:styleId="Header">
    <w:name w:val="header"/>
    <w:basedOn w:val="Normal"/>
    <w:link w:val="HeaderChar"/>
    <w:uiPriority w:val="99"/>
    <w:rsid w:val="002B5829"/>
    <w:pPr>
      <w:tabs>
        <w:tab w:val="center" w:pos="4153"/>
        <w:tab w:val="right" w:pos="8306"/>
      </w:tabs>
    </w:pPr>
  </w:style>
  <w:style w:type="character" w:customStyle="1" w:styleId="HeaderChar">
    <w:name w:val="Header Char"/>
    <w:basedOn w:val="DefaultParagraphFont"/>
    <w:link w:val="Header"/>
    <w:uiPriority w:val="99"/>
    <w:semiHidden/>
    <w:rsid w:val="00244A50"/>
    <w:rPr>
      <w:rFonts w:ascii="Arial" w:hAnsi="Arial" w:cs="Arial"/>
    </w:rPr>
  </w:style>
  <w:style w:type="paragraph" w:styleId="Footer">
    <w:name w:val="footer"/>
    <w:basedOn w:val="Normal"/>
    <w:link w:val="FooterChar"/>
    <w:uiPriority w:val="99"/>
    <w:rsid w:val="002B5829"/>
    <w:pPr>
      <w:tabs>
        <w:tab w:val="center" w:pos="4153"/>
        <w:tab w:val="right" w:pos="8306"/>
      </w:tabs>
    </w:pPr>
  </w:style>
  <w:style w:type="character" w:customStyle="1" w:styleId="FooterChar">
    <w:name w:val="Footer Char"/>
    <w:basedOn w:val="DefaultParagraphFont"/>
    <w:link w:val="Footer"/>
    <w:uiPriority w:val="99"/>
    <w:locked/>
    <w:rsid w:val="00003487"/>
    <w:rPr>
      <w:rFonts w:ascii="Arial" w:hAnsi="Arial" w:cs="Arial"/>
      <w:sz w:val="22"/>
      <w:szCs w:val="22"/>
    </w:rPr>
  </w:style>
  <w:style w:type="paragraph" w:customStyle="1" w:styleId="Referencetext">
    <w:name w:val="Reference text"/>
    <w:basedOn w:val="Normal"/>
    <w:uiPriority w:val="99"/>
    <w:rsid w:val="002B5829"/>
    <w:pPr>
      <w:overflowPunct w:val="0"/>
      <w:autoSpaceDE w:val="0"/>
      <w:autoSpaceDN w:val="0"/>
      <w:adjustRightInd w:val="0"/>
      <w:spacing w:line="220" w:lineRule="exact"/>
      <w:ind w:left="284" w:hanging="284"/>
      <w:jc w:val="both"/>
      <w:textAlignment w:val="baseline"/>
    </w:pPr>
    <w:rPr>
      <w:sz w:val="20"/>
      <w:szCs w:val="20"/>
      <w:lang w:eastAsia="en-US"/>
    </w:rPr>
  </w:style>
  <w:style w:type="character" w:styleId="PageNumber">
    <w:name w:val="page number"/>
    <w:basedOn w:val="DefaultParagraphFont"/>
    <w:uiPriority w:val="99"/>
    <w:rsid w:val="002B5829"/>
    <w:rPr>
      <w:rFonts w:cs="Times New Roman"/>
    </w:rPr>
  </w:style>
  <w:style w:type="paragraph" w:customStyle="1" w:styleId="BREbodytext">
    <w:name w:val="BRE body text"/>
    <w:basedOn w:val="Normal"/>
    <w:uiPriority w:val="99"/>
    <w:rsid w:val="002B5829"/>
    <w:pPr>
      <w:spacing w:after="180" w:line="260" w:lineRule="atLeast"/>
      <w:jc w:val="both"/>
    </w:pPr>
    <w:rPr>
      <w:sz w:val="20"/>
      <w:szCs w:val="20"/>
      <w:lang w:eastAsia="cs-CZ"/>
    </w:rPr>
  </w:style>
  <w:style w:type="paragraph" w:styleId="Caption">
    <w:name w:val="caption"/>
    <w:basedOn w:val="Normal"/>
    <w:next w:val="Normal"/>
    <w:uiPriority w:val="99"/>
    <w:qFormat/>
    <w:rsid w:val="002B5829"/>
    <w:rPr>
      <w:b/>
      <w:bCs/>
      <w:sz w:val="20"/>
      <w:szCs w:val="20"/>
    </w:rPr>
  </w:style>
  <w:style w:type="paragraph" w:customStyle="1" w:styleId="Firstparagraph">
    <w:name w:val="First paragraph"/>
    <w:basedOn w:val="Normal"/>
    <w:next w:val="Normal"/>
    <w:uiPriority w:val="99"/>
    <w:rsid w:val="002B5829"/>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
    <w:next w:val="Normal"/>
    <w:uiPriority w:val="99"/>
    <w:rsid w:val="002B5829"/>
    <w:pPr>
      <w:overflowPunct w:val="0"/>
      <w:autoSpaceDE w:val="0"/>
      <w:autoSpaceDN w:val="0"/>
      <w:adjustRightInd w:val="0"/>
      <w:jc w:val="both"/>
      <w:textAlignment w:val="baseline"/>
    </w:pPr>
    <w:rPr>
      <w:szCs w:val="20"/>
      <w:lang w:eastAsia="en-US"/>
    </w:rPr>
  </w:style>
  <w:style w:type="paragraph" w:customStyle="1" w:styleId="Tabletext">
    <w:name w:val="Table text"/>
    <w:basedOn w:val="Normal"/>
    <w:uiPriority w:val="99"/>
    <w:rsid w:val="002B5829"/>
    <w:pPr>
      <w:overflowPunct w:val="0"/>
      <w:autoSpaceDE w:val="0"/>
      <w:autoSpaceDN w:val="0"/>
      <w:adjustRightInd w:val="0"/>
      <w:spacing w:line="220" w:lineRule="exact"/>
      <w:textAlignment w:val="baseline"/>
    </w:pPr>
    <w:rPr>
      <w:sz w:val="20"/>
      <w:szCs w:val="20"/>
      <w:lang w:eastAsia="en-US"/>
    </w:rPr>
  </w:style>
  <w:style w:type="paragraph" w:customStyle="1" w:styleId="FigureCaption">
    <w:name w:val="FigureCaption"/>
    <w:basedOn w:val="Normal"/>
    <w:uiPriority w:val="99"/>
    <w:rsid w:val="002B5829"/>
    <w:pPr>
      <w:jc w:val="center"/>
    </w:pPr>
    <w:rPr>
      <w:sz w:val="20"/>
      <w:szCs w:val="32"/>
    </w:rPr>
  </w:style>
  <w:style w:type="paragraph" w:customStyle="1" w:styleId="Figurecaption0">
    <w:name w:val="Figure caption"/>
    <w:basedOn w:val="Normal"/>
    <w:next w:val="Normal"/>
    <w:uiPriority w:val="99"/>
    <w:rsid w:val="002B5829"/>
    <w:pPr>
      <w:overflowPunct w:val="0"/>
      <w:autoSpaceDE w:val="0"/>
      <w:autoSpaceDN w:val="0"/>
      <w:adjustRightInd w:val="0"/>
      <w:spacing w:line="220" w:lineRule="exact"/>
      <w:jc w:val="both"/>
      <w:textAlignment w:val="baseline"/>
    </w:pPr>
    <w:rPr>
      <w:sz w:val="20"/>
      <w:szCs w:val="20"/>
      <w:lang w:eastAsia="en-US"/>
    </w:rPr>
  </w:style>
  <w:style w:type="paragraph" w:customStyle="1" w:styleId="StyleHeading3Italic">
    <w:name w:val="Style Heading 3 + Italic"/>
    <w:basedOn w:val="Heading3"/>
    <w:link w:val="StyleHeading3ItalicChar"/>
    <w:autoRedefine/>
    <w:uiPriority w:val="99"/>
    <w:rsid w:val="002B5829"/>
    <w:pPr>
      <w:jc w:val="both"/>
    </w:pPr>
    <w:rPr>
      <w:b w:val="0"/>
      <w:bCs w:val="0"/>
      <w:i/>
      <w:iCs/>
      <w:sz w:val="22"/>
      <w:szCs w:val="22"/>
      <w:u w:val="single"/>
    </w:rPr>
  </w:style>
  <w:style w:type="character" w:customStyle="1" w:styleId="StyleHeading3ItalicChar">
    <w:name w:val="Style Heading 3 + Italic Char"/>
    <w:basedOn w:val="DefaultParagraphFont"/>
    <w:link w:val="StyleHeading3Italic"/>
    <w:uiPriority w:val="99"/>
    <w:locked/>
    <w:rsid w:val="002B5829"/>
    <w:rPr>
      <w:rFonts w:ascii="Arial" w:hAnsi="Arial" w:cs="Arial"/>
      <w:i/>
      <w:iCs/>
      <w:sz w:val="22"/>
      <w:szCs w:val="22"/>
      <w:u w:val="single"/>
      <w:lang w:val="en-GB" w:eastAsia="en-GB" w:bidi="ar-SA"/>
    </w:rPr>
  </w:style>
  <w:style w:type="paragraph" w:styleId="NormalWeb">
    <w:name w:val="Normal (Web)"/>
    <w:basedOn w:val="Normal"/>
    <w:uiPriority w:val="99"/>
    <w:rsid w:val="002B582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99"/>
    <w:qFormat/>
    <w:rsid w:val="002B5829"/>
    <w:rPr>
      <w:rFonts w:cs="Times New Roman"/>
      <w:i/>
      <w:iCs/>
    </w:rPr>
  </w:style>
  <w:style w:type="character" w:styleId="Strong">
    <w:name w:val="Strong"/>
    <w:basedOn w:val="DefaultParagraphFont"/>
    <w:uiPriority w:val="99"/>
    <w:qFormat/>
    <w:rsid w:val="002B5829"/>
    <w:rPr>
      <w:rFonts w:cs="Times New Roman"/>
      <w:b/>
      <w:bCs/>
    </w:rPr>
  </w:style>
  <w:style w:type="character" w:styleId="Hyperlink">
    <w:name w:val="Hyperlink"/>
    <w:basedOn w:val="DefaultParagraphFont"/>
    <w:uiPriority w:val="99"/>
    <w:rsid w:val="002B5829"/>
    <w:rPr>
      <w:rFonts w:cs="Times New Roman"/>
      <w:color w:val="0000FF"/>
      <w:u w:val="single"/>
    </w:rPr>
  </w:style>
  <w:style w:type="character" w:styleId="CommentReference">
    <w:name w:val="annotation reference"/>
    <w:basedOn w:val="DefaultParagraphFont"/>
    <w:uiPriority w:val="99"/>
    <w:semiHidden/>
    <w:rsid w:val="00EE435F"/>
    <w:rPr>
      <w:rFonts w:cs="Times New Roman"/>
      <w:sz w:val="16"/>
      <w:szCs w:val="16"/>
    </w:rPr>
  </w:style>
  <w:style w:type="paragraph" w:styleId="CommentText">
    <w:name w:val="annotation text"/>
    <w:basedOn w:val="Normal"/>
    <w:link w:val="CommentTextChar"/>
    <w:uiPriority w:val="99"/>
    <w:semiHidden/>
    <w:rsid w:val="00EE435F"/>
    <w:rPr>
      <w:rFonts w:cs="Times New Roman"/>
      <w:sz w:val="20"/>
      <w:szCs w:val="20"/>
    </w:rPr>
  </w:style>
  <w:style w:type="character" w:customStyle="1" w:styleId="CommentTextChar">
    <w:name w:val="Comment Text Char"/>
    <w:basedOn w:val="DefaultParagraphFont"/>
    <w:link w:val="CommentText"/>
    <w:uiPriority w:val="99"/>
    <w:semiHidden/>
    <w:rsid w:val="00244A50"/>
    <w:rPr>
      <w:rFonts w:ascii="Arial" w:hAnsi="Arial" w:cs="Arial"/>
      <w:sz w:val="20"/>
      <w:szCs w:val="20"/>
    </w:rPr>
  </w:style>
  <w:style w:type="paragraph" w:styleId="BalloonText">
    <w:name w:val="Balloon Text"/>
    <w:basedOn w:val="Normal"/>
    <w:link w:val="BalloonTextChar"/>
    <w:uiPriority w:val="99"/>
    <w:semiHidden/>
    <w:rsid w:val="006D0372"/>
    <w:rPr>
      <w:rFonts w:ascii="Tahoma" w:hAnsi="Tahoma" w:cs="Tahoma"/>
      <w:sz w:val="16"/>
      <w:szCs w:val="16"/>
    </w:rPr>
  </w:style>
  <w:style w:type="character" w:customStyle="1" w:styleId="BalloonTextChar">
    <w:name w:val="Balloon Text Char"/>
    <w:basedOn w:val="DefaultParagraphFont"/>
    <w:link w:val="BalloonText"/>
    <w:uiPriority w:val="99"/>
    <w:semiHidden/>
    <w:rsid w:val="00244A50"/>
    <w:rPr>
      <w:rFonts w:cs="Arial"/>
      <w:sz w:val="0"/>
      <w:szCs w:val="0"/>
    </w:rPr>
  </w:style>
  <w:style w:type="paragraph" w:styleId="DocumentMap">
    <w:name w:val="Document Map"/>
    <w:basedOn w:val="Normal"/>
    <w:link w:val="DocumentMapChar"/>
    <w:uiPriority w:val="99"/>
    <w:semiHidden/>
    <w:rsid w:val="004B0D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44A50"/>
    <w:rPr>
      <w:rFonts w:cs="Arial"/>
      <w:sz w:val="0"/>
      <w:szCs w:val="0"/>
    </w:rPr>
  </w:style>
  <w:style w:type="table" w:styleId="TableGrid">
    <w:name w:val="Table Grid"/>
    <w:basedOn w:val="TableNormal"/>
    <w:uiPriority w:val="59"/>
    <w:rsid w:val="009B04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E52E5"/>
    <w:rPr>
      <w:sz w:val="20"/>
      <w:szCs w:val="20"/>
    </w:rPr>
  </w:style>
  <w:style w:type="character" w:customStyle="1" w:styleId="FootnoteTextChar">
    <w:name w:val="Footnote Text Char"/>
    <w:basedOn w:val="DefaultParagraphFont"/>
    <w:link w:val="FootnoteText"/>
    <w:uiPriority w:val="99"/>
    <w:semiHidden/>
    <w:rsid w:val="00244A50"/>
    <w:rPr>
      <w:rFonts w:ascii="Arial" w:hAnsi="Arial" w:cs="Arial"/>
      <w:sz w:val="20"/>
      <w:szCs w:val="20"/>
    </w:rPr>
  </w:style>
  <w:style w:type="character" w:styleId="FootnoteReference">
    <w:name w:val="footnote reference"/>
    <w:basedOn w:val="DefaultParagraphFont"/>
    <w:uiPriority w:val="99"/>
    <w:semiHidden/>
    <w:rsid w:val="009E52E5"/>
    <w:rPr>
      <w:rFonts w:cs="Times New Roman"/>
      <w:vertAlign w:val="superscript"/>
    </w:rPr>
  </w:style>
  <w:style w:type="paragraph" w:styleId="CommentSubject">
    <w:name w:val="annotation subject"/>
    <w:basedOn w:val="CommentText"/>
    <w:next w:val="CommentText"/>
    <w:link w:val="CommentSubjectChar"/>
    <w:uiPriority w:val="99"/>
    <w:semiHidden/>
    <w:rsid w:val="00315EBA"/>
    <w:rPr>
      <w:rFonts w:cs="Arial"/>
      <w:b/>
      <w:bCs/>
    </w:rPr>
  </w:style>
  <w:style w:type="character" w:customStyle="1" w:styleId="CommentSubjectChar">
    <w:name w:val="Comment Subject Char"/>
    <w:basedOn w:val="CommentTextChar"/>
    <w:link w:val="CommentSubject"/>
    <w:uiPriority w:val="99"/>
    <w:semiHidden/>
    <w:rsid w:val="00244A50"/>
    <w:rPr>
      <w:rFonts w:ascii="Arial" w:hAnsi="Arial" w:cs="Arial"/>
      <w:b/>
      <w:bCs/>
      <w:sz w:val="20"/>
      <w:szCs w:val="20"/>
    </w:rPr>
  </w:style>
  <w:style w:type="paragraph" w:styleId="Revision">
    <w:name w:val="Revision"/>
    <w:hidden/>
    <w:uiPriority w:val="99"/>
    <w:semiHidden/>
    <w:rsid w:val="00D04317"/>
    <w:rPr>
      <w:rFonts w:ascii="Arial" w:hAnsi="Arial" w:cs="Arial"/>
    </w:rPr>
  </w:style>
  <w:style w:type="paragraph" w:customStyle="1" w:styleId="Keywords">
    <w:name w:val="Keywords"/>
    <w:basedOn w:val="Normal"/>
    <w:uiPriority w:val="99"/>
    <w:rsid w:val="00897DF9"/>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autoRedefine/>
    <w:uiPriority w:val="99"/>
    <w:rsid w:val="00003487"/>
    <w:pPr>
      <w:spacing w:after="120"/>
    </w:pPr>
    <w:rPr>
      <w:rFonts w:ascii="Arial" w:hAnsi="Arial" w:cs="Arial"/>
      <w:szCs w:val="20"/>
      <w:lang w:val="en-US"/>
    </w:rPr>
  </w:style>
  <w:style w:type="paragraph" w:customStyle="1" w:styleId="Authoraffiliations">
    <w:name w:val="Author affiliations"/>
    <w:next w:val="Normal"/>
    <w:autoRedefine/>
    <w:uiPriority w:val="99"/>
    <w:rsid w:val="0006269A"/>
    <w:pPr>
      <w:spacing w:line="360" w:lineRule="auto"/>
    </w:pPr>
    <w:rPr>
      <w:rFonts w:ascii="Arial" w:hAnsi="Arial" w:cs="Arial"/>
      <w:sz w:val="20"/>
      <w:szCs w:val="20"/>
      <w:lang w:val="en-US"/>
    </w:rPr>
  </w:style>
  <w:style w:type="paragraph" w:customStyle="1" w:styleId="Articletitle">
    <w:name w:val="Article title"/>
    <w:next w:val="Authorname"/>
    <w:autoRedefine/>
    <w:uiPriority w:val="99"/>
    <w:rsid w:val="00003487"/>
    <w:pPr>
      <w:spacing w:after="240"/>
    </w:pPr>
    <w:rPr>
      <w:rFonts w:ascii="Arial" w:hAnsi="Arial" w:cs="Arial"/>
      <w:b/>
      <w:bCs/>
      <w:kern w:val="32"/>
      <w:sz w:val="52"/>
      <w:szCs w:val="52"/>
      <w:lang w:val="en-US"/>
    </w:rPr>
  </w:style>
  <w:style w:type="character" w:styleId="FollowedHyperlink">
    <w:name w:val="FollowedHyperlink"/>
    <w:basedOn w:val="DefaultParagraphFont"/>
    <w:uiPriority w:val="99"/>
    <w:semiHidden/>
    <w:unhideWhenUsed/>
    <w:rsid w:val="00C32247"/>
    <w:rPr>
      <w:color w:val="800080" w:themeColor="followedHyperlink"/>
      <w:u w:val="single"/>
    </w:rPr>
  </w:style>
  <w:style w:type="paragraph" w:customStyle="1" w:styleId="Default">
    <w:name w:val="Default"/>
    <w:rsid w:val="00C3224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B38F8"/>
    <w:pPr>
      <w:ind w:left="720"/>
      <w:contextualSpacing/>
    </w:pPr>
  </w:style>
  <w:style w:type="paragraph" w:customStyle="1" w:styleId="NumPara">
    <w:name w:val="NumPara"/>
    <w:basedOn w:val="Normal"/>
    <w:link w:val="NumParaChar"/>
    <w:rsid w:val="00015AF4"/>
    <w:pPr>
      <w:numPr>
        <w:numId w:val="30"/>
      </w:numPr>
      <w:spacing w:before="60" w:after="60" w:line="220" w:lineRule="atLeast"/>
    </w:pPr>
    <w:rPr>
      <w:rFonts w:cs="Times New Roman"/>
      <w:sz w:val="20"/>
      <w:szCs w:val="20"/>
      <w:lang w:eastAsia="en-US"/>
    </w:rPr>
  </w:style>
  <w:style w:type="paragraph" w:customStyle="1" w:styleId="sub-para">
    <w:name w:val="sub-para"/>
    <w:basedOn w:val="Normal"/>
    <w:autoRedefine/>
    <w:rsid w:val="00015AF4"/>
    <w:pPr>
      <w:numPr>
        <w:ilvl w:val="1"/>
        <w:numId w:val="30"/>
      </w:numPr>
      <w:spacing w:before="60" w:after="60" w:line="220" w:lineRule="atLeast"/>
    </w:pPr>
    <w:rPr>
      <w:rFonts w:cs="Times New Roman"/>
      <w:sz w:val="20"/>
      <w:szCs w:val="20"/>
      <w:lang w:eastAsia="en-US"/>
    </w:rPr>
  </w:style>
  <w:style w:type="character" w:customStyle="1" w:styleId="NumParaChar">
    <w:name w:val="NumPara Char"/>
    <w:basedOn w:val="DefaultParagraphFont"/>
    <w:link w:val="NumPara"/>
    <w:rsid w:val="00015AF4"/>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D6E8-4EC6-441A-8051-F0F88845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Reinforcement ratios and their effects on slab panel failure in fire</vt:lpstr>
    </vt:vector>
  </TitlesOfParts>
  <Company>University of Canterbury</Company>
  <LinksUpToDate>false</LinksUpToDate>
  <CharactersWithSpaces>41254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ratios and their effects on slab panel failure in fire</dc:title>
  <dc:creator>Cip04aka</dc:creator>
  <cp:lastModifiedBy>Sheppard, Nick</cp:lastModifiedBy>
  <cp:revision>9</cp:revision>
  <cp:lastPrinted>2009-08-05T12:20:00Z</cp:lastPrinted>
  <dcterms:created xsi:type="dcterms:W3CDTF">2014-12-10T19:27:00Z</dcterms:created>
  <dcterms:modified xsi:type="dcterms:W3CDTF">2015-09-16T09:57:00Z</dcterms:modified>
</cp:coreProperties>
</file>