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C9" w:rsidRPr="00DF59C9" w:rsidRDefault="000D1D0F">
      <w:pPr>
        <w:rPr>
          <w:b/>
          <w:i/>
        </w:rPr>
      </w:pPr>
      <w:r>
        <w:rPr>
          <w:b/>
        </w:rPr>
        <w:t>R</w:t>
      </w:r>
      <w:r w:rsidR="001E4134">
        <w:rPr>
          <w:b/>
        </w:rPr>
        <w:t>elationsh</w:t>
      </w:r>
      <w:r w:rsidR="00133BFD">
        <w:rPr>
          <w:b/>
        </w:rPr>
        <w:t>i</w:t>
      </w:r>
      <w:r w:rsidR="001E4134">
        <w:rPr>
          <w:b/>
        </w:rPr>
        <w:t xml:space="preserve">p between self -report adherence and clinical variation </w:t>
      </w:r>
      <w:r>
        <w:rPr>
          <w:b/>
        </w:rPr>
        <w:t xml:space="preserve">                                                                                                                                </w:t>
      </w:r>
      <w:r w:rsidR="002102DA">
        <w:rPr>
          <w:b/>
        </w:rPr>
        <w:t xml:space="preserve">                     </w:t>
      </w:r>
      <w:r>
        <w:rPr>
          <w:b/>
        </w:rPr>
        <w:t xml:space="preserve">   </w:t>
      </w:r>
      <w:r w:rsidR="00DF59C9" w:rsidRPr="00DF59C9">
        <w:rPr>
          <w:b/>
          <w:i/>
        </w:rPr>
        <w:t>White H, Huntington S, Shaw N, Wynn S, Pollard K</w:t>
      </w:r>
      <w:r w:rsidR="001A0226">
        <w:rPr>
          <w:b/>
          <w:i/>
        </w:rPr>
        <w:t>,</w:t>
      </w:r>
      <w:r w:rsidR="001A0226" w:rsidRPr="001A0226">
        <w:rPr>
          <w:b/>
          <w:i/>
        </w:rPr>
        <w:t xml:space="preserve"> </w:t>
      </w:r>
      <w:r w:rsidR="001A0226" w:rsidRPr="00DF59C9">
        <w:rPr>
          <w:b/>
          <w:i/>
        </w:rPr>
        <w:t>Peckham DG</w:t>
      </w:r>
    </w:p>
    <w:p w:rsidR="00DB5167" w:rsidRPr="00DB5167" w:rsidRDefault="00867AED" w:rsidP="00DB5167">
      <w:pPr>
        <w:rPr>
          <w:rFonts w:cs="Arial"/>
        </w:rPr>
      </w:pPr>
      <w:r>
        <w:rPr>
          <w:rFonts w:cs="Arial"/>
          <w:b/>
        </w:rPr>
        <w:t>Objectives</w:t>
      </w:r>
      <w:r w:rsidR="00DB5167" w:rsidRPr="00DB5167">
        <w:rPr>
          <w:rFonts w:cs="Arial"/>
          <w:b/>
        </w:rPr>
        <w:t>:</w:t>
      </w:r>
      <w:r w:rsidR="00DB5167" w:rsidRPr="00DB5167">
        <w:rPr>
          <w:rFonts w:cs="Arial"/>
        </w:rPr>
        <w:t xml:space="preserve"> In 2007 an electronic clinical record (ECR) </w:t>
      </w:r>
      <w:r w:rsidR="00E27D0C" w:rsidRPr="00DF59C9">
        <w:rPr>
          <w:rFonts w:cs="Arial"/>
        </w:rPr>
        <w:t xml:space="preserve">was implemented within a Regional Adult CF unit (420 patients) </w:t>
      </w:r>
      <w:r w:rsidR="00DB5167" w:rsidRPr="00DB5167">
        <w:rPr>
          <w:rFonts w:cs="Arial"/>
        </w:rPr>
        <w:t xml:space="preserve">coding for all variables of CF, captured at </w:t>
      </w:r>
      <w:r>
        <w:rPr>
          <w:rFonts w:cs="Arial"/>
        </w:rPr>
        <w:t>each</w:t>
      </w:r>
      <w:r w:rsidR="00A3778D" w:rsidRPr="00DF59C9">
        <w:rPr>
          <w:rFonts w:cs="Arial"/>
        </w:rPr>
        <w:t xml:space="preserve"> </w:t>
      </w:r>
      <w:r w:rsidR="00DB5167" w:rsidRPr="00DB5167">
        <w:rPr>
          <w:rFonts w:cs="Arial"/>
        </w:rPr>
        <w:t xml:space="preserve">contact. </w:t>
      </w:r>
      <w:r w:rsidR="00BA1DEE" w:rsidRPr="00DF59C9">
        <w:rPr>
          <w:rFonts w:cs="Arial"/>
        </w:rPr>
        <w:t>L</w:t>
      </w:r>
      <w:r w:rsidR="00DB5167" w:rsidRPr="00DB5167">
        <w:rPr>
          <w:rFonts w:cs="Arial"/>
        </w:rPr>
        <w:t xml:space="preserve">ongitudinal patterns </w:t>
      </w:r>
      <w:r w:rsidR="00BA1DEE" w:rsidRPr="00DF59C9">
        <w:rPr>
          <w:rFonts w:cs="Arial"/>
        </w:rPr>
        <w:t>of clinical variation</w:t>
      </w:r>
      <w:r w:rsidR="00DB5167" w:rsidRPr="00DB5167">
        <w:rPr>
          <w:rFonts w:cs="Arial"/>
        </w:rPr>
        <w:t xml:space="preserve"> </w:t>
      </w:r>
      <w:r w:rsidR="00BA1DEE" w:rsidRPr="00DF59C9">
        <w:rPr>
          <w:rFonts w:cs="Arial"/>
        </w:rPr>
        <w:t xml:space="preserve">have emerged that suggest </w:t>
      </w:r>
      <w:r w:rsidR="00CD6110" w:rsidRPr="00DF59C9">
        <w:rPr>
          <w:rFonts w:cs="Arial"/>
        </w:rPr>
        <w:t xml:space="preserve">a relationship between </w:t>
      </w:r>
      <w:r w:rsidR="00A3778D" w:rsidRPr="00DF59C9">
        <w:rPr>
          <w:rFonts w:cs="Arial"/>
        </w:rPr>
        <w:t>variation</w:t>
      </w:r>
      <w:r w:rsidR="00BA1DEE" w:rsidRPr="00DF59C9">
        <w:rPr>
          <w:rFonts w:cs="Arial"/>
        </w:rPr>
        <w:t xml:space="preserve"> in lung function between treatments </w:t>
      </w:r>
      <w:r w:rsidR="00CD6110" w:rsidRPr="00DF59C9">
        <w:rPr>
          <w:rFonts w:cs="Arial"/>
        </w:rPr>
        <w:t>and overall adherence.</w:t>
      </w:r>
      <w:r w:rsidR="00DB5167" w:rsidRPr="00DB5167">
        <w:rPr>
          <w:rFonts w:cs="Arial"/>
        </w:rPr>
        <w:t xml:space="preserve"> Our aim was to </w:t>
      </w:r>
      <w:r w:rsidR="00CD6110" w:rsidRPr="00DF59C9">
        <w:rPr>
          <w:rFonts w:cs="Arial"/>
        </w:rPr>
        <w:t xml:space="preserve">1) </w:t>
      </w:r>
      <w:r w:rsidR="00DB5167" w:rsidRPr="00DB5167">
        <w:rPr>
          <w:rFonts w:cs="Arial"/>
        </w:rPr>
        <w:t xml:space="preserve">determine </w:t>
      </w:r>
      <w:r w:rsidR="00CD6110" w:rsidRPr="00DF59C9">
        <w:rPr>
          <w:rFonts w:cs="Arial"/>
        </w:rPr>
        <w:t xml:space="preserve">the accuracy of self-report adherence 2) </w:t>
      </w:r>
      <w:r w:rsidR="00A3778D" w:rsidRPr="00DF59C9">
        <w:rPr>
          <w:rFonts w:cs="Arial"/>
        </w:rPr>
        <w:t>explore</w:t>
      </w:r>
      <w:r w:rsidR="00CD6110" w:rsidRPr="00DF59C9">
        <w:rPr>
          <w:rFonts w:cs="Arial"/>
        </w:rPr>
        <w:t xml:space="preserve"> the relationship between </w:t>
      </w:r>
      <w:r w:rsidR="00DB5167" w:rsidRPr="00DB5167">
        <w:rPr>
          <w:rFonts w:cs="Arial"/>
        </w:rPr>
        <w:t xml:space="preserve">clinical variation </w:t>
      </w:r>
      <w:r w:rsidR="00CD6110" w:rsidRPr="00DF59C9">
        <w:rPr>
          <w:rFonts w:cs="Arial"/>
        </w:rPr>
        <w:t xml:space="preserve">and adherence. </w:t>
      </w:r>
    </w:p>
    <w:p w:rsidR="00BA1DEE" w:rsidRDefault="00DB5167" w:rsidP="00DB5167">
      <w:r w:rsidRPr="00DB5167">
        <w:rPr>
          <w:rFonts w:cs="Arial"/>
          <w:b/>
        </w:rPr>
        <w:t>Methods:</w:t>
      </w:r>
      <w:r w:rsidRPr="00DB5167">
        <w:rPr>
          <w:rFonts w:cs="Arial"/>
        </w:rPr>
        <w:t xml:space="preserve"> Patients </w:t>
      </w:r>
      <w:r w:rsidR="00BA1DEE" w:rsidRPr="00DF59C9">
        <w:rPr>
          <w:rFonts w:cs="Arial"/>
        </w:rPr>
        <w:t>completed</w:t>
      </w:r>
      <w:r w:rsidRPr="00DB5167">
        <w:rPr>
          <w:rFonts w:cs="Arial"/>
          <w:color w:val="333333"/>
          <w:lang w:val="en"/>
        </w:rPr>
        <w:t xml:space="preserve"> </w:t>
      </w:r>
      <w:r w:rsidR="00780C28">
        <w:rPr>
          <w:rFonts w:cs="Arial"/>
          <w:color w:val="333333"/>
          <w:lang w:val="en"/>
        </w:rPr>
        <w:t xml:space="preserve">a self-report of adherence </w:t>
      </w:r>
      <w:r w:rsidRPr="00DB5167">
        <w:rPr>
          <w:rFonts w:cs="Arial"/>
          <w:color w:val="333333"/>
          <w:lang w:val="en"/>
        </w:rPr>
        <w:t xml:space="preserve">(CFQ-R) and </w:t>
      </w:r>
      <w:r w:rsidR="00CD6110" w:rsidRPr="00DF59C9">
        <w:rPr>
          <w:rFonts w:cs="Arial"/>
          <w:color w:val="333333"/>
          <w:lang w:val="en"/>
        </w:rPr>
        <w:t xml:space="preserve">consented </w:t>
      </w:r>
      <w:r w:rsidRPr="00DB5167">
        <w:rPr>
          <w:rFonts w:cs="Arial"/>
          <w:color w:val="333333"/>
          <w:lang w:val="en"/>
        </w:rPr>
        <w:t xml:space="preserve">to pharmacy script data collection </w:t>
      </w:r>
      <w:proofErr w:type="gramStart"/>
      <w:r w:rsidR="00867AED">
        <w:rPr>
          <w:rFonts w:cs="Arial"/>
          <w:color w:val="333333"/>
          <w:lang w:val="en"/>
        </w:rPr>
        <w:t>(</w:t>
      </w:r>
      <w:r w:rsidRPr="00DB5167">
        <w:rPr>
          <w:rFonts w:cs="Arial"/>
          <w:color w:val="333333"/>
          <w:lang w:val="en"/>
        </w:rPr>
        <w:t xml:space="preserve"> previous</w:t>
      </w:r>
      <w:proofErr w:type="gramEnd"/>
      <w:r w:rsidRPr="00DB5167">
        <w:rPr>
          <w:rFonts w:cs="Arial"/>
          <w:color w:val="333333"/>
          <w:lang w:val="en"/>
        </w:rPr>
        <w:t xml:space="preserve"> 6 months</w:t>
      </w:r>
      <w:r w:rsidR="00867AED">
        <w:rPr>
          <w:rFonts w:cs="Arial"/>
          <w:color w:val="333333"/>
          <w:lang w:val="en"/>
        </w:rPr>
        <w:t>)</w:t>
      </w:r>
      <w:r w:rsidRPr="00DB5167">
        <w:rPr>
          <w:rFonts w:cs="Arial"/>
        </w:rPr>
        <w:t>. Coefficient of variation for FEV</w:t>
      </w:r>
      <w:r w:rsidRPr="00DB5167">
        <w:rPr>
          <w:rFonts w:cs="Arial"/>
          <w:vertAlign w:val="subscript"/>
        </w:rPr>
        <w:t>1</w:t>
      </w:r>
      <w:r w:rsidRPr="00DB5167">
        <w:rPr>
          <w:rFonts w:cs="Arial"/>
        </w:rPr>
        <w:t xml:space="preserve"> was calculated from all clinical contacts within the previous year. </w:t>
      </w:r>
      <w:r w:rsidR="00870E18" w:rsidRPr="00DF59C9">
        <w:rPr>
          <w:rFonts w:cs="Arial"/>
        </w:rPr>
        <w:t xml:space="preserve">Age, gender, microbial status, disease severity, medication, </w:t>
      </w:r>
      <w:r w:rsidR="00E27D0C" w:rsidRPr="00DF59C9">
        <w:rPr>
          <w:rFonts w:cs="Arial"/>
        </w:rPr>
        <w:t>lung function</w:t>
      </w:r>
      <w:r w:rsidR="00870E18" w:rsidRPr="00DF59C9">
        <w:rPr>
          <w:rFonts w:cs="Arial"/>
        </w:rPr>
        <w:t xml:space="preserve"> and anthropometric measures were collected. </w:t>
      </w:r>
      <w:r w:rsidR="000D1D0F">
        <w:rPr>
          <w:rFonts w:cs="Arial"/>
        </w:rPr>
        <w:t xml:space="preserve">                                                                                                                                                                        </w:t>
      </w:r>
      <w:r w:rsidRPr="00DB5167">
        <w:rPr>
          <w:rFonts w:cs="Arial"/>
          <w:b/>
        </w:rPr>
        <w:t>Results</w:t>
      </w:r>
      <w:r w:rsidRPr="00DB5167">
        <w:rPr>
          <w:rFonts w:cs="Arial"/>
        </w:rPr>
        <w:t>: 250 patients [age 29.7(±9.2) y</w:t>
      </w:r>
      <w:r w:rsidR="00BA1DEE" w:rsidRPr="00DF59C9">
        <w:rPr>
          <w:rFonts w:cs="Arial"/>
        </w:rPr>
        <w:t>ear</w:t>
      </w:r>
      <w:r w:rsidRPr="00DB5167">
        <w:rPr>
          <w:rFonts w:cs="Arial"/>
        </w:rPr>
        <w:t>s, 58.6% (M)</w:t>
      </w:r>
      <w:r w:rsidR="00E27D0C" w:rsidRPr="00DF59C9">
        <w:rPr>
          <w:rFonts w:cs="Arial"/>
        </w:rPr>
        <w:t>, baseline BMI</w:t>
      </w:r>
      <w:r w:rsidR="00E27D0C" w:rsidRPr="00DF59C9">
        <w:t>22.5 kg/m</w:t>
      </w:r>
      <w:r w:rsidR="00E27D0C" w:rsidRPr="00DF59C9">
        <w:rPr>
          <w:vertAlign w:val="superscript"/>
        </w:rPr>
        <w:t>2</w:t>
      </w:r>
      <w:r w:rsidR="00E27D0C" w:rsidRPr="00DF59C9">
        <w:t xml:space="preserve"> (±3.8), FEV</w:t>
      </w:r>
      <w:r w:rsidR="00E27D0C" w:rsidRPr="00DF59C9">
        <w:rPr>
          <w:vertAlign w:val="subscript"/>
        </w:rPr>
        <w:t>1</w:t>
      </w:r>
      <w:r w:rsidR="00E27D0C" w:rsidRPr="00DF59C9">
        <w:t xml:space="preserve"> 61.3% (±25.1), FVC 79.4% (±23.1)] completed the study</w:t>
      </w:r>
      <w:r w:rsidR="00A3778D" w:rsidRPr="00DF59C9">
        <w:t xml:space="preserve"> </w:t>
      </w:r>
    </w:p>
    <w:tbl>
      <w:tblPr>
        <w:tblStyle w:val="LightShading-Accent1"/>
        <w:tblpPr w:leftFromText="180" w:rightFromText="180" w:vertAnchor="page" w:horzAnchor="margin" w:tblpY="5266"/>
        <w:tblW w:w="13133" w:type="dxa"/>
        <w:tblLook w:val="04A0" w:firstRow="1" w:lastRow="0" w:firstColumn="1" w:lastColumn="0" w:noHBand="0" w:noVBand="1"/>
      </w:tblPr>
      <w:tblGrid>
        <w:gridCol w:w="2507"/>
        <w:gridCol w:w="1240"/>
        <w:gridCol w:w="1111"/>
        <w:gridCol w:w="943"/>
        <w:gridCol w:w="1134"/>
        <w:gridCol w:w="941"/>
        <w:gridCol w:w="1347"/>
        <w:gridCol w:w="1347"/>
        <w:gridCol w:w="1347"/>
        <w:gridCol w:w="994"/>
        <w:gridCol w:w="222"/>
      </w:tblGrid>
      <w:tr w:rsidR="00133BFD" w:rsidRPr="00DF59C9" w:rsidTr="000D1D0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747" w:type="dxa"/>
            <w:gridSpan w:val="2"/>
          </w:tcPr>
          <w:p w:rsidR="00133BFD" w:rsidRPr="00DF59C9" w:rsidRDefault="00133BFD" w:rsidP="00133BFD">
            <w:pPr>
              <w:ind w:left="-851"/>
              <w:jc w:val="center"/>
              <w:rPr>
                <w:b w:val="0"/>
              </w:rPr>
            </w:pPr>
            <w:r w:rsidRPr="00DF59C9">
              <w:rPr>
                <w:b w:val="0"/>
              </w:rPr>
              <w:t>Selected variables of adherence</w:t>
            </w:r>
          </w:p>
        </w:tc>
        <w:tc>
          <w:tcPr>
            <w:tcW w:w="6823" w:type="dxa"/>
            <w:gridSpan w:val="6"/>
          </w:tcPr>
          <w:p w:rsidR="00133BFD" w:rsidRPr="00DF59C9" w:rsidRDefault="00133BFD" w:rsidP="00133BFD">
            <w:pPr>
              <w:cnfStyle w:val="100000000000" w:firstRow="1" w:lastRow="0" w:firstColumn="0" w:lastColumn="0" w:oddVBand="0" w:evenVBand="0" w:oddHBand="0" w:evenHBand="0" w:firstRowFirstColumn="0" w:firstRowLastColumn="0" w:lastRowFirstColumn="0" w:lastRowLastColumn="0"/>
            </w:pPr>
            <w:r w:rsidRPr="00DF59C9">
              <w:rPr>
                <w:b w:val="0"/>
              </w:rPr>
              <w:t>Correlations with self-report adherence</w:t>
            </w:r>
          </w:p>
        </w:tc>
        <w:tc>
          <w:tcPr>
            <w:tcW w:w="2563" w:type="dxa"/>
            <w:gridSpan w:val="3"/>
          </w:tcPr>
          <w:p w:rsidR="00133BFD" w:rsidRPr="00DF59C9" w:rsidRDefault="00133BFD" w:rsidP="00133BFD">
            <w:pPr>
              <w:cnfStyle w:val="100000000000" w:firstRow="1" w:lastRow="0" w:firstColumn="0" w:lastColumn="0" w:oddVBand="0" w:evenVBand="0" w:oddHBand="0" w:evenHBand="0" w:firstRowFirstColumn="0" w:firstRowLastColumn="0" w:lastRowFirstColumn="0" w:lastRowLastColumn="0"/>
              <w:rPr>
                <w:b w:val="0"/>
              </w:rPr>
            </w:pPr>
            <w:r w:rsidRPr="00DF59C9">
              <w:rPr>
                <w:b w:val="0"/>
              </w:rPr>
              <w:t>Descriptive stats</w:t>
            </w:r>
          </w:p>
        </w:tc>
      </w:tr>
      <w:tr w:rsidR="00133BFD" w:rsidRPr="00DF59C9" w:rsidTr="000D1D0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747" w:type="dxa"/>
            <w:gridSpan w:val="2"/>
          </w:tcPr>
          <w:p w:rsidR="00133BFD" w:rsidRPr="00DF59C9" w:rsidRDefault="00133BFD" w:rsidP="00133BFD">
            <w:pPr>
              <w:ind w:left="-851"/>
              <w:jc w:val="center"/>
              <w:rPr>
                <w:b w:val="0"/>
              </w:rPr>
            </w:pPr>
            <w:r w:rsidRPr="00DF59C9">
              <w:rPr>
                <w:b w:val="0"/>
              </w:rPr>
              <w:t xml:space="preserve">Adherence Self-Report </w:t>
            </w:r>
          </w:p>
          <w:p w:rsidR="00133BFD" w:rsidRPr="00DF59C9" w:rsidRDefault="00133BFD" w:rsidP="00133BFD">
            <w:pPr>
              <w:ind w:left="-851"/>
              <w:jc w:val="center"/>
              <w:rPr>
                <w:b w:val="0"/>
              </w:rPr>
            </w:pPr>
            <w:r w:rsidRPr="00DF59C9">
              <w:rPr>
                <w:b w:val="0"/>
              </w:rPr>
              <w:t>(using CFQ-R)        (%)</w:t>
            </w:r>
          </w:p>
        </w:tc>
        <w:tc>
          <w:tcPr>
            <w:tcW w:w="111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rsidRPr="00DF59C9">
              <w:t xml:space="preserve">Pharmacy collection </w:t>
            </w:r>
          </w:p>
        </w:tc>
        <w:tc>
          <w:tcPr>
            <w:tcW w:w="943"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rsidRPr="00DF59C9">
              <w:t>Sig</w:t>
            </w:r>
          </w:p>
        </w:tc>
        <w:tc>
          <w:tcPr>
            <w:tcW w:w="113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rsidRPr="00DF59C9">
              <w:t>FEV</w:t>
            </w:r>
            <w:r w:rsidRPr="00DF59C9">
              <w:rPr>
                <w:vertAlign w:val="subscript"/>
              </w:rPr>
              <w:t xml:space="preserve">1 </w:t>
            </w:r>
            <w:proofErr w:type="spellStart"/>
            <w:r w:rsidRPr="00DF59C9">
              <w:t>Coeff</w:t>
            </w:r>
            <w:proofErr w:type="spellEnd"/>
            <w:r w:rsidRPr="00DF59C9">
              <w:t xml:space="preserve"> Variation</w:t>
            </w:r>
          </w:p>
        </w:tc>
        <w:tc>
          <w:tcPr>
            <w:tcW w:w="941"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pPr>
            <w:r w:rsidRPr="00DF59C9">
              <w:t>Sig</w:t>
            </w:r>
          </w:p>
        </w:tc>
        <w:tc>
          <w:tcPr>
            <w:tcW w:w="1347"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pPr>
            <w:r>
              <w:t xml:space="preserve">CRP </w:t>
            </w:r>
            <w:proofErr w:type="spellStart"/>
            <w:r>
              <w:t>coeff</w:t>
            </w:r>
            <w:proofErr w:type="spellEnd"/>
            <w:r>
              <w:t xml:space="preserve"> variation</w:t>
            </w:r>
          </w:p>
        </w:tc>
        <w:tc>
          <w:tcPr>
            <w:tcW w:w="1347"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pPr>
            <w:r w:rsidRPr="00DF59C9">
              <w:t>Sig</w:t>
            </w:r>
          </w:p>
        </w:tc>
        <w:tc>
          <w:tcPr>
            <w:tcW w:w="1347"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pPr>
            <w:r w:rsidRPr="00DF59C9">
              <w:t>Pharmacy discrepancy (%)</w:t>
            </w:r>
          </w:p>
        </w:tc>
        <w:tc>
          <w:tcPr>
            <w:tcW w:w="99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b/>
              </w:rPr>
            </w:pPr>
            <w:r w:rsidRPr="00DF59C9">
              <w:t>Sig</w:t>
            </w:r>
          </w:p>
        </w:tc>
        <w:tc>
          <w:tcPr>
            <w:tcW w:w="222"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rPr>
                <w:b/>
                <w:u w:val="single"/>
              </w:rPr>
            </w:pPr>
          </w:p>
        </w:tc>
      </w:tr>
      <w:tr w:rsidR="00133BFD" w:rsidRPr="00DF59C9" w:rsidTr="000D1D0F">
        <w:trPr>
          <w:trHeight w:val="353"/>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color w:val="auto"/>
              </w:rPr>
            </w:pPr>
            <w:r w:rsidRPr="00DF59C9">
              <w:rPr>
                <w:b w:val="0"/>
                <w:color w:val="auto"/>
              </w:rPr>
              <w:t>Total adherence</w:t>
            </w:r>
          </w:p>
        </w:tc>
        <w:tc>
          <w:tcPr>
            <w:tcW w:w="1240"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77.7(±17.5)</w:t>
            </w:r>
          </w:p>
        </w:tc>
        <w:tc>
          <w:tcPr>
            <w:tcW w:w="111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0.61</w:t>
            </w:r>
          </w:p>
        </w:tc>
        <w:tc>
          <w:tcPr>
            <w:tcW w:w="943"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p</w:t>
            </w:r>
            <w:r w:rsidRPr="00DF59C9">
              <w:rPr>
                <w:color w:val="auto"/>
              </w:rPr>
              <w:t>&lt;0.001</w:t>
            </w:r>
          </w:p>
        </w:tc>
        <w:tc>
          <w:tcPr>
            <w:tcW w:w="113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-0.16</w:t>
            </w:r>
          </w:p>
        </w:tc>
        <w:tc>
          <w:tcPr>
            <w:tcW w:w="94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P&lt;0.001</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0.05</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p=0.20</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14.3</w:t>
            </w:r>
          </w:p>
        </w:tc>
        <w:tc>
          <w:tcPr>
            <w:tcW w:w="99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p&lt;0.001</w:t>
            </w:r>
          </w:p>
        </w:tc>
        <w:tc>
          <w:tcPr>
            <w:tcW w:w="222" w:type="dxa"/>
          </w:tcPr>
          <w:p w:rsidR="00133BFD" w:rsidRPr="00DF59C9" w:rsidRDefault="00133BFD" w:rsidP="00133BFD">
            <w:pPr>
              <w:cnfStyle w:val="000000000000" w:firstRow="0" w:lastRow="0" w:firstColumn="0" w:lastColumn="0" w:oddVBand="0" w:evenVBand="0" w:oddHBand="0" w:evenHBand="0" w:firstRowFirstColumn="0" w:firstRowLastColumn="0" w:lastRowFirstColumn="0" w:lastRowLastColumn="0"/>
              <w:rPr>
                <w:color w:val="auto"/>
              </w:rPr>
            </w:pPr>
          </w:p>
        </w:tc>
      </w:tr>
      <w:tr w:rsidR="00133BFD" w:rsidRPr="00DF59C9" w:rsidTr="000D1D0F">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color w:val="auto"/>
              </w:rPr>
            </w:pPr>
            <w:r w:rsidRPr="00DF59C9">
              <w:rPr>
                <w:b w:val="0"/>
                <w:color w:val="auto"/>
              </w:rPr>
              <w:t>Aerosol to thin mucus</w:t>
            </w:r>
          </w:p>
        </w:tc>
        <w:tc>
          <w:tcPr>
            <w:tcW w:w="1240"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73.0(±37.8)</w:t>
            </w:r>
          </w:p>
        </w:tc>
        <w:tc>
          <w:tcPr>
            <w:tcW w:w="111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0.51</w:t>
            </w:r>
          </w:p>
        </w:tc>
        <w:tc>
          <w:tcPr>
            <w:tcW w:w="943"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113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-0.11</w:t>
            </w:r>
          </w:p>
        </w:tc>
        <w:tc>
          <w:tcPr>
            <w:tcW w:w="94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p=0.06</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0.15</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p=0.02</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19.2</w:t>
            </w:r>
          </w:p>
        </w:tc>
        <w:tc>
          <w:tcPr>
            <w:tcW w:w="99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222"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rPr>
                <w:color w:val="auto"/>
              </w:rPr>
            </w:pPr>
          </w:p>
        </w:tc>
      </w:tr>
      <w:tr w:rsidR="00133BFD" w:rsidRPr="00DF59C9" w:rsidTr="000D1D0F">
        <w:trPr>
          <w:trHeight w:val="351"/>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rPr>
            </w:pPr>
            <w:r w:rsidRPr="00DF59C9">
              <w:rPr>
                <w:b w:val="0"/>
              </w:rPr>
              <w:t>Aerosol to open airway</w:t>
            </w:r>
          </w:p>
        </w:tc>
        <w:tc>
          <w:tcPr>
            <w:tcW w:w="1240" w:type="dxa"/>
          </w:tcPr>
          <w:p w:rsidR="00133BFD" w:rsidRPr="00DF59C9" w:rsidRDefault="00133BFD" w:rsidP="00133BFD">
            <w:pP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82.3(±31.9)</w:t>
            </w:r>
          </w:p>
        </w:tc>
        <w:tc>
          <w:tcPr>
            <w:tcW w:w="111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0.34</w:t>
            </w:r>
          </w:p>
        </w:tc>
        <w:tc>
          <w:tcPr>
            <w:tcW w:w="943"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P&lt;0.005</w:t>
            </w:r>
          </w:p>
        </w:tc>
        <w:tc>
          <w:tcPr>
            <w:tcW w:w="113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0.001</w:t>
            </w:r>
          </w:p>
        </w:tc>
        <w:tc>
          <w:tcPr>
            <w:tcW w:w="94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p=0.47</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0.16</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p=0.025</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4.5</w:t>
            </w:r>
          </w:p>
        </w:tc>
        <w:tc>
          <w:tcPr>
            <w:tcW w:w="99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p=0.24</w:t>
            </w:r>
          </w:p>
        </w:tc>
        <w:tc>
          <w:tcPr>
            <w:tcW w:w="222" w:type="dxa"/>
          </w:tcPr>
          <w:p w:rsidR="00133BFD" w:rsidRPr="00DF59C9" w:rsidRDefault="00133BFD" w:rsidP="00133BFD">
            <w:pPr>
              <w:cnfStyle w:val="000000000000" w:firstRow="0" w:lastRow="0" w:firstColumn="0" w:lastColumn="0" w:oddVBand="0" w:evenVBand="0" w:oddHBand="0" w:evenHBand="0" w:firstRowFirstColumn="0" w:firstRowLastColumn="0" w:lastRowFirstColumn="0" w:lastRowLastColumn="0"/>
            </w:pPr>
          </w:p>
        </w:tc>
      </w:tr>
      <w:tr w:rsidR="00133BFD" w:rsidRPr="00DF59C9" w:rsidTr="000D1D0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rPr>
            </w:pPr>
            <w:r w:rsidRPr="00DF59C9">
              <w:rPr>
                <w:b w:val="0"/>
              </w:rPr>
              <w:t>Inhaler</w:t>
            </w:r>
          </w:p>
        </w:tc>
        <w:tc>
          <w:tcPr>
            <w:tcW w:w="1240"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77.4(±35.4)</w:t>
            </w:r>
          </w:p>
        </w:tc>
        <w:tc>
          <w:tcPr>
            <w:tcW w:w="111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0.51</w:t>
            </w:r>
          </w:p>
        </w:tc>
        <w:tc>
          <w:tcPr>
            <w:tcW w:w="943"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113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-0.07</w:t>
            </w:r>
          </w:p>
        </w:tc>
        <w:tc>
          <w:tcPr>
            <w:tcW w:w="94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p=0.21</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0.12</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p=0.07</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16.2</w:t>
            </w:r>
          </w:p>
        </w:tc>
        <w:tc>
          <w:tcPr>
            <w:tcW w:w="99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222"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pPr>
          </w:p>
        </w:tc>
      </w:tr>
      <w:tr w:rsidR="00133BFD" w:rsidRPr="00DF59C9" w:rsidTr="000D1D0F">
        <w:trPr>
          <w:trHeight w:val="203"/>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color w:val="auto"/>
              </w:rPr>
            </w:pPr>
            <w:r w:rsidRPr="00DF59C9">
              <w:rPr>
                <w:b w:val="0"/>
                <w:color w:val="auto"/>
              </w:rPr>
              <w:t>PERT</w:t>
            </w:r>
          </w:p>
        </w:tc>
        <w:tc>
          <w:tcPr>
            <w:tcW w:w="1240"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91.4(±21.3)</w:t>
            </w:r>
          </w:p>
        </w:tc>
        <w:tc>
          <w:tcPr>
            <w:tcW w:w="111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0.45</w:t>
            </w:r>
          </w:p>
        </w:tc>
        <w:tc>
          <w:tcPr>
            <w:tcW w:w="943"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p&lt;0.001</w:t>
            </w:r>
          </w:p>
        </w:tc>
        <w:tc>
          <w:tcPr>
            <w:tcW w:w="113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-0.21</w:t>
            </w:r>
          </w:p>
        </w:tc>
        <w:tc>
          <w:tcPr>
            <w:tcW w:w="94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P=0.001</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-0.12</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p=0.04</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23.6</w:t>
            </w:r>
          </w:p>
        </w:tc>
        <w:tc>
          <w:tcPr>
            <w:tcW w:w="99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p&lt;0.001</w:t>
            </w:r>
          </w:p>
        </w:tc>
        <w:tc>
          <w:tcPr>
            <w:tcW w:w="222" w:type="dxa"/>
          </w:tcPr>
          <w:p w:rsidR="00133BFD" w:rsidRPr="00DF59C9" w:rsidRDefault="00133BFD" w:rsidP="00133BFD">
            <w:pPr>
              <w:cnfStyle w:val="000000000000" w:firstRow="0" w:lastRow="0" w:firstColumn="0" w:lastColumn="0" w:oddVBand="0" w:evenVBand="0" w:oddHBand="0" w:evenHBand="0" w:firstRowFirstColumn="0" w:firstRowLastColumn="0" w:lastRowFirstColumn="0" w:lastRowLastColumn="0"/>
              <w:rPr>
                <w:color w:val="auto"/>
              </w:rPr>
            </w:pPr>
          </w:p>
        </w:tc>
      </w:tr>
      <w:tr w:rsidR="00133BFD" w:rsidRPr="00DF59C9" w:rsidTr="000D1D0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rPr>
            </w:pPr>
            <w:r w:rsidRPr="00DF59C9">
              <w:rPr>
                <w:b w:val="0"/>
              </w:rPr>
              <w:t>Vitamins</w:t>
            </w:r>
          </w:p>
        </w:tc>
        <w:tc>
          <w:tcPr>
            <w:tcW w:w="1240"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88.2(±27.2)</w:t>
            </w:r>
          </w:p>
        </w:tc>
        <w:tc>
          <w:tcPr>
            <w:tcW w:w="111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0.46</w:t>
            </w:r>
          </w:p>
        </w:tc>
        <w:tc>
          <w:tcPr>
            <w:tcW w:w="943"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113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-0.03</w:t>
            </w:r>
          </w:p>
        </w:tc>
        <w:tc>
          <w:tcPr>
            <w:tcW w:w="94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P=0.35</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0.15</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p=0.01</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24.7</w:t>
            </w:r>
          </w:p>
        </w:tc>
        <w:tc>
          <w:tcPr>
            <w:tcW w:w="99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222"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pPr>
          </w:p>
        </w:tc>
      </w:tr>
      <w:tr w:rsidR="00133BFD" w:rsidRPr="00DF59C9" w:rsidTr="000D1D0F">
        <w:trPr>
          <w:trHeight w:val="220"/>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color w:val="auto"/>
              </w:rPr>
            </w:pPr>
            <w:r w:rsidRPr="00DF59C9">
              <w:rPr>
                <w:b w:val="0"/>
                <w:color w:val="auto"/>
              </w:rPr>
              <w:t>Oral nutrition supplements</w:t>
            </w:r>
          </w:p>
        </w:tc>
        <w:tc>
          <w:tcPr>
            <w:tcW w:w="1240"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64.1(±39.8)</w:t>
            </w:r>
          </w:p>
        </w:tc>
        <w:tc>
          <w:tcPr>
            <w:tcW w:w="111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0.51</w:t>
            </w:r>
          </w:p>
        </w:tc>
        <w:tc>
          <w:tcPr>
            <w:tcW w:w="943"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p&lt;0.001</w:t>
            </w:r>
          </w:p>
        </w:tc>
        <w:tc>
          <w:tcPr>
            <w:tcW w:w="113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-0.20</w:t>
            </w:r>
          </w:p>
        </w:tc>
        <w:tc>
          <w:tcPr>
            <w:tcW w:w="94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P=0.01</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-0.06</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p=0.28</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18.1</w:t>
            </w:r>
          </w:p>
        </w:tc>
        <w:tc>
          <w:tcPr>
            <w:tcW w:w="99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w:t>
            </w:r>
            <w:r>
              <w:rPr>
                <w:color w:val="auto"/>
              </w:rPr>
              <w:t>0</w:t>
            </w:r>
            <w:r w:rsidRPr="00DF59C9">
              <w:rPr>
                <w:color w:val="auto"/>
              </w:rPr>
              <w:t>1</w:t>
            </w:r>
          </w:p>
        </w:tc>
        <w:tc>
          <w:tcPr>
            <w:tcW w:w="222" w:type="dxa"/>
          </w:tcPr>
          <w:p w:rsidR="00133BFD" w:rsidRPr="00DF59C9" w:rsidRDefault="00133BFD" w:rsidP="00133BFD">
            <w:pPr>
              <w:cnfStyle w:val="000000000000" w:firstRow="0" w:lastRow="0" w:firstColumn="0" w:lastColumn="0" w:oddVBand="0" w:evenVBand="0" w:oddHBand="0" w:evenHBand="0" w:firstRowFirstColumn="0" w:firstRowLastColumn="0" w:lastRowFirstColumn="0" w:lastRowLastColumn="0"/>
              <w:rPr>
                <w:color w:val="auto"/>
              </w:rPr>
            </w:pPr>
          </w:p>
        </w:tc>
      </w:tr>
      <w:tr w:rsidR="00133BFD" w:rsidRPr="00DF59C9" w:rsidTr="000D1D0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color w:val="auto"/>
              </w:rPr>
            </w:pPr>
            <w:r w:rsidRPr="00DF59C9">
              <w:rPr>
                <w:b w:val="0"/>
                <w:color w:val="auto"/>
              </w:rPr>
              <w:t>Oral antibiotics</w:t>
            </w:r>
          </w:p>
        </w:tc>
        <w:tc>
          <w:tcPr>
            <w:tcW w:w="1240"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86.4(±26.6)</w:t>
            </w:r>
          </w:p>
        </w:tc>
        <w:tc>
          <w:tcPr>
            <w:tcW w:w="111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0.32</w:t>
            </w:r>
          </w:p>
        </w:tc>
        <w:tc>
          <w:tcPr>
            <w:tcW w:w="943"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113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-0.15</w:t>
            </w:r>
          </w:p>
        </w:tc>
        <w:tc>
          <w:tcPr>
            <w:tcW w:w="941"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P=0.01</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-0.08</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pPr>
            <w:r>
              <w:t>p=0.11</w:t>
            </w:r>
          </w:p>
        </w:tc>
        <w:tc>
          <w:tcPr>
            <w:tcW w:w="1347"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19.5</w:t>
            </w:r>
          </w:p>
        </w:tc>
        <w:tc>
          <w:tcPr>
            <w:tcW w:w="994" w:type="dxa"/>
          </w:tcPr>
          <w:p w:rsidR="00133BFD" w:rsidRPr="00DF59C9" w:rsidRDefault="00133BFD" w:rsidP="00133BFD">
            <w:pPr>
              <w:jc w:val="center"/>
              <w:cnfStyle w:val="000000100000" w:firstRow="0" w:lastRow="0" w:firstColumn="0" w:lastColumn="0" w:oddVBand="0" w:evenVBand="0" w:oddHBand="1" w:evenHBand="0" w:firstRowFirstColumn="0" w:firstRowLastColumn="0" w:lastRowFirstColumn="0" w:lastRowLastColumn="0"/>
              <w:rPr>
                <w:color w:val="auto"/>
              </w:rPr>
            </w:pPr>
            <w:r w:rsidRPr="00DF59C9">
              <w:rPr>
                <w:color w:val="auto"/>
              </w:rPr>
              <w:t>p&lt;0.001</w:t>
            </w:r>
          </w:p>
        </w:tc>
        <w:tc>
          <w:tcPr>
            <w:tcW w:w="222" w:type="dxa"/>
          </w:tcPr>
          <w:p w:rsidR="00133BFD" w:rsidRPr="00DF59C9" w:rsidRDefault="00133BFD" w:rsidP="00133BFD">
            <w:pPr>
              <w:cnfStyle w:val="000000100000" w:firstRow="0" w:lastRow="0" w:firstColumn="0" w:lastColumn="0" w:oddVBand="0" w:evenVBand="0" w:oddHBand="1" w:evenHBand="0" w:firstRowFirstColumn="0" w:firstRowLastColumn="0" w:lastRowFirstColumn="0" w:lastRowLastColumn="0"/>
              <w:rPr>
                <w:color w:val="auto"/>
              </w:rPr>
            </w:pPr>
          </w:p>
        </w:tc>
      </w:tr>
      <w:tr w:rsidR="00133BFD" w:rsidRPr="00DF59C9" w:rsidTr="000D1D0F">
        <w:trPr>
          <w:trHeight w:val="259"/>
        </w:trPr>
        <w:tc>
          <w:tcPr>
            <w:cnfStyle w:val="001000000000" w:firstRow="0" w:lastRow="0" w:firstColumn="1" w:lastColumn="0" w:oddVBand="0" w:evenVBand="0" w:oddHBand="0" w:evenHBand="0" w:firstRowFirstColumn="0" w:firstRowLastColumn="0" w:lastRowFirstColumn="0" w:lastRowLastColumn="0"/>
            <w:tcW w:w="2507" w:type="dxa"/>
          </w:tcPr>
          <w:p w:rsidR="00133BFD" w:rsidRPr="00DF59C9" w:rsidRDefault="00133BFD" w:rsidP="00133BFD">
            <w:pPr>
              <w:rPr>
                <w:b w:val="0"/>
                <w:color w:val="auto"/>
              </w:rPr>
            </w:pPr>
            <w:r w:rsidRPr="00DF59C9">
              <w:rPr>
                <w:b w:val="0"/>
                <w:color w:val="auto"/>
              </w:rPr>
              <w:t>Nebulised antibiotics</w:t>
            </w:r>
          </w:p>
        </w:tc>
        <w:tc>
          <w:tcPr>
            <w:tcW w:w="1240"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67.4(±9.1)</w:t>
            </w:r>
          </w:p>
        </w:tc>
        <w:tc>
          <w:tcPr>
            <w:tcW w:w="111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0.55</w:t>
            </w:r>
          </w:p>
        </w:tc>
        <w:tc>
          <w:tcPr>
            <w:tcW w:w="943"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p&lt;0.001</w:t>
            </w:r>
          </w:p>
        </w:tc>
        <w:tc>
          <w:tcPr>
            <w:tcW w:w="113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-0.19</w:t>
            </w:r>
          </w:p>
        </w:tc>
        <w:tc>
          <w:tcPr>
            <w:tcW w:w="941"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P=0.01</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-0.04</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pPr>
            <w:r>
              <w:t>p=0.31</w:t>
            </w:r>
          </w:p>
        </w:tc>
        <w:tc>
          <w:tcPr>
            <w:tcW w:w="1347"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2.1</w:t>
            </w:r>
          </w:p>
        </w:tc>
        <w:tc>
          <w:tcPr>
            <w:tcW w:w="994" w:type="dxa"/>
          </w:tcPr>
          <w:p w:rsidR="00133BFD" w:rsidRPr="00DF59C9" w:rsidRDefault="00133BFD" w:rsidP="00133BFD">
            <w:pPr>
              <w:jc w:val="center"/>
              <w:cnfStyle w:val="000000000000" w:firstRow="0" w:lastRow="0" w:firstColumn="0" w:lastColumn="0" w:oddVBand="0" w:evenVBand="0" w:oddHBand="0" w:evenHBand="0" w:firstRowFirstColumn="0" w:firstRowLastColumn="0" w:lastRowFirstColumn="0" w:lastRowLastColumn="0"/>
              <w:rPr>
                <w:color w:val="auto"/>
              </w:rPr>
            </w:pPr>
            <w:r w:rsidRPr="00DF59C9">
              <w:rPr>
                <w:color w:val="auto"/>
              </w:rPr>
              <w:t>P=0.43</w:t>
            </w:r>
          </w:p>
        </w:tc>
        <w:tc>
          <w:tcPr>
            <w:tcW w:w="222" w:type="dxa"/>
          </w:tcPr>
          <w:p w:rsidR="00133BFD" w:rsidRPr="00DF59C9" w:rsidRDefault="00133BFD" w:rsidP="00133BFD">
            <w:pPr>
              <w:cnfStyle w:val="000000000000" w:firstRow="0" w:lastRow="0" w:firstColumn="0" w:lastColumn="0" w:oddVBand="0" w:evenVBand="0" w:oddHBand="0" w:evenHBand="0" w:firstRowFirstColumn="0" w:firstRowLastColumn="0" w:lastRowFirstColumn="0" w:lastRowLastColumn="0"/>
              <w:rPr>
                <w:color w:val="auto"/>
              </w:rPr>
            </w:pPr>
          </w:p>
        </w:tc>
      </w:tr>
    </w:tbl>
    <w:p w:rsidR="00867AED" w:rsidRPr="00DF59C9" w:rsidRDefault="00867AED" w:rsidP="00DB5167">
      <w:pPr>
        <w:rPr>
          <w:rFonts w:cs="Arial"/>
        </w:rPr>
      </w:pPr>
    </w:p>
    <w:p w:rsidR="00BA1DEE" w:rsidRPr="00DF59C9" w:rsidRDefault="00BA1DEE" w:rsidP="00DB5167">
      <w:pPr>
        <w:rPr>
          <w:rFonts w:cs="Arial"/>
        </w:rPr>
      </w:pPr>
    </w:p>
    <w:p w:rsidR="00BA1DEE" w:rsidRPr="00DF59C9" w:rsidRDefault="00BA1DEE" w:rsidP="00DB5167">
      <w:pPr>
        <w:rPr>
          <w:rFonts w:cs="Arial"/>
        </w:rPr>
      </w:pPr>
    </w:p>
    <w:p w:rsidR="00BA1DEE" w:rsidRPr="00DF59C9" w:rsidRDefault="00BA1DEE" w:rsidP="00DB5167">
      <w:pPr>
        <w:rPr>
          <w:rFonts w:cs="Arial"/>
        </w:rPr>
      </w:pPr>
    </w:p>
    <w:p w:rsidR="00BA1DEE" w:rsidRPr="00DF59C9" w:rsidRDefault="00BA1DEE" w:rsidP="00DB5167">
      <w:pPr>
        <w:rPr>
          <w:rFonts w:cs="Arial"/>
        </w:rPr>
      </w:pPr>
    </w:p>
    <w:p w:rsidR="00D7726A" w:rsidRPr="00DF59C9" w:rsidRDefault="00CD6110" w:rsidP="00DB5167">
      <w:pPr>
        <w:rPr>
          <w:rFonts w:cs="Arial"/>
        </w:rPr>
      </w:pPr>
      <w:r w:rsidRPr="00DF59C9">
        <w:rPr>
          <w:rFonts w:cs="Arial"/>
        </w:rPr>
        <w:t xml:space="preserve">                      </w:t>
      </w:r>
      <w:r w:rsidR="00870E18" w:rsidRPr="00DF59C9">
        <w:rPr>
          <w:rFonts w:cs="Arial"/>
        </w:rPr>
        <w:t xml:space="preserve">        </w:t>
      </w:r>
    </w:p>
    <w:p w:rsidR="00C1766B" w:rsidRPr="00DF59C9" w:rsidRDefault="00C1766B" w:rsidP="00DB5167">
      <w:pPr>
        <w:rPr>
          <w:rFonts w:cs="Arial"/>
          <w:b/>
        </w:rPr>
      </w:pPr>
    </w:p>
    <w:p w:rsidR="001E4134" w:rsidRDefault="001E4134" w:rsidP="00DB5167">
      <w:pPr>
        <w:rPr>
          <w:rFonts w:cs="Arial"/>
          <w:b/>
        </w:rPr>
      </w:pPr>
    </w:p>
    <w:p w:rsidR="00D7726A" w:rsidRPr="00DF59C9" w:rsidRDefault="00133BFD" w:rsidP="00DB5167">
      <w:pPr>
        <w:rPr>
          <w:rFonts w:cs="Arial"/>
        </w:rPr>
      </w:pPr>
      <w:r>
        <w:rPr>
          <w:rFonts w:cs="Arial"/>
          <w:b/>
        </w:rPr>
        <w:t xml:space="preserve"> </w:t>
      </w:r>
      <w:r w:rsidR="00C1766B" w:rsidRPr="00DF59C9">
        <w:rPr>
          <w:rFonts w:cs="Arial"/>
          <w:b/>
        </w:rPr>
        <w:t>Conclusion</w:t>
      </w:r>
      <w:r w:rsidR="00C1766B" w:rsidRPr="00DF59C9">
        <w:rPr>
          <w:rFonts w:cs="Arial"/>
        </w:rPr>
        <w:t xml:space="preserve">: </w:t>
      </w:r>
      <w:r w:rsidR="00A3778D" w:rsidRPr="00DF59C9">
        <w:rPr>
          <w:rFonts w:cs="Arial"/>
        </w:rPr>
        <w:t xml:space="preserve">Self-report consistently </w:t>
      </w:r>
      <w:r w:rsidR="00DF59C9" w:rsidRPr="00DF59C9">
        <w:rPr>
          <w:rFonts w:cs="Arial"/>
        </w:rPr>
        <w:t xml:space="preserve">exceeds </w:t>
      </w:r>
      <w:r w:rsidR="00A3778D" w:rsidRPr="00DF59C9">
        <w:rPr>
          <w:rFonts w:cs="Arial"/>
        </w:rPr>
        <w:t>medication collection</w:t>
      </w:r>
      <w:r w:rsidR="00DF59C9" w:rsidRPr="00DF59C9">
        <w:rPr>
          <w:rFonts w:cs="Arial"/>
        </w:rPr>
        <w:t>.</w:t>
      </w:r>
      <w:r w:rsidR="00A3778D" w:rsidRPr="00DF59C9">
        <w:rPr>
          <w:rFonts w:cs="Arial"/>
        </w:rPr>
        <w:t xml:space="preserve"> Longitudinal indices of </w:t>
      </w:r>
      <w:r w:rsidR="00C1766B" w:rsidRPr="00DF59C9">
        <w:rPr>
          <w:rFonts w:cs="Arial"/>
        </w:rPr>
        <w:t xml:space="preserve">lung function </w:t>
      </w:r>
      <w:r w:rsidR="00A3778D" w:rsidRPr="00DF59C9">
        <w:rPr>
          <w:rFonts w:cs="Arial"/>
        </w:rPr>
        <w:t>inversely relate</w:t>
      </w:r>
      <w:r w:rsidR="00867AED">
        <w:rPr>
          <w:rFonts w:cs="Arial"/>
        </w:rPr>
        <w:t xml:space="preserve"> </w:t>
      </w:r>
      <w:r w:rsidR="00A3778D" w:rsidRPr="00DF59C9">
        <w:rPr>
          <w:rFonts w:cs="Arial"/>
        </w:rPr>
        <w:t>to reported adherence</w:t>
      </w:r>
      <w:r w:rsidR="00DF59C9" w:rsidRPr="00DF59C9">
        <w:rPr>
          <w:rFonts w:cs="Arial"/>
        </w:rPr>
        <w:t>, enabling investigation of FEV</w:t>
      </w:r>
      <w:r w:rsidR="00DF59C9" w:rsidRPr="00DF59C9">
        <w:rPr>
          <w:rFonts w:cs="Arial"/>
          <w:vertAlign w:val="subscript"/>
        </w:rPr>
        <w:t>1</w:t>
      </w:r>
      <w:r w:rsidR="00DF59C9" w:rsidRPr="00DF59C9">
        <w:rPr>
          <w:rFonts w:cs="Arial"/>
        </w:rPr>
        <w:t xml:space="preserve"> coefficient variation as </w:t>
      </w:r>
      <w:r w:rsidR="00867AED">
        <w:rPr>
          <w:rFonts w:cs="Arial"/>
        </w:rPr>
        <w:t>a</w:t>
      </w:r>
      <w:r w:rsidR="00DF59C9" w:rsidRPr="00DF59C9">
        <w:rPr>
          <w:rFonts w:cs="Arial"/>
        </w:rPr>
        <w:t xml:space="preserve"> predictor of adherence in CF </w:t>
      </w:r>
    </w:p>
    <w:p w:rsidR="00BF2B09" w:rsidRPr="00BF2B09" w:rsidRDefault="00BF2B09" w:rsidP="00BF2B09">
      <w:pPr>
        <w:rPr>
          <w:b/>
        </w:rPr>
      </w:pPr>
      <w:r w:rsidRPr="00C37670">
        <w:rPr>
          <w:b/>
        </w:rPr>
        <w:lastRenderedPageBreak/>
        <w:t>Abstract 2</w:t>
      </w:r>
      <w:r w:rsidRPr="00BF2B09">
        <w:tab/>
      </w:r>
      <w:r w:rsidRPr="00BF2B09">
        <w:rPr>
          <w:b/>
        </w:rPr>
        <w:t xml:space="preserve">Objective predictors of </w:t>
      </w:r>
      <w:r w:rsidR="001E4134">
        <w:rPr>
          <w:b/>
        </w:rPr>
        <w:t xml:space="preserve">self-report of </w:t>
      </w:r>
      <w:r w:rsidRPr="00BF2B09">
        <w:rPr>
          <w:b/>
        </w:rPr>
        <w:t xml:space="preserve">adherence in </w:t>
      </w:r>
      <w:r w:rsidR="001E4134">
        <w:rPr>
          <w:b/>
        </w:rPr>
        <w:t>adults with</w:t>
      </w:r>
      <w:r w:rsidR="000D1D0F">
        <w:rPr>
          <w:b/>
        </w:rPr>
        <w:t xml:space="preserve"> </w:t>
      </w:r>
      <w:r w:rsidRPr="00BF2B09">
        <w:rPr>
          <w:b/>
        </w:rPr>
        <w:t>cystic fibrosis</w:t>
      </w:r>
    </w:p>
    <w:p w:rsidR="00BF2B09" w:rsidRPr="00C37670" w:rsidRDefault="00C37670" w:rsidP="00BF2B09">
      <w:pPr>
        <w:autoSpaceDE w:val="0"/>
        <w:autoSpaceDN w:val="0"/>
        <w:adjustRightInd w:val="0"/>
        <w:spacing w:after="0" w:line="240" w:lineRule="auto"/>
        <w:rPr>
          <w:rFonts w:cs="Times New Roman"/>
          <w:b/>
          <w:i/>
          <w:sz w:val="24"/>
          <w:szCs w:val="24"/>
        </w:rPr>
      </w:pPr>
      <w:r w:rsidRPr="00C37670">
        <w:rPr>
          <w:rFonts w:cs="Times New Roman"/>
          <w:b/>
          <w:i/>
          <w:sz w:val="24"/>
          <w:szCs w:val="24"/>
        </w:rPr>
        <w:t xml:space="preserve">Huntington S, </w:t>
      </w:r>
      <w:r w:rsidR="001A0226" w:rsidRPr="00C37670">
        <w:rPr>
          <w:rFonts w:cs="Times New Roman"/>
          <w:b/>
          <w:i/>
          <w:sz w:val="24"/>
          <w:szCs w:val="24"/>
        </w:rPr>
        <w:t>White H</w:t>
      </w:r>
      <w:proofErr w:type="gramStart"/>
      <w:r w:rsidR="001A0226">
        <w:rPr>
          <w:rFonts w:cs="Times New Roman"/>
          <w:b/>
          <w:i/>
          <w:sz w:val="24"/>
          <w:szCs w:val="24"/>
        </w:rPr>
        <w:t xml:space="preserve">, </w:t>
      </w:r>
      <w:r w:rsidR="001A0226" w:rsidRPr="00C37670">
        <w:rPr>
          <w:rFonts w:cs="Times New Roman"/>
          <w:b/>
          <w:i/>
          <w:sz w:val="24"/>
          <w:szCs w:val="24"/>
        </w:rPr>
        <w:t xml:space="preserve"> </w:t>
      </w:r>
      <w:r w:rsidRPr="00C37670">
        <w:rPr>
          <w:rFonts w:cs="Times New Roman"/>
          <w:b/>
          <w:i/>
          <w:sz w:val="24"/>
          <w:szCs w:val="24"/>
        </w:rPr>
        <w:t>Shaw</w:t>
      </w:r>
      <w:proofErr w:type="gramEnd"/>
      <w:r w:rsidRPr="00C37670">
        <w:rPr>
          <w:rFonts w:cs="Times New Roman"/>
          <w:b/>
          <w:i/>
          <w:sz w:val="24"/>
          <w:szCs w:val="24"/>
        </w:rPr>
        <w:t xml:space="preserve"> N, Wynn S, </w:t>
      </w:r>
      <w:r w:rsidR="001A0226">
        <w:rPr>
          <w:rFonts w:cs="Times New Roman"/>
          <w:b/>
          <w:i/>
          <w:sz w:val="24"/>
          <w:szCs w:val="24"/>
        </w:rPr>
        <w:t xml:space="preserve">Pollard K, </w:t>
      </w:r>
      <w:r w:rsidRPr="00C37670">
        <w:rPr>
          <w:rFonts w:cs="Times New Roman"/>
          <w:b/>
          <w:i/>
          <w:sz w:val="24"/>
          <w:szCs w:val="24"/>
        </w:rPr>
        <w:t>Peckham DG</w:t>
      </w:r>
    </w:p>
    <w:p w:rsidR="00C37670" w:rsidRPr="00C37670" w:rsidRDefault="00C37670" w:rsidP="00BF2B09">
      <w:pPr>
        <w:autoSpaceDE w:val="0"/>
        <w:autoSpaceDN w:val="0"/>
        <w:adjustRightInd w:val="0"/>
        <w:spacing w:after="0" w:line="240" w:lineRule="auto"/>
        <w:rPr>
          <w:rFonts w:cs="Times New Roman"/>
          <w:i/>
          <w:sz w:val="24"/>
          <w:szCs w:val="24"/>
        </w:rPr>
      </w:pPr>
    </w:p>
    <w:p w:rsidR="00BF2B09" w:rsidRPr="00BF2B09" w:rsidRDefault="00BF2B09" w:rsidP="00BF2B09">
      <w:pPr>
        <w:rPr>
          <w:rFonts w:cs="Arial"/>
        </w:rPr>
      </w:pPr>
      <w:r w:rsidRPr="00BF2B09">
        <w:rPr>
          <w:rFonts w:cs="Arial"/>
          <w:b/>
        </w:rPr>
        <w:t>Objective:</w:t>
      </w:r>
      <w:r w:rsidRPr="00BF2B09">
        <w:rPr>
          <w:rFonts w:cs="Arial"/>
        </w:rPr>
        <w:t xml:space="preserve"> Self-report of adherence is inaccurate and </w:t>
      </w:r>
      <w:r>
        <w:rPr>
          <w:rFonts w:cs="Arial"/>
        </w:rPr>
        <w:t>has been shown to be</w:t>
      </w:r>
      <w:r w:rsidRPr="00BF2B09">
        <w:rPr>
          <w:rFonts w:cs="Arial"/>
        </w:rPr>
        <w:t xml:space="preserve"> 14% above pharmacy script collection in our adult clinic population. Using electronic clinical record (ECR) data our aim was to evaluate whether objective measures of adherence exist and their ability to predict adherence in an adult population with CF.</w:t>
      </w:r>
    </w:p>
    <w:p w:rsidR="00BF2B09" w:rsidRPr="00BF2B09" w:rsidRDefault="00BF2B09" w:rsidP="00BF2B09">
      <w:pPr>
        <w:rPr>
          <w:rFonts w:cs="Arial"/>
          <w:lang w:val="en"/>
        </w:rPr>
      </w:pPr>
      <w:r w:rsidRPr="00BF2B09">
        <w:rPr>
          <w:rFonts w:cs="Arial"/>
          <w:b/>
        </w:rPr>
        <w:t>Methods:</w:t>
      </w:r>
      <w:r w:rsidRPr="00BF2B09">
        <w:rPr>
          <w:rFonts w:cs="Arial"/>
        </w:rPr>
        <w:t xml:space="preserve"> Adherence measures had been gained from a previous study. Patients were </w:t>
      </w:r>
      <w:r w:rsidR="0017067A">
        <w:rPr>
          <w:rFonts w:cs="Arial"/>
        </w:rPr>
        <w:t xml:space="preserve">subsequently </w:t>
      </w:r>
      <w:r w:rsidRPr="00BF2B09">
        <w:rPr>
          <w:rFonts w:cs="Arial"/>
        </w:rPr>
        <w:t>classified into one of 3 categories</w:t>
      </w:r>
      <w:r w:rsidR="00AF1592">
        <w:rPr>
          <w:rFonts w:cs="Arial"/>
        </w:rPr>
        <w:t>:</w:t>
      </w:r>
      <w:r w:rsidRPr="00BF2B09">
        <w:rPr>
          <w:rFonts w:cs="Arial"/>
        </w:rPr>
        <w:t xml:space="preserve"> low (&lt;60%), moderate (60-80%), </w:t>
      </w:r>
      <w:proofErr w:type="gramStart"/>
      <w:r w:rsidRPr="00BF2B09">
        <w:rPr>
          <w:rFonts w:cs="Arial"/>
        </w:rPr>
        <w:t>good</w:t>
      </w:r>
      <w:proofErr w:type="gramEnd"/>
      <w:r w:rsidRPr="00BF2B09">
        <w:rPr>
          <w:rFonts w:cs="Arial"/>
        </w:rPr>
        <w:t xml:space="preserve"> (&gt;80%) according to a mean of their score from the CFQ-R adherence score and confirmation against prescribed medications. Coefficient of variation for FEV</w:t>
      </w:r>
      <w:r w:rsidRPr="00BF2B09">
        <w:rPr>
          <w:rFonts w:cs="Arial"/>
          <w:vertAlign w:val="subscript"/>
        </w:rPr>
        <w:t>1</w:t>
      </w:r>
      <w:r w:rsidRPr="00BF2B09">
        <w:rPr>
          <w:rFonts w:cs="Arial"/>
        </w:rPr>
        <w:t xml:space="preserve"> was calculated from all clinical contacts within the previous year. Age, gender, microbial status, disease severity, medication, </w:t>
      </w:r>
      <w:r>
        <w:rPr>
          <w:rFonts w:cs="Arial"/>
        </w:rPr>
        <w:t>respiratory</w:t>
      </w:r>
      <w:r w:rsidRPr="00BF2B09">
        <w:rPr>
          <w:rFonts w:cs="Arial"/>
        </w:rPr>
        <w:t xml:space="preserve"> and anthropometric measures were collected</w:t>
      </w:r>
      <w:r>
        <w:rPr>
          <w:rFonts w:cs="Arial"/>
        </w:rPr>
        <w:t xml:space="preserve"> at </w:t>
      </w:r>
      <w:r w:rsidR="00C37670">
        <w:rPr>
          <w:rFonts w:cs="Arial"/>
        </w:rPr>
        <w:t>baseline</w:t>
      </w:r>
      <w:r w:rsidRPr="00BF2B09">
        <w:rPr>
          <w:rFonts w:cs="Arial"/>
        </w:rPr>
        <w:t>. O</w:t>
      </w:r>
      <w:proofErr w:type="spellStart"/>
      <w:r w:rsidRPr="00BF2B09">
        <w:rPr>
          <w:rFonts w:cs="Arial"/>
          <w:lang w:val="en"/>
        </w:rPr>
        <w:t>rdinal</w:t>
      </w:r>
      <w:proofErr w:type="spellEnd"/>
      <w:r w:rsidRPr="00BF2B09">
        <w:rPr>
          <w:rFonts w:cs="Arial"/>
          <w:lang w:val="en"/>
        </w:rPr>
        <w:t xml:space="preserve"> regression was used to determine the contribution of objective variables to adherence. </w:t>
      </w:r>
    </w:p>
    <w:p w:rsidR="00BF2B09" w:rsidRPr="00BF2B09" w:rsidRDefault="00BF2B09" w:rsidP="00BF2B09">
      <w:pPr>
        <w:rPr>
          <w:rFonts w:cs="Arial"/>
        </w:rPr>
      </w:pPr>
      <w:r w:rsidRPr="00BF2B09">
        <w:rPr>
          <w:rFonts w:cs="Arial"/>
          <w:b/>
        </w:rPr>
        <w:t>Results</w:t>
      </w:r>
      <w:r w:rsidRPr="00BF2B09">
        <w:rPr>
          <w:rFonts w:cs="Arial"/>
        </w:rPr>
        <w:t xml:space="preserve">: 249 patients [age 29.7(±9.2) </w:t>
      </w:r>
      <w:proofErr w:type="spellStart"/>
      <w:r w:rsidRPr="00BF2B09">
        <w:rPr>
          <w:rFonts w:cs="Arial"/>
        </w:rPr>
        <w:t>yrs</w:t>
      </w:r>
      <w:proofErr w:type="spellEnd"/>
      <w:r w:rsidRPr="00BF2B09">
        <w:rPr>
          <w:rFonts w:cs="Arial"/>
        </w:rPr>
        <w:t>, 58.6% (M)] completed the study. Regression analysis revealed that FEV</w:t>
      </w:r>
      <w:r w:rsidRPr="00BF2B09">
        <w:rPr>
          <w:rFonts w:cs="Arial"/>
          <w:vertAlign w:val="subscript"/>
        </w:rPr>
        <w:t>1</w:t>
      </w:r>
      <w:r w:rsidRPr="00BF2B09">
        <w:rPr>
          <w:rFonts w:cs="Arial"/>
        </w:rPr>
        <w:t xml:space="preserve"> coefficient of variation [OR = </w:t>
      </w:r>
      <w:r w:rsidR="00AF1592">
        <w:rPr>
          <w:rFonts w:cs="Arial"/>
        </w:rPr>
        <w:t>0.95</w:t>
      </w:r>
      <w:r w:rsidRPr="00BF2B09">
        <w:rPr>
          <w:rFonts w:cs="Arial"/>
        </w:rPr>
        <w:t xml:space="preserve">; CI: </w:t>
      </w:r>
      <w:r w:rsidR="00AF1592">
        <w:rPr>
          <w:rFonts w:cs="Arial"/>
        </w:rPr>
        <w:t>0.92-0.98</w:t>
      </w:r>
      <w:r w:rsidRPr="00BF2B09">
        <w:rPr>
          <w:rFonts w:cs="Arial"/>
        </w:rPr>
        <w:t>, p=0.0</w:t>
      </w:r>
      <w:r w:rsidR="00AF1592">
        <w:rPr>
          <w:rFonts w:cs="Arial"/>
        </w:rPr>
        <w:t>06</w:t>
      </w:r>
      <w:r w:rsidRPr="00BF2B09">
        <w:rPr>
          <w:rFonts w:cs="Arial"/>
        </w:rPr>
        <w:t xml:space="preserve">], </w:t>
      </w:r>
      <w:r>
        <w:rPr>
          <w:rFonts w:cs="Arial"/>
        </w:rPr>
        <w:t xml:space="preserve">number of types of </w:t>
      </w:r>
      <w:r w:rsidRPr="00BF2B09">
        <w:rPr>
          <w:rFonts w:cs="Arial"/>
        </w:rPr>
        <w:t>medication</w:t>
      </w:r>
      <w:r>
        <w:rPr>
          <w:rFonts w:cs="Arial"/>
        </w:rPr>
        <w:t xml:space="preserve"> </w:t>
      </w:r>
      <w:r w:rsidRPr="00BF2B09">
        <w:rPr>
          <w:rFonts w:cs="Arial"/>
        </w:rPr>
        <w:t xml:space="preserve">[OR = </w:t>
      </w:r>
      <w:r w:rsidR="00AF1592">
        <w:rPr>
          <w:rFonts w:cs="Arial"/>
        </w:rPr>
        <w:t>1.18</w:t>
      </w:r>
      <w:r w:rsidRPr="00BF2B09">
        <w:rPr>
          <w:rFonts w:cs="Arial"/>
        </w:rPr>
        <w:t xml:space="preserve">; CI: </w:t>
      </w:r>
      <w:r w:rsidR="00AF1592">
        <w:rPr>
          <w:rFonts w:cs="Arial"/>
        </w:rPr>
        <w:t>1.11-1.26</w:t>
      </w:r>
      <w:r w:rsidRPr="00BF2B09">
        <w:rPr>
          <w:rFonts w:cs="Arial"/>
        </w:rPr>
        <w:t xml:space="preserve">, p&lt;0.001], and age [OR = </w:t>
      </w:r>
      <w:r w:rsidR="00AF1592">
        <w:rPr>
          <w:rFonts w:cs="Arial"/>
        </w:rPr>
        <w:t>1.03</w:t>
      </w:r>
      <w:r w:rsidRPr="00BF2B09">
        <w:rPr>
          <w:rFonts w:cs="Arial"/>
        </w:rPr>
        <w:t xml:space="preserve">; CI: </w:t>
      </w:r>
      <w:r w:rsidR="00AF1592" w:rsidRPr="00836207">
        <w:rPr>
          <w:rFonts w:cs="Arial"/>
          <w:sz w:val="20"/>
          <w:szCs w:val="20"/>
        </w:rPr>
        <w:t>1.01 to 1.06</w:t>
      </w:r>
      <w:r w:rsidRPr="00BF2B09">
        <w:rPr>
          <w:rFonts w:cs="Arial"/>
        </w:rPr>
        <w:t>, p=0.0</w:t>
      </w:r>
      <w:r w:rsidR="00AF1592">
        <w:rPr>
          <w:rFonts w:cs="Arial"/>
        </w:rPr>
        <w:t>26</w:t>
      </w:r>
      <w:r w:rsidRPr="00BF2B09">
        <w:rPr>
          <w:rFonts w:cs="Arial"/>
        </w:rPr>
        <w:t>] together explained 19% of the variance</w:t>
      </w:r>
      <w:r>
        <w:rPr>
          <w:rFonts w:cs="Arial"/>
        </w:rPr>
        <w:t xml:space="preserve"> in the model</w:t>
      </w:r>
      <w:r w:rsidR="0017067A">
        <w:rPr>
          <w:rFonts w:cs="Arial"/>
        </w:rPr>
        <w:t xml:space="preserve">, classified as having good fit. </w:t>
      </w:r>
      <w:r>
        <w:rPr>
          <w:rFonts w:cs="Arial"/>
        </w:rPr>
        <w:t>Banding status, gender, microbial status and genotype did not predict adherence.</w:t>
      </w:r>
    </w:p>
    <w:p w:rsidR="0017067A" w:rsidRDefault="00BF2B09" w:rsidP="00BF2B09">
      <w:pPr>
        <w:rPr>
          <w:rFonts w:cs="Arial"/>
        </w:rPr>
      </w:pPr>
      <w:r w:rsidRPr="00BF2B09">
        <w:rPr>
          <w:rFonts w:cs="Arial"/>
          <w:b/>
        </w:rPr>
        <w:t>Conclusion</w:t>
      </w:r>
      <w:r w:rsidRPr="00BF2B09">
        <w:rPr>
          <w:rFonts w:cs="Arial"/>
        </w:rPr>
        <w:t xml:space="preserve">: </w:t>
      </w:r>
      <w:r w:rsidR="0017067A">
        <w:rPr>
          <w:rFonts w:cs="Arial"/>
        </w:rPr>
        <w:t>Although adherence is complex in aetiology, we have shown that 3 objective measures can predict almost 20% of the model.</w:t>
      </w:r>
      <w:r>
        <w:rPr>
          <w:rFonts w:cs="Arial"/>
        </w:rPr>
        <w:t xml:space="preserve"> </w:t>
      </w:r>
      <w:r w:rsidR="0017067A">
        <w:rPr>
          <w:rFonts w:cs="Arial"/>
        </w:rPr>
        <w:t>The odds of being in a higher adherence category increase</w:t>
      </w:r>
      <w:r w:rsidR="00AF1592">
        <w:rPr>
          <w:rFonts w:cs="Arial"/>
        </w:rPr>
        <w:t xml:space="preserve"> </w:t>
      </w:r>
      <w:r w:rsidR="00EF7C81">
        <w:rPr>
          <w:rFonts w:cs="Arial"/>
        </w:rPr>
        <w:t xml:space="preserve">for every 1 year of </w:t>
      </w:r>
      <w:proofErr w:type="gramStart"/>
      <w:r w:rsidR="00EF7C81">
        <w:rPr>
          <w:rFonts w:cs="Arial"/>
        </w:rPr>
        <w:t xml:space="preserve">age </w:t>
      </w:r>
      <w:r w:rsidR="0017067A">
        <w:rPr>
          <w:rFonts w:cs="Arial"/>
        </w:rPr>
        <w:t>,</w:t>
      </w:r>
      <w:proofErr w:type="gramEnd"/>
      <w:r w:rsidR="0017067A">
        <w:rPr>
          <w:rFonts w:cs="Arial"/>
        </w:rPr>
        <w:t xml:space="preserve"> for every 1% reduction in FEV</w:t>
      </w:r>
      <w:r w:rsidR="0017067A" w:rsidRPr="00EF7C81">
        <w:rPr>
          <w:rFonts w:cs="Arial"/>
          <w:vertAlign w:val="subscript"/>
        </w:rPr>
        <w:t>1</w:t>
      </w:r>
      <w:r w:rsidR="0017067A">
        <w:rPr>
          <w:rFonts w:cs="Arial"/>
        </w:rPr>
        <w:t xml:space="preserve"> coefficient variation </w:t>
      </w:r>
      <w:r w:rsidR="00AF1592">
        <w:rPr>
          <w:rFonts w:cs="Arial"/>
        </w:rPr>
        <w:t xml:space="preserve">and </w:t>
      </w:r>
      <w:r w:rsidR="00EF7C81">
        <w:rPr>
          <w:rFonts w:cs="Arial"/>
        </w:rPr>
        <w:t xml:space="preserve">each </w:t>
      </w:r>
      <w:r w:rsidR="00AF1592">
        <w:rPr>
          <w:rFonts w:cs="Arial"/>
        </w:rPr>
        <w:t>increase in medication</w:t>
      </w:r>
      <w:r w:rsidR="00EF7C81">
        <w:rPr>
          <w:rFonts w:cs="Arial"/>
        </w:rPr>
        <w:t xml:space="preserve">. </w:t>
      </w:r>
      <w:r w:rsidR="00AF1592">
        <w:rPr>
          <w:rFonts w:cs="Arial"/>
        </w:rPr>
        <w:t xml:space="preserve"> </w:t>
      </w:r>
    </w:p>
    <w:p w:rsidR="00C37670" w:rsidRDefault="00C37670" w:rsidP="00BF2B09">
      <w:pPr>
        <w:rPr>
          <w:rFonts w:cs="Arial"/>
        </w:rPr>
      </w:pPr>
    </w:p>
    <w:p w:rsidR="00C37670" w:rsidRDefault="00C37670" w:rsidP="00BF2B09">
      <w:pPr>
        <w:rPr>
          <w:rFonts w:cs="Arial"/>
        </w:rPr>
      </w:pPr>
    </w:p>
    <w:p w:rsidR="00C37670" w:rsidRDefault="00C37670" w:rsidP="00BF2B09">
      <w:pPr>
        <w:rPr>
          <w:rFonts w:cs="Arial"/>
        </w:rPr>
      </w:pPr>
    </w:p>
    <w:p w:rsidR="00C37670" w:rsidRDefault="00C37670" w:rsidP="00BF2B09">
      <w:pPr>
        <w:rPr>
          <w:rFonts w:cs="Arial"/>
        </w:rPr>
      </w:pPr>
    </w:p>
    <w:p w:rsidR="00C37670" w:rsidRDefault="00C37670" w:rsidP="00BF2B09">
      <w:pPr>
        <w:rPr>
          <w:rFonts w:cs="Arial"/>
        </w:rPr>
      </w:pPr>
    </w:p>
    <w:p w:rsidR="00C37670" w:rsidRDefault="00C37670" w:rsidP="00BF2B09">
      <w:pPr>
        <w:rPr>
          <w:rFonts w:cs="Arial"/>
        </w:rPr>
      </w:pPr>
    </w:p>
    <w:p w:rsidR="004F2BCB" w:rsidRPr="001A0226" w:rsidRDefault="002102DA" w:rsidP="007E09C2">
      <w:pPr>
        <w:autoSpaceDE w:val="0"/>
        <w:autoSpaceDN w:val="0"/>
        <w:adjustRightInd w:val="0"/>
        <w:spacing w:after="0" w:line="240" w:lineRule="auto"/>
        <w:rPr>
          <w:rFonts w:cs="Arial"/>
          <w:b/>
        </w:rPr>
      </w:pPr>
      <w:r w:rsidRPr="002102DA">
        <w:rPr>
          <w:rFonts w:cs="Arial"/>
          <w:b/>
        </w:rPr>
        <w:lastRenderedPageBreak/>
        <w:t>The impact of disease severity and clinical variation on self-reported adherence</w:t>
      </w:r>
    </w:p>
    <w:p w:rsidR="004F2BCB" w:rsidRPr="004F2BCB" w:rsidRDefault="004F2BCB" w:rsidP="007E09C2">
      <w:pPr>
        <w:autoSpaceDE w:val="0"/>
        <w:autoSpaceDN w:val="0"/>
        <w:adjustRightInd w:val="0"/>
        <w:spacing w:after="0" w:line="240" w:lineRule="auto"/>
        <w:rPr>
          <w:rFonts w:ascii="Arial" w:hAnsi="Arial" w:cs="Arial"/>
          <w:b/>
          <w:i/>
        </w:rPr>
      </w:pPr>
      <w:r w:rsidRPr="001A0226">
        <w:rPr>
          <w:rFonts w:cs="Arial"/>
          <w:b/>
          <w:i/>
        </w:rPr>
        <w:t xml:space="preserve">Shaw N, White H, Huntington S, </w:t>
      </w:r>
      <w:proofErr w:type="spellStart"/>
      <w:r w:rsidRPr="001A0226">
        <w:rPr>
          <w:rFonts w:cs="Arial"/>
          <w:b/>
          <w:i/>
        </w:rPr>
        <w:t>Driffil</w:t>
      </w:r>
      <w:proofErr w:type="spellEnd"/>
      <w:r w:rsidRPr="001A0226">
        <w:rPr>
          <w:rFonts w:cs="Arial"/>
          <w:b/>
          <w:i/>
        </w:rPr>
        <w:t xml:space="preserve"> A, Pollard K, Peckham DG</w:t>
      </w:r>
      <w:r w:rsidRPr="004F2BCB">
        <w:rPr>
          <w:rFonts w:ascii="Arial" w:hAnsi="Arial" w:cs="Arial"/>
          <w:b/>
          <w:i/>
        </w:rPr>
        <w:t xml:space="preserve"> </w:t>
      </w:r>
    </w:p>
    <w:p w:rsidR="004F2BCB" w:rsidRDefault="004F2BCB" w:rsidP="007E09C2">
      <w:pPr>
        <w:autoSpaceDE w:val="0"/>
        <w:autoSpaceDN w:val="0"/>
        <w:adjustRightInd w:val="0"/>
        <w:spacing w:after="0" w:line="240" w:lineRule="auto"/>
        <w:rPr>
          <w:rFonts w:ascii="Times New Roman" w:hAnsi="Times New Roman" w:cs="Times New Roman"/>
          <w:sz w:val="24"/>
          <w:szCs w:val="24"/>
        </w:rPr>
      </w:pPr>
    </w:p>
    <w:p w:rsidR="007E09C2" w:rsidRPr="004F2BCB" w:rsidRDefault="007E09C2" w:rsidP="007E09C2">
      <w:pPr>
        <w:rPr>
          <w:rFonts w:cs="Arial"/>
          <w:sz w:val="20"/>
          <w:szCs w:val="20"/>
        </w:rPr>
      </w:pPr>
      <w:r w:rsidRPr="004F2BCB">
        <w:rPr>
          <w:rFonts w:cs="Arial"/>
          <w:b/>
          <w:sz w:val="20"/>
          <w:szCs w:val="20"/>
        </w:rPr>
        <w:t>Background</w:t>
      </w:r>
      <w:r w:rsidRPr="004F2BCB">
        <w:rPr>
          <w:rFonts w:cs="Arial"/>
          <w:sz w:val="20"/>
          <w:szCs w:val="20"/>
        </w:rPr>
        <w:t xml:space="preserve">: </w:t>
      </w:r>
      <w:r w:rsidR="000D1D0F">
        <w:rPr>
          <w:rFonts w:cs="Arial"/>
          <w:sz w:val="20"/>
          <w:szCs w:val="20"/>
        </w:rPr>
        <w:t>In a previous study we</w:t>
      </w:r>
      <w:r w:rsidRPr="004F2BCB">
        <w:rPr>
          <w:rFonts w:cs="Arial"/>
          <w:sz w:val="20"/>
          <w:szCs w:val="20"/>
        </w:rPr>
        <w:t xml:space="preserve"> have shown that variation coefficient of FEV</w:t>
      </w:r>
      <w:r w:rsidRPr="004F2BCB">
        <w:rPr>
          <w:rFonts w:cs="Arial"/>
          <w:sz w:val="20"/>
          <w:szCs w:val="20"/>
          <w:vertAlign w:val="subscript"/>
        </w:rPr>
        <w:t>1</w:t>
      </w:r>
      <w:r w:rsidRPr="004F2BCB">
        <w:rPr>
          <w:rFonts w:cs="Arial"/>
          <w:sz w:val="20"/>
          <w:szCs w:val="20"/>
        </w:rPr>
        <w:t xml:space="preserve"> is a predictor of </w:t>
      </w:r>
      <w:r w:rsidR="000D1D0F">
        <w:rPr>
          <w:rFonts w:cs="Arial"/>
          <w:sz w:val="20"/>
          <w:szCs w:val="20"/>
        </w:rPr>
        <w:t>reported</w:t>
      </w:r>
      <w:r w:rsidR="009B1CBA">
        <w:rPr>
          <w:rFonts w:cs="Arial"/>
          <w:sz w:val="20"/>
          <w:szCs w:val="20"/>
        </w:rPr>
        <w:t xml:space="preserve"> </w:t>
      </w:r>
      <w:r w:rsidRPr="004F2BCB">
        <w:rPr>
          <w:rFonts w:cs="Arial"/>
          <w:sz w:val="20"/>
          <w:szCs w:val="20"/>
        </w:rPr>
        <w:t>adherence in CF. Although disease severity was shown not to predict adherence the aim</w:t>
      </w:r>
      <w:bookmarkStart w:id="0" w:name="_GoBack"/>
      <w:bookmarkEnd w:id="0"/>
      <w:r w:rsidRPr="004F2BCB">
        <w:rPr>
          <w:rFonts w:cs="Arial"/>
          <w:sz w:val="20"/>
          <w:szCs w:val="20"/>
        </w:rPr>
        <w:t xml:space="preserve"> of this study was to firstly determine the level of adherence according to disease severity and secondly the relationship between disease severity and clinical variation.</w:t>
      </w:r>
    </w:p>
    <w:p w:rsidR="007E09C2" w:rsidRPr="004F2BCB" w:rsidRDefault="007E09C2" w:rsidP="007E09C2">
      <w:pPr>
        <w:autoSpaceDE w:val="0"/>
        <w:autoSpaceDN w:val="0"/>
        <w:adjustRightInd w:val="0"/>
        <w:spacing w:after="0" w:line="240" w:lineRule="auto"/>
        <w:rPr>
          <w:rFonts w:cs="Arial"/>
          <w:sz w:val="20"/>
          <w:szCs w:val="20"/>
        </w:rPr>
      </w:pPr>
      <w:r w:rsidRPr="004F2BCB">
        <w:rPr>
          <w:rFonts w:cs="Arial"/>
          <w:b/>
          <w:sz w:val="20"/>
          <w:szCs w:val="20"/>
        </w:rPr>
        <w:t>Method</w:t>
      </w:r>
      <w:r w:rsidRPr="004F2BCB">
        <w:rPr>
          <w:rFonts w:cs="Arial"/>
          <w:sz w:val="20"/>
          <w:szCs w:val="20"/>
        </w:rPr>
        <w:t xml:space="preserve">: </w:t>
      </w:r>
      <w:r w:rsidR="00F7776C" w:rsidRPr="004F2BCB">
        <w:rPr>
          <w:rFonts w:cs="Arial"/>
          <w:sz w:val="20"/>
          <w:szCs w:val="20"/>
        </w:rPr>
        <w:t>Patients were</w:t>
      </w:r>
      <w:r w:rsidRPr="004F2BCB">
        <w:rPr>
          <w:rFonts w:cs="Arial"/>
          <w:sz w:val="20"/>
          <w:szCs w:val="20"/>
        </w:rPr>
        <w:t xml:space="preserve"> classified as Band1/1A [6%];</w:t>
      </w:r>
      <w:r w:rsidR="004F2BCB">
        <w:rPr>
          <w:rFonts w:cs="Arial"/>
          <w:sz w:val="20"/>
          <w:szCs w:val="20"/>
        </w:rPr>
        <w:t xml:space="preserve"> </w:t>
      </w:r>
      <w:r w:rsidRPr="004F2BCB">
        <w:rPr>
          <w:rFonts w:cs="Arial"/>
          <w:sz w:val="20"/>
          <w:szCs w:val="20"/>
        </w:rPr>
        <w:t>2 [21.6%]; 2A [41.8%</w:t>
      </w:r>
      <w:proofErr w:type="gramStart"/>
      <w:r w:rsidRPr="004F2BCB">
        <w:rPr>
          <w:rFonts w:cs="Arial"/>
          <w:sz w:val="20"/>
          <w:szCs w:val="20"/>
        </w:rPr>
        <w:t>] ;</w:t>
      </w:r>
      <w:proofErr w:type="gramEnd"/>
      <w:r w:rsidRPr="004F2BCB">
        <w:rPr>
          <w:rFonts w:cs="Arial"/>
          <w:sz w:val="20"/>
          <w:szCs w:val="20"/>
        </w:rPr>
        <w:t>3 [19.6%]; 4[9.1%]; 5 [2.8%] according to national standard criteria</w:t>
      </w:r>
      <w:r w:rsidR="00F7776C" w:rsidRPr="004F2BCB">
        <w:rPr>
          <w:rFonts w:cs="Arial"/>
          <w:sz w:val="20"/>
          <w:szCs w:val="20"/>
        </w:rPr>
        <w:t xml:space="preserve"> and their reported adherence noted from a previous study using CFQ-R self-report and pharmacy collection data</w:t>
      </w:r>
      <w:r w:rsidRPr="004F2BCB">
        <w:rPr>
          <w:rFonts w:cs="Arial"/>
          <w:sz w:val="20"/>
          <w:szCs w:val="20"/>
        </w:rPr>
        <w:t xml:space="preserve">. Coefficient of variation (calculated from the variation of highest and lowest consecutive points for FEV1, weight and CRP, for the previous year) </w:t>
      </w:r>
      <w:r w:rsidR="00F7776C" w:rsidRPr="004F2BCB">
        <w:rPr>
          <w:rFonts w:cs="Arial"/>
          <w:sz w:val="20"/>
          <w:szCs w:val="20"/>
        </w:rPr>
        <w:t>and</w:t>
      </w:r>
      <w:r w:rsidRPr="004F2BCB">
        <w:rPr>
          <w:rFonts w:cs="Arial"/>
          <w:sz w:val="20"/>
          <w:szCs w:val="20"/>
        </w:rPr>
        <w:t xml:space="preserve"> days </w:t>
      </w:r>
      <w:proofErr w:type="gramStart"/>
      <w:r w:rsidRPr="004F2BCB">
        <w:rPr>
          <w:rFonts w:cs="Arial"/>
          <w:sz w:val="20"/>
          <w:szCs w:val="20"/>
        </w:rPr>
        <w:t>iv</w:t>
      </w:r>
      <w:proofErr w:type="gramEnd"/>
      <w:r w:rsidRPr="004F2BCB">
        <w:rPr>
          <w:rFonts w:cs="Arial"/>
          <w:sz w:val="20"/>
          <w:szCs w:val="20"/>
        </w:rPr>
        <w:t xml:space="preserve"> therapy</w:t>
      </w:r>
      <w:r w:rsidR="00F7776C" w:rsidRPr="004F2BCB">
        <w:rPr>
          <w:rFonts w:cs="Arial"/>
          <w:sz w:val="20"/>
          <w:szCs w:val="20"/>
        </w:rPr>
        <w:t xml:space="preserve"> were noted and</w:t>
      </w:r>
      <w:r w:rsidRPr="004F2BCB">
        <w:rPr>
          <w:rFonts w:cs="Arial"/>
          <w:sz w:val="20"/>
          <w:szCs w:val="20"/>
        </w:rPr>
        <w:t xml:space="preserve"> compared across </w:t>
      </w:r>
      <w:r w:rsidR="00F7776C" w:rsidRPr="004F2BCB">
        <w:rPr>
          <w:rFonts w:cs="Arial"/>
          <w:sz w:val="20"/>
          <w:szCs w:val="20"/>
        </w:rPr>
        <w:t>disease severity (</w:t>
      </w:r>
      <w:r w:rsidRPr="004F2BCB">
        <w:rPr>
          <w:rFonts w:cs="Arial"/>
          <w:sz w:val="20"/>
          <w:szCs w:val="20"/>
        </w:rPr>
        <w:t>ANOVA</w:t>
      </w:r>
      <w:r w:rsidR="008F4C93" w:rsidRPr="004F2BCB">
        <w:rPr>
          <w:rFonts w:cs="Arial"/>
          <w:sz w:val="20"/>
          <w:szCs w:val="20"/>
        </w:rPr>
        <w:t xml:space="preserve">) </w:t>
      </w:r>
      <w:r w:rsidRPr="004F2BCB">
        <w:rPr>
          <w:rFonts w:cs="Arial"/>
          <w:sz w:val="20"/>
          <w:szCs w:val="20"/>
        </w:rPr>
        <w:t xml:space="preserve"> </w:t>
      </w:r>
    </w:p>
    <w:p w:rsidR="007E09C2" w:rsidRPr="004F2BCB" w:rsidRDefault="007E09C2" w:rsidP="007E09C2">
      <w:pPr>
        <w:autoSpaceDE w:val="0"/>
        <w:autoSpaceDN w:val="0"/>
        <w:adjustRightInd w:val="0"/>
        <w:spacing w:after="0" w:line="240" w:lineRule="auto"/>
        <w:rPr>
          <w:rFonts w:cs="Arial"/>
          <w:b/>
          <w:sz w:val="20"/>
          <w:szCs w:val="20"/>
        </w:rPr>
      </w:pPr>
    </w:p>
    <w:p w:rsidR="007E09C2" w:rsidRPr="004F2BCB" w:rsidRDefault="007E09C2" w:rsidP="007E09C2">
      <w:pPr>
        <w:autoSpaceDE w:val="0"/>
        <w:autoSpaceDN w:val="0"/>
        <w:adjustRightInd w:val="0"/>
        <w:spacing w:after="0" w:line="240" w:lineRule="auto"/>
        <w:rPr>
          <w:rFonts w:cs="Arial"/>
          <w:sz w:val="20"/>
          <w:szCs w:val="20"/>
        </w:rPr>
      </w:pPr>
      <w:r w:rsidRPr="004F2BCB">
        <w:rPr>
          <w:rFonts w:cs="Arial"/>
          <w:b/>
          <w:sz w:val="20"/>
          <w:szCs w:val="20"/>
        </w:rPr>
        <w:t>Results</w:t>
      </w:r>
      <w:r w:rsidRPr="004F2BCB">
        <w:rPr>
          <w:rFonts w:cs="Arial"/>
          <w:sz w:val="20"/>
          <w:szCs w:val="20"/>
        </w:rPr>
        <w:t>: Significant differences were observed across disease banding for all clinical variation markers (FEV</w:t>
      </w:r>
      <w:r w:rsidRPr="004F2BCB">
        <w:rPr>
          <w:rFonts w:cs="Arial"/>
          <w:sz w:val="20"/>
          <w:szCs w:val="20"/>
          <w:vertAlign w:val="subscript"/>
        </w:rPr>
        <w:t>1</w:t>
      </w:r>
      <w:r w:rsidRPr="004F2BCB">
        <w:rPr>
          <w:rFonts w:cs="Arial"/>
          <w:sz w:val="20"/>
          <w:szCs w:val="20"/>
        </w:rPr>
        <w:t xml:space="preserve">, Weight, </w:t>
      </w:r>
      <w:proofErr w:type="gramStart"/>
      <w:r w:rsidRPr="004F2BCB">
        <w:rPr>
          <w:rFonts w:cs="Arial"/>
          <w:sz w:val="20"/>
          <w:szCs w:val="20"/>
        </w:rPr>
        <w:t>CRP</w:t>
      </w:r>
      <w:proofErr w:type="gramEnd"/>
      <w:r w:rsidRPr="004F2BCB">
        <w:rPr>
          <w:rFonts w:cs="Arial"/>
          <w:sz w:val="20"/>
          <w:szCs w:val="20"/>
        </w:rPr>
        <w:t xml:space="preserve">). Adherence </w:t>
      </w:r>
      <w:r w:rsidR="008F4C93" w:rsidRPr="004F2BCB">
        <w:rPr>
          <w:rFonts w:cs="Arial"/>
          <w:sz w:val="20"/>
          <w:szCs w:val="20"/>
        </w:rPr>
        <w:t>was</w:t>
      </w:r>
      <w:r w:rsidRPr="004F2BCB">
        <w:rPr>
          <w:rFonts w:cs="Arial"/>
          <w:sz w:val="20"/>
          <w:szCs w:val="20"/>
        </w:rPr>
        <w:t xml:space="preserve"> greatest for Band 1/1A, decreases to Band 4 and improve</w:t>
      </w:r>
      <w:r w:rsidR="008F4C93" w:rsidRPr="004F2BCB">
        <w:rPr>
          <w:rFonts w:cs="Arial"/>
          <w:sz w:val="20"/>
          <w:szCs w:val="20"/>
        </w:rPr>
        <w:t>d</w:t>
      </w:r>
      <w:r w:rsidRPr="004F2BCB">
        <w:rPr>
          <w:rFonts w:cs="Arial"/>
          <w:sz w:val="20"/>
          <w:szCs w:val="20"/>
        </w:rPr>
        <w:t xml:space="preserve"> in late stage disease. </w:t>
      </w:r>
    </w:p>
    <w:p w:rsidR="007E09C2" w:rsidRPr="004F2BCB" w:rsidRDefault="007E09C2" w:rsidP="007E09C2">
      <w:pPr>
        <w:autoSpaceDE w:val="0"/>
        <w:autoSpaceDN w:val="0"/>
        <w:adjustRightInd w:val="0"/>
        <w:spacing w:after="0" w:line="240" w:lineRule="auto"/>
        <w:rPr>
          <w:rFonts w:cs="Arial"/>
          <w:b/>
          <w:sz w:val="20"/>
          <w:szCs w:val="20"/>
        </w:rPr>
      </w:pPr>
    </w:p>
    <w:tbl>
      <w:tblPr>
        <w:tblStyle w:val="LightShading-Accent4"/>
        <w:tblW w:w="14944" w:type="dxa"/>
        <w:tblLayout w:type="fixed"/>
        <w:tblLook w:val="04A0" w:firstRow="1" w:lastRow="0" w:firstColumn="1" w:lastColumn="0" w:noHBand="0" w:noVBand="1"/>
      </w:tblPr>
      <w:tblGrid>
        <w:gridCol w:w="2660"/>
        <w:gridCol w:w="1559"/>
        <w:gridCol w:w="1559"/>
        <w:gridCol w:w="1560"/>
        <w:gridCol w:w="1701"/>
        <w:gridCol w:w="1559"/>
        <w:gridCol w:w="1559"/>
        <w:gridCol w:w="94"/>
        <w:gridCol w:w="2599"/>
        <w:gridCol w:w="94"/>
      </w:tblGrid>
      <w:tr w:rsidR="007E09C2" w:rsidRPr="004F2BCB" w:rsidTr="000D1D0F">
        <w:trPr>
          <w:gridAfter w:val="1"/>
          <w:cnfStyle w:val="100000000000" w:firstRow="1" w:lastRow="0" w:firstColumn="0" w:lastColumn="0" w:oddVBand="0" w:evenVBand="0" w:oddHBand="0"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2660" w:type="dxa"/>
          </w:tcPr>
          <w:p w:rsidR="007E09C2" w:rsidRPr="004F2BCB" w:rsidRDefault="00F7776C" w:rsidP="00145E83">
            <w:pPr>
              <w:autoSpaceDE w:val="0"/>
              <w:autoSpaceDN w:val="0"/>
              <w:adjustRightInd w:val="0"/>
              <w:rPr>
                <w:rFonts w:cs="Arial"/>
                <w:sz w:val="20"/>
                <w:szCs w:val="20"/>
              </w:rPr>
            </w:pPr>
            <w:r w:rsidRPr="004F2BCB">
              <w:rPr>
                <w:rFonts w:cs="Arial"/>
                <w:sz w:val="20"/>
                <w:szCs w:val="20"/>
              </w:rPr>
              <w:t>Measure</w:t>
            </w:r>
          </w:p>
        </w:tc>
        <w:tc>
          <w:tcPr>
            <w:tcW w:w="1559" w:type="dxa"/>
          </w:tcPr>
          <w:p w:rsidR="007E09C2" w:rsidRPr="004F2BCB" w:rsidRDefault="00F7776C" w:rsidP="00145E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 xml:space="preserve"> Band </w:t>
            </w:r>
            <w:r w:rsidR="007E09C2" w:rsidRPr="004F2BCB">
              <w:rPr>
                <w:rFonts w:cs="Arial"/>
                <w:sz w:val="20"/>
                <w:szCs w:val="20"/>
              </w:rPr>
              <w:t>1/1A</w:t>
            </w:r>
          </w:p>
        </w:tc>
        <w:tc>
          <w:tcPr>
            <w:tcW w:w="1559" w:type="dxa"/>
          </w:tcPr>
          <w:p w:rsidR="007E09C2" w:rsidRPr="004F2BCB" w:rsidRDefault="00F7776C" w:rsidP="00145E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 xml:space="preserve">Band </w:t>
            </w:r>
            <w:r w:rsidR="007E09C2" w:rsidRPr="004F2BCB">
              <w:rPr>
                <w:rFonts w:cs="Arial"/>
                <w:sz w:val="20"/>
                <w:szCs w:val="20"/>
              </w:rPr>
              <w:t>2</w:t>
            </w:r>
          </w:p>
        </w:tc>
        <w:tc>
          <w:tcPr>
            <w:tcW w:w="1560" w:type="dxa"/>
          </w:tcPr>
          <w:p w:rsidR="007E09C2" w:rsidRPr="004F2BCB" w:rsidRDefault="00F7776C" w:rsidP="00145E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 xml:space="preserve">Band </w:t>
            </w:r>
            <w:r w:rsidR="007E09C2" w:rsidRPr="004F2BCB">
              <w:rPr>
                <w:rFonts w:cs="Arial"/>
                <w:sz w:val="20"/>
                <w:szCs w:val="20"/>
              </w:rPr>
              <w:t>2A</w:t>
            </w:r>
          </w:p>
        </w:tc>
        <w:tc>
          <w:tcPr>
            <w:tcW w:w="1701" w:type="dxa"/>
          </w:tcPr>
          <w:p w:rsidR="007E09C2" w:rsidRPr="004F2BCB" w:rsidRDefault="00F7776C" w:rsidP="00145E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 xml:space="preserve">Band </w:t>
            </w:r>
            <w:r w:rsidR="007E09C2" w:rsidRPr="004F2BCB">
              <w:rPr>
                <w:rFonts w:cs="Arial"/>
                <w:sz w:val="20"/>
                <w:szCs w:val="20"/>
              </w:rPr>
              <w:t>3</w:t>
            </w:r>
          </w:p>
        </w:tc>
        <w:tc>
          <w:tcPr>
            <w:tcW w:w="1559" w:type="dxa"/>
          </w:tcPr>
          <w:p w:rsidR="007E09C2" w:rsidRPr="004F2BCB" w:rsidRDefault="00F7776C" w:rsidP="00145E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 xml:space="preserve">Band </w:t>
            </w:r>
            <w:r w:rsidR="007E09C2" w:rsidRPr="004F2BCB">
              <w:rPr>
                <w:rFonts w:cs="Arial"/>
                <w:sz w:val="20"/>
                <w:szCs w:val="20"/>
              </w:rPr>
              <w:t>4</w:t>
            </w:r>
          </w:p>
        </w:tc>
        <w:tc>
          <w:tcPr>
            <w:tcW w:w="1559" w:type="dxa"/>
          </w:tcPr>
          <w:p w:rsidR="007E09C2" w:rsidRPr="004F2BCB" w:rsidRDefault="00F7776C" w:rsidP="00145E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 xml:space="preserve">Band </w:t>
            </w:r>
            <w:r w:rsidR="007E09C2" w:rsidRPr="004F2BCB">
              <w:rPr>
                <w:rFonts w:cs="Arial"/>
                <w:sz w:val="20"/>
                <w:szCs w:val="20"/>
              </w:rPr>
              <w:t>5</w:t>
            </w:r>
          </w:p>
        </w:tc>
        <w:tc>
          <w:tcPr>
            <w:tcW w:w="2693" w:type="dxa"/>
            <w:gridSpan w:val="2"/>
          </w:tcPr>
          <w:p w:rsidR="007E09C2" w:rsidRPr="004F2BCB" w:rsidRDefault="007E09C2" w:rsidP="00145E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ANOVA</w:t>
            </w:r>
          </w:p>
        </w:tc>
      </w:tr>
      <w:tr w:rsidR="007E09C2" w:rsidRPr="004F2BCB" w:rsidTr="000D1D0F">
        <w:trPr>
          <w:gridAfter w:val="1"/>
          <w:cnfStyle w:val="000000100000" w:firstRow="0" w:lastRow="0" w:firstColumn="0" w:lastColumn="0" w:oddVBand="0" w:evenVBand="0" w:oddHBand="1"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2660" w:type="dxa"/>
          </w:tcPr>
          <w:p w:rsidR="007E09C2" w:rsidRPr="004F2BCB" w:rsidRDefault="007E09C2" w:rsidP="00145E83">
            <w:pPr>
              <w:autoSpaceDE w:val="0"/>
              <w:autoSpaceDN w:val="0"/>
              <w:adjustRightInd w:val="0"/>
              <w:rPr>
                <w:rFonts w:cs="Arial"/>
                <w:sz w:val="20"/>
                <w:szCs w:val="20"/>
              </w:rPr>
            </w:pPr>
            <w:r w:rsidRPr="004F2BCB">
              <w:rPr>
                <w:rFonts w:cs="Arial"/>
                <w:sz w:val="20"/>
                <w:szCs w:val="20"/>
              </w:rPr>
              <w:t>Adherence (self-report)</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93.5% (±5.1)</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74.7% (±13.5)</w:t>
            </w:r>
          </w:p>
        </w:tc>
        <w:tc>
          <w:tcPr>
            <w:tcW w:w="1560" w:type="dxa"/>
          </w:tcPr>
          <w:p w:rsidR="007E09C2" w:rsidRPr="004F2BCB" w:rsidRDefault="008F4C93" w:rsidP="00A646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81%</w:t>
            </w:r>
            <w:r w:rsidR="00A6463A" w:rsidRPr="004F2BCB">
              <w:rPr>
                <w:rFonts w:cs="Arial"/>
                <w:sz w:val="20"/>
                <w:szCs w:val="20"/>
              </w:rPr>
              <w:t>(±15.5)</w:t>
            </w:r>
          </w:p>
        </w:tc>
        <w:tc>
          <w:tcPr>
            <w:tcW w:w="1701"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67.4% (±17.4)</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58.5% (±27.7)</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i/>
                <w:iCs/>
                <w:sz w:val="20"/>
                <w:szCs w:val="20"/>
              </w:rPr>
            </w:pPr>
            <w:r w:rsidRPr="004F2BCB">
              <w:rPr>
                <w:rFonts w:cs="Arial"/>
                <w:sz w:val="20"/>
                <w:szCs w:val="20"/>
              </w:rPr>
              <w:t>66.8% (±20.8)</w:t>
            </w:r>
          </w:p>
        </w:tc>
        <w:tc>
          <w:tcPr>
            <w:tcW w:w="2693" w:type="dxa"/>
            <w:gridSpan w:val="2"/>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i/>
                <w:iCs/>
                <w:sz w:val="20"/>
                <w:szCs w:val="20"/>
              </w:rPr>
              <w:t>F</w:t>
            </w:r>
            <w:r w:rsidRPr="004F2BCB">
              <w:rPr>
                <w:rFonts w:cs="Arial"/>
                <w:sz w:val="20"/>
                <w:szCs w:val="20"/>
              </w:rPr>
              <w:t xml:space="preserve"> (5, 242) = 2.33, </w:t>
            </w:r>
            <w:r w:rsidRPr="004F2BCB">
              <w:rPr>
                <w:rFonts w:cs="Arial"/>
                <w:i/>
                <w:iCs/>
                <w:sz w:val="20"/>
                <w:szCs w:val="20"/>
              </w:rPr>
              <w:t>p</w:t>
            </w:r>
            <w:r w:rsidRPr="004F2BCB">
              <w:rPr>
                <w:rFonts w:cs="Arial"/>
                <w:sz w:val="20"/>
                <w:szCs w:val="20"/>
              </w:rPr>
              <w:t xml:space="preserve"> = .004.</w:t>
            </w:r>
          </w:p>
        </w:tc>
      </w:tr>
      <w:tr w:rsidR="007E09C2" w:rsidRPr="004F2BCB" w:rsidTr="000D1D0F">
        <w:trPr>
          <w:gridAfter w:val="1"/>
          <w:wAfter w:w="94" w:type="dxa"/>
        </w:trPr>
        <w:tc>
          <w:tcPr>
            <w:cnfStyle w:val="001000000000" w:firstRow="0" w:lastRow="0" w:firstColumn="1" w:lastColumn="0" w:oddVBand="0" w:evenVBand="0" w:oddHBand="0" w:evenHBand="0" w:firstRowFirstColumn="0" w:firstRowLastColumn="0" w:lastRowFirstColumn="0" w:lastRowLastColumn="0"/>
            <w:tcW w:w="2660" w:type="dxa"/>
          </w:tcPr>
          <w:p w:rsidR="007E09C2" w:rsidRPr="004F2BCB" w:rsidRDefault="007E09C2" w:rsidP="00145E83">
            <w:pPr>
              <w:autoSpaceDE w:val="0"/>
              <w:autoSpaceDN w:val="0"/>
              <w:adjustRightInd w:val="0"/>
              <w:rPr>
                <w:rFonts w:cs="Arial"/>
                <w:sz w:val="20"/>
                <w:szCs w:val="20"/>
              </w:rPr>
            </w:pPr>
            <w:r w:rsidRPr="004F2BCB">
              <w:rPr>
                <w:rFonts w:cs="Arial"/>
                <w:sz w:val="20"/>
                <w:szCs w:val="20"/>
              </w:rPr>
              <w:t>Coefficient of variation FEV</w:t>
            </w:r>
            <w:r w:rsidRPr="004F2BCB">
              <w:rPr>
                <w:rFonts w:cs="Arial"/>
                <w:sz w:val="20"/>
                <w:szCs w:val="20"/>
                <w:vertAlign w:val="subscript"/>
              </w:rPr>
              <w:t>1</w:t>
            </w:r>
            <w:r w:rsidRPr="004F2BCB">
              <w:rPr>
                <w:rFonts w:cs="Arial"/>
                <w:i/>
                <w:iCs/>
                <w:sz w:val="20"/>
                <w:szCs w:val="20"/>
              </w:rPr>
              <w:tab/>
            </w:r>
            <w:r w:rsidRPr="004F2BCB">
              <w:rPr>
                <w:rFonts w:cs="Arial"/>
                <w:i/>
                <w:iCs/>
                <w:sz w:val="20"/>
                <w:szCs w:val="20"/>
              </w:rPr>
              <w:tab/>
            </w:r>
          </w:p>
          <w:p w:rsidR="007E09C2" w:rsidRPr="004F2BCB" w:rsidRDefault="007E09C2" w:rsidP="00145E83">
            <w:pPr>
              <w:autoSpaceDE w:val="0"/>
              <w:autoSpaceDN w:val="0"/>
              <w:adjustRightInd w:val="0"/>
              <w:rPr>
                <w:rFonts w:cs="Arial"/>
                <w:sz w:val="20"/>
                <w:szCs w:val="20"/>
              </w:rPr>
            </w:pPr>
            <w:r w:rsidRPr="004F2BCB">
              <w:rPr>
                <w:rFonts w:cs="Arial"/>
                <w:i/>
                <w:iCs/>
                <w:sz w:val="20"/>
                <w:szCs w:val="20"/>
              </w:rPr>
              <w:tab/>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6.7% (±3.5)</w:t>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13.2% (±7.5)</w:t>
            </w:r>
          </w:p>
        </w:tc>
        <w:tc>
          <w:tcPr>
            <w:tcW w:w="1560"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9.0% (±5.3)</w:t>
            </w:r>
          </w:p>
        </w:tc>
        <w:tc>
          <w:tcPr>
            <w:tcW w:w="1701"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13.1% (±5.6)</w:t>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4F2BCB">
              <w:rPr>
                <w:rFonts w:cs="Arial"/>
                <w:sz w:val="20"/>
                <w:szCs w:val="20"/>
              </w:rPr>
              <w:t>17.5% (±4.6)</w:t>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4F2BCB">
              <w:rPr>
                <w:rFonts w:cs="Arial"/>
                <w:sz w:val="20"/>
                <w:szCs w:val="20"/>
              </w:rPr>
              <w:t>18.2% (±11.7)</w:t>
            </w:r>
          </w:p>
        </w:tc>
        <w:tc>
          <w:tcPr>
            <w:tcW w:w="2693" w:type="dxa"/>
            <w:gridSpan w:val="2"/>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i/>
                <w:iCs/>
                <w:sz w:val="20"/>
                <w:szCs w:val="20"/>
              </w:rPr>
              <w:t>F</w:t>
            </w:r>
            <w:r w:rsidRPr="004F2BCB">
              <w:rPr>
                <w:rFonts w:cs="Arial"/>
                <w:sz w:val="20"/>
                <w:szCs w:val="20"/>
              </w:rPr>
              <w:t xml:space="preserve"> (2, 27) = 7.58, </w:t>
            </w:r>
            <w:r w:rsidRPr="004F2BCB">
              <w:rPr>
                <w:rFonts w:cs="Arial"/>
                <w:i/>
                <w:iCs/>
                <w:sz w:val="20"/>
                <w:szCs w:val="20"/>
              </w:rPr>
              <w:t>p</w:t>
            </w:r>
            <w:r w:rsidRPr="004F2BCB">
              <w:rPr>
                <w:rFonts w:cs="Arial"/>
                <w:sz w:val="20"/>
                <w:szCs w:val="20"/>
              </w:rPr>
              <w:t xml:space="preserve"> &lt;0.001</w:t>
            </w:r>
          </w:p>
        </w:tc>
      </w:tr>
      <w:tr w:rsidR="007E09C2" w:rsidRPr="004F2BCB" w:rsidTr="000D1D0F">
        <w:trPr>
          <w:gridAfter w:val="1"/>
          <w:cnfStyle w:val="000000100000" w:firstRow="0" w:lastRow="0" w:firstColumn="0" w:lastColumn="0" w:oddVBand="0" w:evenVBand="0" w:oddHBand="1"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2660" w:type="dxa"/>
          </w:tcPr>
          <w:p w:rsidR="007E09C2" w:rsidRPr="004F2BCB" w:rsidRDefault="007E09C2" w:rsidP="00145E83">
            <w:pPr>
              <w:autoSpaceDE w:val="0"/>
              <w:autoSpaceDN w:val="0"/>
              <w:adjustRightInd w:val="0"/>
              <w:rPr>
                <w:rFonts w:cs="Arial"/>
                <w:sz w:val="20"/>
                <w:szCs w:val="20"/>
              </w:rPr>
            </w:pPr>
            <w:r w:rsidRPr="004F2BCB">
              <w:rPr>
                <w:rFonts w:cs="Arial"/>
                <w:sz w:val="20"/>
                <w:szCs w:val="20"/>
              </w:rPr>
              <w:t>Coefficient of variation weight</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2.3% (±1.9)</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2.8% (±1.6)</w:t>
            </w:r>
          </w:p>
        </w:tc>
        <w:tc>
          <w:tcPr>
            <w:tcW w:w="1560"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2.3% (±1.4)</w:t>
            </w:r>
          </w:p>
        </w:tc>
        <w:tc>
          <w:tcPr>
            <w:tcW w:w="1701"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3.2% (±1.2)</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i/>
                <w:iCs/>
                <w:sz w:val="20"/>
                <w:szCs w:val="20"/>
              </w:rPr>
            </w:pPr>
            <w:r w:rsidRPr="004F2BCB">
              <w:rPr>
                <w:rFonts w:cs="Arial"/>
                <w:sz w:val="20"/>
                <w:szCs w:val="20"/>
              </w:rPr>
              <w:t>5.4% (±6.8)</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i/>
                <w:iCs/>
                <w:sz w:val="20"/>
                <w:szCs w:val="20"/>
              </w:rPr>
            </w:pPr>
            <w:r w:rsidRPr="004F2BCB">
              <w:rPr>
                <w:rFonts w:cs="Arial"/>
                <w:sz w:val="20"/>
                <w:szCs w:val="20"/>
              </w:rPr>
              <w:t>5.6% (±6.9)</w:t>
            </w:r>
          </w:p>
        </w:tc>
        <w:tc>
          <w:tcPr>
            <w:tcW w:w="2693" w:type="dxa"/>
            <w:gridSpan w:val="2"/>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i/>
                <w:iCs/>
                <w:sz w:val="20"/>
                <w:szCs w:val="20"/>
              </w:rPr>
              <w:t>F</w:t>
            </w:r>
            <w:r w:rsidRPr="004F2BCB">
              <w:rPr>
                <w:rFonts w:cs="Arial"/>
                <w:sz w:val="20"/>
                <w:szCs w:val="20"/>
              </w:rPr>
              <w:t xml:space="preserve"> (5, 243) = 3.35, </w:t>
            </w:r>
            <w:r w:rsidRPr="004F2BCB">
              <w:rPr>
                <w:rFonts w:cs="Arial"/>
                <w:i/>
                <w:iCs/>
                <w:sz w:val="20"/>
                <w:szCs w:val="20"/>
              </w:rPr>
              <w:t>p</w:t>
            </w:r>
            <w:r w:rsidRPr="004F2BCB">
              <w:rPr>
                <w:rFonts w:cs="Arial"/>
                <w:sz w:val="20"/>
                <w:szCs w:val="20"/>
              </w:rPr>
              <w:t xml:space="preserve"> = .006</w:t>
            </w:r>
          </w:p>
        </w:tc>
      </w:tr>
      <w:tr w:rsidR="007E09C2" w:rsidRPr="004F2BCB" w:rsidTr="000D1D0F">
        <w:trPr>
          <w:gridAfter w:val="1"/>
          <w:wAfter w:w="94" w:type="dxa"/>
        </w:trPr>
        <w:tc>
          <w:tcPr>
            <w:cnfStyle w:val="001000000000" w:firstRow="0" w:lastRow="0" w:firstColumn="1" w:lastColumn="0" w:oddVBand="0" w:evenVBand="0" w:oddHBand="0" w:evenHBand="0" w:firstRowFirstColumn="0" w:firstRowLastColumn="0" w:lastRowFirstColumn="0" w:lastRowLastColumn="0"/>
            <w:tcW w:w="2660" w:type="dxa"/>
          </w:tcPr>
          <w:p w:rsidR="007E09C2" w:rsidRPr="004F2BCB" w:rsidRDefault="007E09C2" w:rsidP="00145E83">
            <w:pPr>
              <w:autoSpaceDE w:val="0"/>
              <w:autoSpaceDN w:val="0"/>
              <w:adjustRightInd w:val="0"/>
              <w:rPr>
                <w:rFonts w:cs="Arial"/>
                <w:sz w:val="20"/>
                <w:szCs w:val="20"/>
              </w:rPr>
            </w:pPr>
            <w:r w:rsidRPr="004F2BCB">
              <w:rPr>
                <w:rFonts w:cs="Arial"/>
                <w:sz w:val="20"/>
                <w:szCs w:val="20"/>
              </w:rPr>
              <w:t>Coefficient of variation CRP</w:t>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37.5% (±43.7)</w:t>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31.8% (±43.6)</w:t>
            </w:r>
          </w:p>
        </w:tc>
        <w:tc>
          <w:tcPr>
            <w:tcW w:w="1560"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93.5% (±5.1)</w:t>
            </w:r>
          </w:p>
        </w:tc>
        <w:tc>
          <w:tcPr>
            <w:tcW w:w="1701"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sz w:val="20"/>
                <w:szCs w:val="20"/>
              </w:rPr>
              <w:t>47.8% (±46.8)</w:t>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4F2BCB">
              <w:rPr>
                <w:rFonts w:cs="Arial"/>
                <w:sz w:val="20"/>
                <w:szCs w:val="20"/>
              </w:rPr>
              <w:t>69.6% (±46.6)</w:t>
            </w:r>
          </w:p>
        </w:tc>
        <w:tc>
          <w:tcPr>
            <w:tcW w:w="1559" w:type="dxa"/>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4F2BCB">
              <w:rPr>
                <w:rFonts w:cs="Arial"/>
                <w:sz w:val="20"/>
                <w:szCs w:val="20"/>
              </w:rPr>
              <w:t>47.5% (±38.5)</w:t>
            </w:r>
          </w:p>
        </w:tc>
        <w:tc>
          <w:tcPr>
            <w:tcW w:w="2693" w:type="dxa"/>
            <w:gridSpan w:val="2"/>
          </w:tcPr>
          <w:p w:rsidR="007E09C2" w:rsidRPr="004F2BCB" w:rsidRDefault="007E09C2" w:rsidP="00145E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4F2BCB">
              <w:rPr>
                <w:rFonts w:cs="Arial"/>
                <w:i/>
                <w:iCs/>
                <w:sz w:val="20"/>
                <w:szCs w:val="20"/>
              </w:rPr>
              <w:t>F</w:t>
            </w:r>
            <w:r w:rsidRPr="004F2BCB">
              <w:rPr>
                <w:rFonts w:cs="Arial"/>
                <w:sz w:val="20"/>
                <w:szCs w:val="20"/>
              </w:rPr>
              <w:t xml:space="preserve"> (5, 243) = 4.51, </w:t>
            </w:r>
            <w:r w:rsidRPr="004F2BCB">
              <w:rPr>
                <w:rFonts w:cs="Arial"/>
                <w:i/>
                <w:iCs/>
                <w:sz w:val="20"/>
                <w:szCs w:val="20"/>
              </w:rPr>
              <w:t>p</w:t>
            </w:r>
            <w:r w:rsidRPr="004F2BCB">
              <w:rPr>
                <w:rFonts w:cs="Arial"/>
                <w:sz w:val="20"/>
                <w:szCs w:val="20"/>
              </w:rPr>
              <w:t xml:space="preserve"> = .001.</w:t>
            </w:r>
          </w:p>
        </w:tc>
      </w:tr>
      <w:tr w:rsidR="007E09C2" w:rsidRPr="004F2BCB" w:rsidTr="000D1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E09C2" w:rsidRPr="004F2BCB" w:rsidRDefault="007E09C2" w:rsidP="00145E83">
            <w:pPr>
              <w:autoSpaceDE w:val="0"/>
              <w:autoSpaceDN w:val="0"/>
              <w:adjustRightInd w:val="0"/>
              <w:rPr>
                <w:rFonts w:cs="Arial"/>
                <w:sz w:val="20"/>
                <w:szCs w:val="20"/>
              </w:rPr>
            </w:pPr>
            <w:r w:rsidRPr="004F2BCB">
              <w:rPr>
                <w:rFonts w:cs="Arial"/>
                <w:sz w:val="20"/>
                <w:szCs w:val="20"/>
              </w:rPr>
              <w:t>Days iv therapy</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24.5% (±28.9)</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10.9% (±20.4)</w:t>
            </w:r>
          </w:p>
        </w:tc>
        <w:tc>
          <w:tcPr>
            <w:tcW w:w="1560"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21.1% (±25.5)</w:t>
            </w:r>
          </w:p>
        </w:tc>
        <w:tc>
          <w:tcPr>
            <w:tcW w:w="1701"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sz w:val="20"/>
                <w:szCs w:val="20"/>
              </w:rPr>
              <w:t>36.0% (±30.4)</w:t>
            </w:r>
          </w:p>
        </w:tc>
        <w:tc>
          <w:tcPr>
            <w:tcW w:w="1559" w:type="dxa"/>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i/>
                <w:iCs/>
                <w:sz w:val="20"/>
                <w:szCs w:val="20"/>
              </w:rPr>
            </w:pPr>
            <w:r w:rsidRPr="004F2BCB">
              <w:rPr>
                <w:rFonts w:cs="Arial"/>
                <w:sz w:val="20"/>
                <w:szCs w:val="20"/>
              </w:rPr>
              <w:t>79.5% (±37.3)</w:t>
            </w:r>
          </w:p>
        </w:tc>
        <w:tc>
          <w:tcPr>
            <w:tcW w:w="1653" w:type="dxa"/>
            <w:gridSpan w:val="2"/>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i/>
                <w:iCs/>
                <w:sz w:val="20"/>
                <w:szCs w:val="20"/>
              </w:rPr>
            </w:pPr>
            <w:r w:rsidRPr="004F2BCB">
              <w:rPr>
                <w:rFonts w:cs="Arial"/>
                <w:sz w:val="20"/>
                <w:szCs w:val="20"/>
              </w:rPr>
              <w:t>98.0% (±126.3)</w:t>
            </w:r>
          </w:p>
        </w:tc>
        <w:tc>
          <w:tcPr>
            <w:tcW w:w="2693" w:type="dxa"/>
            <w:gridSpan w:val="2"/>
          </w:tcPr>
          <w:p w:rsidR="007E09C2" w:rsidRPr="004F2BCB" w:rsidRDefault="007E09C2" w:rsidP="00145E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F2BCB">
              <w:rPr>
                <w:rFonts w:cs="Arial"/>
                <w:i/>
                <w:iCs/>
                <w:sz w:val="20"/>
                <w:szCs w:val="20"/>
              </w:rPr>
              <w:t>F</w:t>
            </w:r>
            <w:r w:rsidRPr="004F2BCB">
              <w:rPr>
                <w:rFonts w:cs="Arial"/>
                <w:sz w:val="20"/>
                <w:szCs w:val="20"/>
              </w:rPr>
              <w:t xml:space="preserve"> (5, 243) = 20.8, </w:t>
            </w:r>
            <w:r w:rsidRPr="004F2BCB">
              <w:rPr>
                <w:rFonts w:cs="Arial"/>
                <w:i/>
                <w:iCs/>
                <w:sz w:val="20"/>
                <w:szCs w:val="20"/>
              </w:rPr>
              <w:t>p</w:t>
            </w:r>
            <w:r w:rsidRPr="004F2BCB">
              <w:rPr>
                <w:rFonts w:cs="Arial"/>
                <w:sz w:val="20"/>
                <w:szCs w:val="20"/>
              </w:rPr>
              <w:t xml:space="preserve"> &lt;0.001</w:t>
            </w:r>
          </w:p>
        </w:tc>
      </w:tr>
    </w:tbl>
    <w:p w:rsidR="007E09C2" w:rsidRPr="004F2BCB" w:rsidRDefault="007E09C2" w:rsidP="007E09C2">
      <w:pPr>
        <w:rPr>
          <w:rFonts w:cs="Arial"/>
          <w:sz w:val="20"/>
          <w:szCs w:val="20"/>
        </w:rPr>
      </w:pPr>
    </w:p>
    <w:p w:rsidR="007E09C2" w:rsidRPr="004F2BCB" w:rsidRDefault="007E09C2" w:rsidP="007E09C2">
      <w:pPr>
        <w:autoSpaceDE w:val="0"/>
        <w:autoSpaceDN w:val="0"/>
        <w:adjustRightInd w:val="0"/>
        <w:spacing w:after="0" w:line="240" w:lineRule="auto"/>
        <w:rPr>
          <w:rFonts w:cs="Arial"/>
          <w:sz w:val="20"/>
          <w:szCs w:val="20"/>
        </w:rPr>
      </w:pPr>
    </w:p>
    <w:p w:rsidR="00C37670" w:rsidRPr="004F2BCB" w:rsidRDefault="007E09C2" w:rsidP="00F7776C">
      <w:pPr>
        <w:autoSpaceDE w:val="0"/>
        <w:autoSpaceDN w:val="0"/>
        <w:adjustRightInd w:val="0"/>
        <w:spacing w:after="0" w:line="240" w:lineRule="auto"/>
        <w:rPr>
          <w:rFonts w:cs="Arial"/>
          <w:sz w:val="20"/>
          <w:szCs w:val="20"/>
        </w:rPr>
      </w:pPr>
      <w:r w:rsidRPr="004F2BCB">
        <w:rPr>
          <w:rFonts w:cs="Arial"/>
          <w:b/>
          <w:sz w:val="20"/>
          <w:szCs w:val="20"/>
        </w:rPr>
        <w:t xml:space="preserve">Conclusion: </w:t>
      </w:r>
      <w:r w:rsidRPr="004F2BCB">
        <w:rPr>
          <w:rFonts w:cs="Arial"/>
          <w:sz w:val="20"/>
          <w:szCs w:val="20"/>
        </w:rPr>
        <w:t>Coefficient of variation for clinical markers of disease show clear graphical and significant trends across bandings of disease severity</w:t>
      </w:r>
      <w:r w:rsidR="00F7776C" w:rsidRPr="004F2BCB">
        <w:rPr>
          <w:rFonts w:cs="Arial"/>
          <w:sz w:val="20"/>
          <w:szCs w:val="20"/>
        </w:rPr>
        <w:t>.</w:t>
      </w:r>
      <w:r w:rsidR="00A6463A" w:rsidRPr="004F2BCB">
        <w:rPr>
          <w:rFonts w:cs="Arial"/>
          <w:sz w:val="20"/>
          <w:szCs w:val="20"/>
        </w:rPr>
        <w:t xml:space="preserve"> </w:t>
      </w:r>
      <w:r w:rsidR="00F7776C" w:rsidRPr="004F2BCB">
        <w:rPr>
          <w:rFonts w:cs="Arial"/>
          <w:sz w:val="20"/>
          <w:szCs w:val="20"/>
        </w:rPr>
        <w:t>Patients within Band 4 show poorest adherence, and greatest variation in lung function and CRP, suggesting targeting of this group</w:t>
      </w:r>
    </w:p>
    <w:p w:rsidR="008F4C93" w:rsidRPr="008F4C93" w:rsidRDefault="008F4C93" w:rsidP="008F4C93">
      <w:pPr>
        <w:autoSpaceDE w:val="0"/>
        <w:autoSpaceDN w:val="0"/>
        <w:adjustRightInd w:val="0"/>
        <w:spacing w:after="0" w:line="400" w:lineRule="atLeast"/>
        <w:rPr>
          <w:rFonts w:ascii="Times New Roman" w:hAnsi="Times New Roman" w:cs="Times New Roman"/>
          <w:sz w:val="24"/>
          <w:szCs w:val="24"/>
        </w:rPr>
      </w:pPr>
    </w:p>
    <w:p w:rsidR="00DB5167" w:rsidRDefault="00DB5167"/>
    <w:sectPr w:rsidR="00DB5167" w:rsidSect="00DB51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669AB"/>
    <w:multiLevelType w:val="hybridMultilevel"/>
    <w:tmpl w:val="04F0B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67"/>
    <w:rsid w:val="0005648A"/>
    <w:rsid w:val="000D1D0F"/>
    <w:rsid w:val="00133BFD"/>
    <w:rsid w:val="0017067A"/>
    <w:rsid w:val="001953A3"/>
    <w:rsid w:val="001A0226"/>
    <w:rsid w:val="001E4134"/>
    <w:rsid w:val="001F49F9"/>
    <w:rsid w:val="002028FF"/>
    <w:rsid w:val="002102DA"/>
    <w:rsid w:val="003A2FFF"/>
    <w:rsid w:val="00426AAE"/>
    <w:rsid w:val="0046259E"/>
    <w:rsid w:val="004F2BCB"/>
    <w:rsid w:val="00780C28"/>
    <w:rsid w:val="007E09C2"/>
    <w:rsid w:val="00867AED"/>
    <w:rsid w:val="00870E18"/>
    <w:rsid w:val="008A75DB"/>
    <w:rsid w:val="008F4C93"/>
    <w:rsid w:val="00902333"/>
    <w:rsid w:val="009B1CBA"/>
    <w:rsid w:val="00A3778D"/>
    <w:rsid w:val="00A6463A"/>
    <w:rsid w:val="00AD1A29"/>
    <w:rsid w:val="00AF1592"/>
    <w:rsid w:val="00BA1DEE"/>
    <w:rsid w:val="00BF2B09"/>
    <w:rsid w:val="00C1766B"/>
    <w:rsid w:val="00C37670"/>
    <w:rsid w:val="00CD6110"/>
    <w:rsid w:val="00D04189"/>
    <w:rsid w:val="00D537B2"/>
    <w:rsid w:val="00D7726A"/>
    <w:rsid w:val="00DB5167"/>
    <w:rsid w:val="00DF59C9"/>
    <w:rsid w:val="00E27D0C"/>
    <w:rsid w:val="00EF7C81"/>
    <w:rsid w:val="00F147B3"/>
    <w:rsid w:val="00F36132"/>
    <w:rsid w:val="00F7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B51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D772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77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B09"/>
    <w:pPr>
      <w:ind w:left="720"/>
      <w:contextualSpacing/>
    </w:pPr>
  </w:style>
  <w:style w:type="paragraph" w:styleId="BalloonText">
    <w:name w:val="Balloon Text"/>
    <w:basedOn w:val="Normal"/>
    <w:link w:val="BalloonTextChar"/>
    <w:uiPriority w:val="99"/>
    <w:semiHidden/>
    <w:unhideWhenUsed/>
    <w:rsid w:val="0013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FD"/>
    <w:rPr>
      <w:rFonts w:ascii="Tahoma" w:hAnsi="Tahoma" w:cs="Tahoma"/>
      <w:sz w:val="16"/>
      <w:szCs w:val="16"/>
    </w:rPr>
  </w:style>
  <w:style w:type="table" w:styleId="LightShading-Accent1">
    <w:name w:val="Light Shading Accent 1"/>
    <w:basedOn w:val="TableNormal"/>
    <w:uiPriority w:val="60"/>
    <w:rsid w:val="000D1D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D1D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B51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D772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77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B09"/>
    <w:pPr>
      <w:ind w:left="720"/>
      <w:contextualSpacing/>
    </w:pPr>
  </w:style>
  <w:style w:type="paragraph" w:styleId="BalloonText">
    <w:name w:val="Balloon Text"/>
    <w:basedOn w:val="Normal"/>
    <w:link w:val="BalloonTextChar"/>
    <w:uiPriority w:val="99"/>
    <w:semiHidden/>
    <w:unhideWhenUsed/>
    <w:rsid w:val="0013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FD"/>
    <w:rPr>
      <w:rFonts w:ascii="Tahoma" w:hAnsi="Tahoma" w:cs="Tahoma"/>
      <w:sz w:val="16"/>
      <w:szCs w:val="16"/>
    </w:rPr>
  </w:style>
  <w:style w:type="table" w:styleId="LightShading-Accent1">
    <w:name w:val="Light Shading Accent 1"/>
    <w:basedOn w:val="TableNormal"/>
    <w:uiPriority w:val="60"/>
    <w:rsid w:val="000D1D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D1D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White, Helen</cp:lastModifiedBy>
  <cp:revision>2</cp:revision>
  <cp:lastPrinted>2014-02-11T09:06:00Z</cp:lastPrinted>
  <dcterms:created xsi:type="dcterms:W3CDTF">2015-11-16T21:03:00Z</dcterms:created>
  <dcterms:modified xsi:type="dcterms:W3CDTF">2015-11-16T21:03:00Z</dcterms:modified>
</cp:coreProperties>
</file>