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7570" w14:textId="77777777" w:rsidR="006157A9" w:rsidRDefault="006157A9" w:rsidP="006157A9">
      <w:pPr>
        <w:jc w:val="both"/>
        <w:rPr>
          <w:b/>
          <w:sz w:val="28"/>
          <w:szCs w:val="28"/>
        </w:rPr>
      </w:pPr>
      <w:bookmarkStart w:id="0" w:name="_GoBack"/>
      <w:bookmarkEnd w:id="0"/>
      <w:r>
        <w:rPr>
          <w:b/>
          <w:sz w:val="28"/>
          <w:szCs w:val="28"/>
        </w:rPr>
        <w:t>Anchoring the Northern Powerhouse: Understanding anchor institutions and their contribution within a complex urban and regional system.</w:t>
      </w:r>
    </w:p>
    <w:p w14:paraId="125C3F1A" w14:textId="77777777" w:rsidR="006157A9" w:rsidRPr="00CE155A" w:rsidRDefault="006157A9" w:rsidP="006157A9">
      <w:pPr>
        <w:rPr>
          <w:b/>
          <w:sz w:val="28"/>
          <w:szCs w:val="28"/>
        </w:rPr>
      </w:pPr>
      <w:r>
        <w:rPr>
          <w:b/>
          <w:sz w:val="28"/>
          <w:szCs w:val="28"/>
        </w:rPr>
        <w:t>Barbara Colledge</w:t>
      </w:r>
    </w:p>
    <w:p w14:paraId="55A70172" w14:textId="1DF70316" w:rsidR="00C34A94" w:rsidRPr="00C34A94" w:rsidRDefault="002E223F" w:rsidP="000856D1">
      <w:pPr>
        <w:jc w:val="both"/>
        <w:rPr>
          <w:b/>
          <w:sz w:val="28"/>
          <w:szCs w:val="28"/>
        </w:rPr>
      </w:pPr>
      <w:r>
        <w:rPr>
          <w:b/>
          <w:sz w:val="28"/>
          <w:szCs w:val="28"/>
        </w:rPr>
        <w:t>Abstract</w:t>
      </w:r>
    </w:p>
    <w:p w14:paraId="77ED9432" w14:textId="42F3CE51" w:rsidR="000856D1" w:rsidRDefault="000856D1" w:rsidP="000856D1">
      <w:pPr>
        <w:jc w:val="both"/>
        <w:rPr>
          <w:sz w:val="28"/>
          <w:szCs w:val="28"/>
        </w:rPr>
      </w:pPr>
      <w:r>
        <w:rPr>
          <w:sz w:val="28"/>
          <w:szCs w:val="28"/>
        </w:rPr>
        <w:t xml:space="preserve">The Northern Powerhouse vision (Osborne 2014), </w:t>
      </w:r>
      <w:r w:rsidRPr="00A22101">
        <w:rPr>
          <w:sz w:val="28"/>
          <w:szCs w:val="28"/>
        </w:rPr>
        <w:t xml:space="preserve">to create thriving Northern city-regions </w:t>
      </w:r>
      <w:r>
        <w:rPr>
          <w:sz w:val="28"/>
          <w:szCs w:val="28"/>
        </w:rPr>
        <w:t xml:space="preserve">with a re-balancing </w:t>
      </w:r>
      <w:r w:rsidRPr="00A22101">
        <w:rPr>
          <w:sz w:val="28"/>
          <w:szCs w:val="28"/>
        </w:rPr>
        <w:t>of the English economy (</w:t>
      </w:r>
      <w:r>
        <w:rPr>
          <w:sz w:val="28"/>
          <w:szCs w:val="28"/>
        </w:rPr>
        <w:t>Martin et al 2014, pp. 3-6</w:t>
      </w:r>
      <w:r w:rsidRPr="00A22101">
        <w:rPr>
          <w:sz w:val="28"/>
          <w:szCs w:val="28"/>
        </w:rPr>
        <w:t xml:space="preserve">) </w:t>
      </w:r>
      <w:r>
        <w:rPr>
          <w:sz w:val="28"/>
          <w:szCs w:val="28"/>
        </w:rPr>
        <w:t>is by necessity a long-</w:t>
      </w:r>
      <w:r w:rsidRPr="00CD625C">
        <w:rPr>
          <w:sz w:val="28"/>
          <w:szCs w:val="28"/>
        </w:rPr>
        <w:t xml:space="preserve">term ambition (Osborne 2014). </w:t>
      </w:r>
    </w:p>
    <w:p w14:paraId="705B3481" w14:textId="1CA138FE" w:rsidR="000856D1" w:rsidRDefault="000856D1" w:rsidP="000856D1">
      <w:pPr>
        <w:jc w:val="both"/>
        <w:rPr>
          <w:sz w:val="28"/>
          <w:szCs w:val="28"/>
        </w:rPr>
      </w:pPr>
      <w:r>
        <w:rPr>
          <w:sz w:val="28"/>
          <w:szCs w:val="28"/>
        </w:rPr>
        <w:t xml:space="preserve">City-regional sustainable development is </w:t>
      </w:r>
      <w:r w:rsidRPr="00B24C63">
        <w:rPr>
          <w:sz w:val="28"/>
          <w:szCs w:val="28"/>
        </w:rPr>
        <w:t xml:space="preserve">a complex system (Martin and </w:t>
      </w:r>
      <w:proofErr w:type="spellStart"/>
      <w:r w:rsidRPr="00B24C63">
        <w:rPr>
          <w:sz w:val="28"/>
          <w:szCs w:val="28"/>
        </w:rPr>
        <w:t>Simmie</w:t>
      </w:r>
      <w:proofErr w:type="spellEnd"/>
      <w:r w:rsidRPr="00B24C63">
        <w:rPr>
          <w:sz w:val="28"/>
          <w:szCs w:val="28"/>
        </w:rPr>
        <w:t xml:space="preserve"> 2008; Marti</w:t>
      </w:r>
      <w:r w:rsidR="00AE4CF4">
        <w:rPr>
          <w:sz w:val="28"/>
          <w:szCs w:val="28"/>
        </w:rPr>
        <w:t xml:space="preserve">n &amp; </w:t>
      </w:r>
      <w:proofErr w:type="spellStart"/>
      <w:r w:rsidR="00AE4CF4">
        <w:rPr>
          <w:sz w:val="28"/>
          <w:szCs w:val="28"/>
        </w:rPr>
        <w:t>Sunley</w:t>
      </w:r>
      <w:proofErr w:type="spellEnd"/>
      <w:r w:rsidR="00AE4CF4">
        <w:rPr>
          <w:sz w:val="28"/>
          <w:szCs w:val="28"/>
        </w:rPr>
        <w:t xml:space="preserve"> 2015</w:t>
      </w:r>
      <w:r>
        <w:rPr>
          <w:sz w:val="28"/>
          <w:szCs w:val="28"/>
        </w:rPr>
        <w:t>; RSA 2014, p15)</w:t>
      </w:r>
      <w:r w:rsidRPr="00B24C63">
        <w:rPr>
          <w:sz w:val="28"/>
          <w:szCs w:val="28"/>
        </w:rPr>
        <w:t xml:space="preserve"> </w:t>
      </w:r>
      <w:r>
        <w:rPr>
          <w:sz w:val="28"/>
          <w:szCs w:val="28"/>
        </w:rPr>
        <w:t>and will rely on local leadership for policies and decision making in a devolved environment (</w:t>
      </w:r>
      <w:r w:rsidRPr="001D138E">
        <w:rPr>
          <w:sz w:val="28"/>
          <w:szCs w:val="28"/>
        </w:rPr>
        <w:t>Cox and Hunter 2015, pp. 11-12</w:t>
      </w:r>
      <w:r>
        <w:rPr>
          <w:sz w:val="28"/>
          <w:szCs w:val="28"/>
        </w:rPr>
        <w:t>).  Experience from Anchor Institutions in the United States highlights new models of place-based leadership (</w:t>
      </w:r>
      <w:proofErr w:type="spellStart"/>
      <w:r w:rsidRPr="00EF278F">
        <w:rPr>
          <w:sz w:val="28"/>
          <w:szCs w:val="28"/>
        </w:rPr>
        <w:t>Dubb</w:t>
      </w:r>
      <w:proofErr w:type="spellEnd"/>
      <w:r w:rsidRPr="00EF278F">
        <w:rPr>
          <w:sz w:val="28"/>
          <w:szCs w:val="28"/>
        </w:rPr>
        <w:t xml:space="preserve"> et al 2013, p vii; </w:t>
      </w:r>
      <w:proofErr w:type="spellStart"/>
      <w:r w:rsidRPr="00EF278F">
        <w:rPr>
          <w:sz w:val="28"/>
          <w:szCs w:val="28"/>
        </w:rPr>
        <w:t>Serang</w:t>
      </w:r>
      <w:proofErr w:type="spellEnd"/>
      <w:r w:rsidRPr="00EF278F">
        <w:rPr>
          <w:sz w:val="28"/>
          <w:szCs w:val="28"/>
        </w:rPr>
        <w:t>, Thompson and Howard 2013, p14-17</w:t>
      </w:r>
      <w:r>
        <w:rPr>
          <w:sz w:val="28"/>
          <w:szCs w:val="28"/>
        </w:rPr>
        <w:t xml:space="preserve">) shared value (Porter 2010; ICIC 2011; Porter and </w:t>
      </w:r>
      <w:r w:rsidRPr="009C2729">
        <w:rPr>
          <w:sz w:val="28"/>
          <w:szCs w:val="28"/>
        </w:rPr>
        <w:t>Kramer</w:t>
      </w:r>
      <w:r>
        <w:rPr>
          <w:sz w:val="28"/>
          <w:szCs w:val="28"/>
        </w:rPr>
        <w:t xml:space="preserve"> 2011), investment (</w:t>
      </w:r>
      <w:proofErr w:type="spellStart"/>
      <w:r>
        <w:rPr>
          <w:sz w:val="28"/>
          <w:szCs w:val="28"/>
        </w:rPr>
        <w:t>Serang</w:t>
      </w:r>
      <w:proofErr w:type="spellEnd"/>
      <w:r>
        <w:rPr>
          <w:sz w:val="28"/>
          <w:szCs w:val="28"/>
        </w:rPr>
        <w:t xml:space="preserve">, Thompson and Howard 2013, pp. 4-6) </w:t>
      </w:r>
      <w:r w:rsidRPr="00FA4DF5">
        <w:rPr>
          <w:sz w:val="28"/>
          <w:szCs w:val="28"/>
        </w:rPr>
        <w:t>and community wealth</w:t>
      </w:r>
      <w:r>
        <w:rPr>
          <w:sz w:val="28"/>
          <w:szCs w:val="28"/>
        </w:rPr>
        <w:t xml:space="preserve"> building (</w:t>
      </w:r>
      <w:proofErr w:type="spellStart"/>
      <w:r>
        <w:rPr>
          <w:sz w:val="28"/>
          <w:szCs w:val="28"/>
        </w:rPr>
        <w:t>Dubb</w:t>
      </w:r>
      <w:proofErr w:type="spellEnd"/>
      <w:r>
        <w:rPr>
          <w:sz w:val="28"/>
          <w:szCs w:val="28"/>
        </w:rPr>
        <w:t xml:space="preserve"> et al 2013, pp. 24-29) for delivering city-regional </w:t>
      </w:r>
      <w:r w:rsidRPr="0010116E">
        <w:rPr>
          <w:sz w:val="28"/>
          <w:szCs w:val="28"/>
        </w:rPr>
        <w:t>development</w:t>
      </w:r>
      <w:r>
        <w:rPr>
          <w:sz w:val="28"/>
          <w:szCs w:val="28"/>
        </w:rPr>
        <w:t xml:space="preserve">. </w:t>
      </w:r>
    </w:p>
    <w:p w14:paraId="75FA19E4" w14:textId="14B21B1F" w:rsidR="000856D1" w:rsidRDefault="000856D1" w:rsidP="000856D1">
      <w:pPr>
        <w:jc w:val="both"/>
        <w:rPr>
          <w:sz w:val="28"/>
          <w:szCs w:val="28"/>
        </w:rPr>
      </w:pPr>
      <w:r>
        <w:rPr>
          <w:sz w:val="28"/>
          <w:szCs w:val="28"/>
        </w:rPr>
        <w:t>N</w:t>
      </w:r>
      <w:r w:rsidRPr="00ED01EF">
        <w:rPr>
          <w:sz w:val="28"/>
          <w:szCs w:val="28"/>
        </w:rPr>
        <w:t xml:space="preserve">ew </w:t>
      </w:r>
      <w:r>
        <w:rPr>
          <w:sz w:val="28"/>
          <w:szCs w:val="28"/>
        </w:rPr>
        <w:t>forms of multi-level governance institutions, such as Combined Authorities (</w:t>
      </w:r>
      <w:proofErr w:type="spellStart"/>
      <w:r>
        <w:rPr>
          <w:sz w:val="28"/>
          <w:szCs w:val="28"/>
        </w:rPr>
        <w:t>Sandford</w:t>
      </w:r>
      <w:proofErr w:type="spellEnd"/>
      <w:r>
        <w:rPr>
          <w:sz w:val="28"/>
          <w:szCs w:val="28"/>
        </w:rPr>
        <w:t xml:space="preserve"> 2015) and Local Enterprise Partnerships (HM Government 2010 pp. 12-14) will be </w:t>
      </w:r>
      <w:r w:rsidRPr="00ED01EF">
        <w:rPr>
          <w:sz w:val="28"/>
          <w:szCs w:val="28"/>
        </w:rPr>
        <w:t xml:space="preserve">significant </w:t>
      </w:r>
      <w:r>
        <w:rPr>
          <w:sz w:val="28"/>
          <w:szCs w:val="28"/>
        </w:rPr>
        <w:t>in this shaping of place and economies (</w:t>
      </w:r>
      <w:r w:rsidRPr="00A22275">
        <w:rPr>
          <w:sz w:val="28"/>
          <w:szCs w:val="28"/>
        </w:rPr>
        <w:t>Cox and Hunter 2015</w:t>
      </w:r>
      <w:r>
        <w:rPr>
          <w:sz w:val="28"/>
          <w:szCs w:val="28"/>
        </w:rPr>
        <w:t xml:space="preserve">, p 17).   </w:t>
      </w:r>
      <w:r w:rsidRPr="00F05F9A">
        <w:rPr>
          <w:sz w:val="28"/>
          <w:szCs w:val="28"/>
        </w:rPr>
        <w:t>This paper provides an early analysis of the role and contribution</w:t>
      </w:r>
      <w:r>
        <w:rPr>
          <w:sz w:val="28"/>
          <w:szCs w:val="28"/>
        </w:rPr>
        <w:t xml:space="preserve"> of </w:t>
      </w:r>
      <w:r w:rsidRPr="00F05F9A">
        <w:rPr>
          <w:sz w:val="28"/>
          <w:szCs w:val="28"/>
        </w:rPr>
        <w:t>Anchor Institutions in the Northern Powerhouse geography</w:t>
      </w:r>
      <w:r>
        <w:rPr>
          <w:sz w:val="28"/>
          <w:szCs w:val="28"/>
        </w:rPr>
        <w:t xml:space="preserve">.  These institutions have the potential in a devolved administration (House of Lords and House of Commons 2015) to make a major contribution to the sustainable development of the Northern Powerhouse and to address the economic, social and environmental factors that contribute to the sustainability of places in the long term. </w:t>
      </w:r>
    </w:p>
    <w:p w14:paraId="0D0BD26C" w14:textId="77777777" w:rsidR="00CA75F5" w:rsidRDefault="00CA75F5" w:rsidP="00CA75F5">
      <w:pPr>
        <w:jc w:val="both"/>
        <w:rPr>
          <w:b/>
          <w:sz w:val="28"/>
          <w:szCs w:val="28"/>
        </w:rPr>
      </w:pPr>
    </w:p>
    <w:p w14:paraId="3629308B" w14:textId="77777777" w:rsidR="00F56B4F" w:rsidRDefault="00F56B4F" w:rsidP="00CA75F5">
      <w:pPr>
        <w:jc w:val="both"/>
        <w:rPr>
          <w:b/>
          <w:sz w:val="28"/>
          <w:szCs w:val="28"/>
        </w:rPr>
        <w:sectPr w:rsidR="00F56B4F">
          <w:pgSz w:w="11906" w:h="16838"/>
          <w:pgMar w:top="1440" w:right="1440" w:bottom="1440" w:left="1440" w:header="708" w:footer="708" w:gutter="0"/>
          <w:cols w:space="708"/>
          <w:docGrid w:linePitch="360"/>
        </w:sectPr>
      </w:pPr>
    </w:p>
    <w:p w14:paraId="30683F64" w14:textId="7D836E3E" w:rsidR="00CA75F5" w:rsidRDefault="00CA75F5" w:rsidP="00CA75F5">
      <w:pPr>
        <w:jc w:val="both"/>
        <w:rPr>
          <w:b/>
          <w:sz w:val="28"/>
          <w:szCs w:val="28"/>
        </w:rPr>
      </w:pPr>
      <w:r>
        <w:rPr>
          <w:b/>
          <w:sz w:val="28"/>
          <w:szCs w:val="28"/>
        </w:rPr>
        <w:lastRenderedPageBreak/>
        <w:t>Anchoring the Northern Powerhouse: Understanding anchor institutions and their contribution within a complex urban and regional system.</w:t>
      </w:r>
    </w:p>
    <w:p w14:paraId="2A54AA09" w14:textId="77777777" w:rsidR="00CA75F5" w:rsidRPr="00CE155A" w:rsidRDefault="00CA75F5" w:rsidP="00CA75F5">
      <w:pPr>
        <w:rPr>
          <w:b/>
          <w:sz w:val="28"/>
          <w:szCs w:val="28"/>
        </w:rPr>
      </w:pPr>
      <w:r>
        <w:rPr>
          <w:b/>
          <w:sz w:val="28"/>
          <w:szCs w:val="28"/>
        </w:rPr>
        <w:t>Barbara Colledge</w:t>
      </w:r>
    </w:p>
    <w:p w14:paraId="08D36221" w14:textId="77777777" w:rsidR="00CA75F5" w:rsidRDefault="00CA75F5" w:rsidP="00024070">
      <w:pPr>
        <w:rPr>
          <w:b/>
          <w:sz w:val="28"/>
          <w:szCs w:val="28"/>
        </w:rPr>
      </w:pPr>
    </w:p>
    <w:p w14:paraId="48DD16C7" w14:textId="77777777" w:rsidR="00024070" w:rsidRDefault="00024070" w:rsidP="00024070">
      <w:pPr>
        <w:rPr>
          <w:b/>
          <w:sz w:val="28"/>
          <w:szCs w:val="28"/>
        </w:rPr>
      </w:pPr>
      <w:r w:rsidRPr="003B033B">
        <w:rPr>
          <w:b/>
          <w:sz w:val="28"/>
          <w:szCs w:val="28"/>
        </w:rPr>
        <w:t>Understanding the Northern Powerhouse Challenge</w:t>
      </w:r>
    </w:p>
    <w:p w14:paraId="39E95496" w14:textId="3602C4A6" w:rsidR="00B12CAA" w:rsidRDefault="00224322" w:rsidP="00024070">
      <w:pPr>
        <w:jc w:val="both"/>
        <w:rPr>
          <w:sz w:val="28"/>
          <w:szCs w:val="28"/>
        </w:rPr>
      </w:pPr>
      <w:r>
        <w:rPr>
          <w:sz w:val="28"/>
          <w:szCs w:val="28"/>
        </w:rPr>
        <w:t>R</w:t>
      </w:r>
      <w:r w:rsidR="00024070" w:rsidRPr="003C0234">
        <w:rPr>
          <w:sz w:val="28"/>
          <w:szCs w:val="28"/>
        </w:rPr>
        <w:t xml:space="preserve">ecent </w:t>
      </w:r>
      <w:r w:rsidR="00F071DB">
        <w:rPr>
          <w:sz w:val="28"/>
          <w:szCs w:val="28"/>
        </w:rPr>
        <w:t xml:space="preserve">devolution </w:t>
      </w:r>
      <w:r w:rsidR="00024070" w:rsidRPr="003C0234">
        <w:rPr>
          <w:sz w:val="28"/>
          <w:szCs w:val="28"/>
        </w:rPr>
        <w:t xml:space="preserve">in </w:t>
      </w:r>
      <w:r w:rsidR="003E713D">
        <w:rPr>
          <w:sz w:val="28"/>
          <w:szCs w:val="28"/>
        </w:rPr>
        <w:t xml:space="preserve">England </w:t>
      </w:r>
      <w:r w:rsidR="007B2D9A" w:rsidRPr="007B2D9A">
        <w:rPr>
          <w:sz w:val="28"/>
          <w:szCs w:val="28"/>
        </w:rPr>
        <w:t>(House of Lords and House of Commons 2015</w:t>
      </w:r>
      <w:r w:rsidR="00024070" w:rsidRPr="007B2D9A">
        <w:rPr>
          <w:sz w:val="28"/>
          <w:szCs w:val="28"/>
        </w:rPr>
        <w:t>),</w:t>
      </w:r>
      <w:r w:rsidR="00024070" w:rsidRPr="003C0234">
        <w:rPr>
          <w:sz w:val="28"/>
          <w:szCs w:val="28"/>
        </w:rPr>
        <w:t xml:space="preserve"> the creation of a ‘Northern Powerhous</w:t>
      </w:r>
      <w:r w:rsidR="005B1FB9">
        <w:rPr>
          <w:sz w:val="28"/>
          <w:szCs w:val="28"/>
        </w:rPr>
        <w:t xml:space="preserve">e </w:t>
      </w:r>
      <w:r w:rsidR="002E246E">
        <w:rPr>
          <w:sz w:val="28"/>
          <w:szCs w:val="28"/>
        </w:rPr>
        <w:t>(</w:t>
      </w:r>
      <w:r w:rsidR="002E246E" w:rsidRPr="005B1FB9">
        <w:rPr>
          <w:sz w:val="28"/>
          <w:szCs w:val="28"/>
        </w:rPr>
        <w:t>Osborne 2014a;</w:t>
      </w:r>
      <w:r w:rsidR="002E246E">
        <w:rPr>
          <w:sz w:val="28"/>
          <w:szCs w:val="28"/>
        </w:rPr>
        <w:t xml:space="preserve"> 2014b</w:t>
      </w:r>
      <w:r w:rsidR="00BC5F62">
        <w:rPr>
          <w:sz w:val="28"/>
          <w:szCs w:val="28"/>
        </w:rPr>
        <w:t xml:space="preserve">) and associated </w:t>
      </w:r>
      <w:r w:rsidR="00024070">
        <w:rPr>
          <w:sz w:val="28"/>
          <w:szCs w:val="28"/>
        </w:rPr>
        <w:t>fisca</w:t>
      </w:r>
      <w:r w:rsidR="00227010">
        <w:rPr>
          <w:sz w:val="28"/>
          <w:szCs w:val="28"/>
        </w:rPr>
        <w:t xml:space="preserve">l, investment </w:t>
      </w:r>
      <w:r w:rsidR="00024070" w:rsidRPr="003C0234">
        <w:rPr>
          <w:sz w:val="28"/>
          <w:szCs w:val="28"/>
        </w:rPr>
        <w:t xml:space="preserve">and </w:t>
      </w:r>
      <w:r w:rsidR="00196FB3">
        <w:rPr>
          <w:sz w:val="28"/>
          <w:szCs w:val="28"/>
        </w:rPr>
        <w:t xml:space="preserve">public service devolution </w:t>
      </w:r>
      <w:r w:rsidR="001552F0">
        <w:rPr>
          <w:sz w:val="28"/>
          <w:szCs w:val="28"/>
        </w:rPr>
        <w:t>(</w:t>
      </w:r>
      <w:r w:rsidR="00883FEB" w:rsidRPr="00883FEB">
        <w:rPr>
          <w:sz w:val="28"/>
          <w:szCs w:val="28"/>
        </w:rPr>
        <w:t xml:space="preserve">HM Treasury and GMCA 2014; </w:t>
      </w:r>
      <w:r w:rsidR="001552F0">
        <w:rPr>
          <w:sz w:val="28"/>
          <w:szCs w:val="28"/>
        </w:rPr>
        <w:t xml:space="preserve">GMCA 2015) </w:t>
      </w:r>
      <w:r w:rsidR="00024070" w:rsidRPr="003C0234">
        <w:rPr>
          <w:sz w:val="28"/>
          <w:szCs w:val="28"/>
        </w:rPr>
        <w:t xml:space="preserve">has set in place new levers, responsibilities, governance models, policies and political powers for </w:t>
      </w:r>
      <w:r w:rsidR="006322E1">
        <w:rPr>
          <w:sz w:val="28"/>
          <w:szCs w:val="28"/>
        </w:rPr>
        <w:t xml:space="preserve">stimulating </w:t>
      </w:r>
      <w:r w:rsidR="00024070" w:rsidRPr="003C0234">
        <w:rPr>
          <w:sz w:val="28"/>
          <w:szCs w:val="28"/>
        </w:rPr>
        <w:t xml:space="preserve">economic, social and regional development.  </w:t>
      </w:r>
      <w:r w:rsidR="00024070">
        <w:rPr>
          <w:sz w:val="28"/>
          <w:szCs w:val="28"/>
        </w:rPr>
        <w:t xml:space="preserve"> </w:t>
      </w:r>
    </w:p>
    <w:p w14:paraId="0413DC8C" w14:textId="76B42CEC" w:rsidR="00B12CAA" w:rsidRDefault="00B12CAA" w:rsidP="00B12CAA">
      <w:pPr>
        <w:jc w:val="both"/>
        <w:rPr>
          <w:sz w:val="28"/>
          <w:szCs w:val="28"/>
        </w:rPr>
      </w:pPr>
      <w:r>
        <w:rPr>
          <w:sz w:val="28"/>
          <w:szCs w:val="28"/>
        </w:rPr>
        <w:t xml:space="preserve">The case for the Northern Powerhouse vision is a feature of a growing imbalance in </w:t>
      </w:r>
      <w:r w:rsidR="00942942">
        <w:rPr>
          <w:sz w:val="28"/>
          <w:szCs w:val="28"/>
        </w:rPr>
        <w:t>economic and social outcomes (</w:t>
      </w:r>
      <w:r w:rsidR="00942942" w:rsidRPr="00942942">
        <w:rPr>
          <w:sz w:val="28"/>
          <w:szCs w:val="28"/>
        </w:rPr>
        <w:t>Centre for Cities 2015</w:t>
      </w:r>
      <w:r>
        <w:rPr>
          <w:sz w:val="28"/>
          <w:szCs w:val="28"/>
        </w:rPr>
        <w:t>) that have e</w:t>
      </w:r>
      <w:r w:rsidR="009E32F3">
        <w:rPr>
          <w:sz w:val="28"/>
          <w:szCs w:val="28"/>
        </w:rPr>
        <w:t>volved from long-run factors (</w:t>
      </w:r>
      <w:r w:rsidR="00230894" w:rsidRPr="00230894">
        <w:rPr>
          <w:sz w:val="28"/>
          <w:szCs w:val="28"/>
        </w:rPr>
        <w:t>Parkinson 2013a; Cox 2013 p 81;</w:t>
      </w:r>
      <w:r w:rsidR="00230894">
        <w:rPr>
          <w:sz w:val="24"/>
          <w:szCs w:val="24"/>
        </w:rPr>
        <w:t xml:space="preserve"> </w:t>
      </w:r>
      <w:r>
        <w:rPr>
          <w:sz w:val="28"/>
          <w:szCs w:val="28"/>
        </w:rPr>
        <w:t>Martin 2015, p240-243</w:t>
      </w:r>
      <w:r w:rsidR="00E74A7C">
        <w:rPr>
          <w:sz w:val="28"/>
          <w:szCs w:val="28"/>
        </w:rPr>
        <w:t xml:space="preserve">). The Northern Powerhouse cities </w:t>
      </w:r>
      <w:r w:rsidR="006458A7">
        <w:rPr>
          <w:sz w:val="28"/>
          <w:szCs w:val="28"/>
        </w:rPr>
        <w:t xml:space="preserve">have lower levels </w:t>
      </w:r>
      <w:r w:rsidR="00E74A7C">
        <w:rPr>
          <w:sz w:val="28"/>
          <w:szCs w:val="28"/>
        </w:rPr>
        <w:t>of</w:t>
      </w:r>
      <w:r w:rsidR="00C3780E">
        <w:rPr>
          <w:sz w:val="28"/>
          <w:szCs w:val="28"/>
        </w:rPr>
        <w:t xml:space="preserve"> </w:t>
      </w:r>
      <w:r w:rsidR="00E53D72">
        <w:rPr>
          <w:sz w:val="28"/>
          <w:szCs w:val="28"/>
        </w:rPr>
        <w:t xml:space="preserve">national </w:t>
      </w:r>
      <w:r w:rsidR="00C3780E">
        <w:rPr>
          <w:sz w:val="28"/>
          <w:szCs w:val="28"/>
        </w:rPr>
        <w:t>GDP output</w:t>
      </w:r>
      <w:r w:rsidR="00A17A27">
        <w:rPr>
          <w:sz w:val="28"/>
          <w:szCs w:val="28"/>
        </w:rPr>
        <w:t xml:space="preserve"> and </w:t>
      </w:r>
      <w:r w:rsidR="000B150F">
        <w:rPr>
          <w:sz w:val="28"/>
          <w:szCs w:val="28"/>
        </w:rPr>
        <w:t>productivity</w:t>
      </w:r>
      <w:r w:rsidR="007B4B65">
        <w:rPr>
          <w:sz w:val="28"/>
          <w:szCs w:val="28"/>
        </w:rPr>
        <w:t xml:space="preserve"> (</w:t>
      </w:r>
      <w:r w:rsidR="007B4B65" w:rsidRPr="007B4B65">
        <w:rPr>
          <w:sz w:val="28"/>
          <w:szCs w:val="28"/>
        </w:rPr>
        <w:t>Martin, Tyler and Gardiner 2014, pp 64 - 65</w:t>
      </w:r>
      <w:r w:rsidR="00160614">
        <w:rPr>
          <w:sz w:val="28"/>
          <w:szCs w:val="28"/>
        </w:rPr>
        <w:t xml:space="preserve">) and </w:t>
      </w:r>
      <w:r w:rsidR="00910C07">
        <w:rPr>
          <w:sz w:val="28"/>
          <w:szCs w:val="28"/>
        </w:rPr>
        <w:t xml:space="preserve">higher levels of social inequality </w:t>
      </w:r>
      <w:r w:rsidR="00160614">
        <w:rPr>
          <w:sz w:val="28"/>
          <w:szCs w:val="28"/>
        </w:rPr>
        <w:t xml:space="preserve">and deprivation </w:t>
      </w:r>
      <w:r w:rsidR="00797E4E">
        <w:rPr>
          <w:sz w:val="28"/>
          <w:szCs w:val="28"/>
        </w:rPr>
        <w:t>(</w:t>
      </w:r>
      <w:r w:rsidR="00797E4E" w:rsidRPr="00797E4E">
        <w:rPr>
          <w:sz w:val="28"/>
          <w:szCs w:val="28"/>
        </w:rPr>
        <w:t xml:space="preserve">Parkinson et al 2013, p 24). </w:t>
      </w:r>
      <w:r w:rsidR="009D1733">
        <w:rPr>
          <w:sz w:val="28"/>
          <w:szCs w:val="28"/>
        </w:rPr>
        <w:t>Historical, poli</w:t>
      </w:r>
      <w:r w:rsidR="0024334E">
        <w:rPr>
          <w:sz w:val="28"/>
          <w:szCs w:val="28"/>
        </w:rPr>
        <w:t xml:space="preserve">tical and economic history </w:t>
      </w:r>
      <w:r w:rsidR="00A50872">
        <w:rPr>
          <w:sz w:val="28"/>
          <w:szCs w:val="28"/>
        </w:rPr>
        <w:t xml:space="preserve">and path dependency </w:t>
      </w:r>
      <w:r w:rsidR="009D1733">
        <w:rPr>
          <w:sz w:val="28"/>
          <w:szCs w:val="28"/>
        </w:rPr>
        <w:t xml:space="preserve">play an important role in shaping </w:t>
      </w:r>
      <w:r w:rsidR="00582C6C">
        <w:rPr>
          <w:sz w:val="28"/>
          <w:szCs w:val="28"/>
        </w:rPr>
        <w:t xml:space="preserve">the </w:t>
      </w:r>
      <w:r w:rsidR="009D1733">
        <w:rPr>
          <w:sz w:val="28"/>
          <w:szCs w:val="28"/>
        </w:rPr>
        <w:t>performance of place in economic, soc</w:t>
      </w:r>
      <w:r w:rsidR="00A50872">
        <w:rPr>
          <w:sz w:val="28"/>
          <w:szCs w:val="28"/>
        </w:rPr>
        <w:t>ial and environmental terms</w:t>
      </w:r>
      <w:r w:rsidR="009D1733">
        <w:rPr>
          <w:sz w:val="28"/>
          <w:szCs w:val="28"/>
        </w:rPr>
        <w:t xml:space="preserve">.   </w:t>
      </w:r>
      <w:r>
        <w:rPr>
          <w:sz w:val="28"/>
          <w:szCs w:val="28"/>
        </w:rPr>
        <w:t xml:space="preserve">As Martin (2015, p245) highlights, ‘economic efficiency and social equity arguments’ are not mutually exclusive but ‘complementary and mutually beneficial’ for the rationale </w:t>
      </w:r>
      <w:proofErr w:type="gramStart"/>
      <w:r>
        <w:rPr>
          <w:sz w:val="28"/>
          <w:szCs w:val="28"/>
        </w:rPr>
        <w:t>of  ‘greater</w:t>
      </w:r>
      <w:proofErr w:type="gramEnd"/>
      <w:r>
        <w:rPr>
          <w:sz w:val="28"/>
          <w:szCs w:val="28"/>
        </w:rPr>
        <w:t xml:space="preserve"> spatial balance’ (Martin, 2015, p 245).</w:t>
      </w:r>
    </w:p>
    <w:p w14:paraId="7959A856" w14:textId="3ED52107" w:rsidR="00901251" w:rsidRDefault="0034549A" w:rsidP="00901251">
      <w:pPr>
        <w:jc w:val="both"/>
        <w:rPr>
          <w:sz w:val="28"/>
          <w:szCs w:val="28"/>
        </w:rPr>
      </w:pPr>
      <w:r>
        <w:rPr>
          <w:sz w:val="28"/>
          <w:szCs w:val="28"/>
        </w:rPr>
        <w:t xml:space="preserve">Whilst </w:t>
      </w:r>
      <w:r w:rsidR="00901251">
        <w:rPr>
          <w:sz w:val="28"/>
          <w:szCs w:val="28"/>
        </w:rPr>
        <w:t>quality of life for many in Engla</w:t>
      </w:r>
      <w:r w:rsidR="0083299D">
        <w:rPr>
          <w:sz w:val="28"/>
          <w:szCs w:val="28"/>
        </w:rPr>
        <w:t>nd has improved</w:t>
      </w:r>
      <w:r w:rsidR="00DE10E5">
        <w:rPr>
          <w:sz w:val="28"/>
          <w:szCs w:val="28"/>
        </w:rPr>
        <w:t xml:space="preserve"> (</w:t>
      </w:r>
      <w:r w:rsidR="00DE10E5" w:rsidRPr="00DE10E5">
        <w:rPr>
          <w:sz w:val="28"/>
          <w:szCs w:val="28"/>
        </w:rPr>
        <w:t>Social Mobility &amp; Child Poverty Commission 2014, p7</w:t>
      </w:r>
      <w:r w:rsidR="00DE10E5">
        <w:rPr>
          <w:sz w:val="28"/>
          <w:szCs w:val="28"/>
        </w:rPr>
        <w:t>),</w:t>
      </w:r>
      <w:r w:rsidR="00901251">
        <w:rPr>
          <w:sz w:val="28"/>
          <w:szCs w:val="28"/>
        </w:rPr>
        <w:t xml:space="preserve"> the challenge remains the same for th</w:t>
      </w:r>
      <w:r w:rsidR="004E50F0">
        <w:rPr>
          <w:sz w:val="28"/>
          <w:szCs w:val="28"/>
        </w:rPr>
        <w:t xml:space="preserve">e </w:t>
      </w:r>
      <w:r w:rsidR="00901251">
        <w:rPr>
          <w:sz w:val="28"/>
          <w:szCs w:val="28"/>
        </w:rPr>
        <w:t>Northern Powerhouse</w:t>
      </w:r>
      <w:r w:rsidR="00973470">
        <w:rPr>
          <w:sz w:val="28"/>
          <w:szCs w:val="28"/>
        </w:rPr>
        <w:t>, for spatial re-balancing (</w:t>
      </w:r>
      <w:r w:rsidR="00901251">
        <w:rPr>
          <w:sz w:val="28"/>
          <w:szCs w:val="28"/>
        </w:rPr>
        <w:t xml:space="preserve">Martin 2015, p 241; 265), sustainable development ideals (United Nations 2010) and greater social justice </w:t>
      </w:r>
      <w:r w:rsidR="00A50872">
        <w:rPr>
          <w:sz w:val="28"/>
          <w:szCs w:val="28"/>
        </w:rPr>
        <w:t>(CLES 2015, p17</w:t>
      </w:r>
      <w:r w:rsidR="00901251" w:rsidRPr="00A50872">
        <w:rPr>
          <w:sz w:val="28"/>
          <w:szCs w:val="28"/>
        </w:rPr>
        <w:t>).</w:t>
      </w:r>
      <w:r w:rsidR="00901251">
        <w:rPr>
          <w:sz w:val="28"/>
          <w:szCs w:val="28"/>
        </w:rPr>
        <w:t xml:space="preserve"> </w:t>
      </w:r>
    </w:p>
    <w:p w14:paraId="727429C9" w14:textId="7B9A7455" w:rsidR="002F6872" w:rsidRDefault="00042505" w:rsidP="00923590">
      <w:pPr>
        <w:jc w:val="both"/>
        <w:rPr>
          <w:sz w:val="28"/>
          <w:szCs w:val="28"/>
        </w:rPr>
      </w:pPr>
      <w:r w:rsidRPr="00B14B94">
        <w:rPr>
          <w:sz w:val="28"/>
          <w:szCs w:val="28"/>
        </w:rPr>
        <w:t xml:space="preserve">The Northern Powerhouse landscape is shaped by historical </w:t>
      </w:r>
      <w:r w:rsidR="00C37614" w:rsidRPr="00B14B94">
        <w:rPr>
          <w:sz w:val="28"/>
          <w:szCs w:val="28"/>
        </w:rPr>
        <w:t>settlement patterns (Brenner 1998, p6</w:t>
      </w:r>
      <w:r w:rsidR="00C057BD">
        <w:rPr>
          <w:sz w:val="28"/>
          <w:szCs w:val="28"/>
        </w:rPr>
        <w:t>), physical geography</w:t>
      </w:r>
      <w:r w:rsidR="00C057BD" w:rsidRPr="00C057BD">
        <w:rPr>
          <w:sz w:val="28"/>
          <w:szCs w:val="28"/>
        </w:rPr>
        <w:t xml:space="preserve">, </w:t>
      </w:r>
      <w:r w:rsidR="00FF5FCC">
        <w:rPr>
          <w:sz w:val="28"/>
          <w:szCs w:val="28"/>
        </w:rPr>
        <w:t>industrial heritage and political power</w:t>
      </w:r>
      <w:r w:rsidRPr="00C057BD">
        <w:rPr>
          <w:sz w:val="28"/>
          <w:szCs w:val="28"/>
        </w:rPr>
        <w:t>.</w:t>
      </w:r>
      <w:r w:rsidRPr="00282587">
        <w:rPr>
          <w:sz w:val="28"/>
          <w:szCs w:val="28"/>
        </w:rPr>
        <w:t xml:space="preserve">  As Osborne (2014a; 2014b) a</w:t>
      </w:r>
      <w:r w:rsidR="00D75563">
        <w:rPr>
          <w:sz w:val="28"/>
          <w:szCs w:val="28"/>
        </w:rPr>
        <w:t xml:space="preserve">nd others have highlighted </w:t>
      </w:r>
      <w:r w:rsidRPr="00282587">
        <w:rPr>
          <w:sz w:val="28"/>
          <w:szCs w:val="28"/>
        </w:rPr>
        <w:t xml:space="preserve">the geography is by its nature imprecise (Wharton J. cited in </w:t>
      </w:r>
      <w:proofErr w:type="spellStart"/>
      <w:r w:rsidRPr="00282587">
        <w:rPr>
          <w:sz w:val="28"/>
          <w:szCs w:val="28"/>
        </w:rPr>
        <w:t>Pidd</w:t>
      </w:r>
      <w:proofErr w:type="spellEnd"/>
      <w:r w:rsidRPr="00282587">
        <w:rPr>
          <w:sz w:val="28"/>
          <w:szCs w:val="28"/>
        </w:rPr>
        <w:t xml:space="preserve"> 2015) and </w:t>
      </w:r>
      <w:r w:rsidR="007B2D40">
        <w:rPr>
          <w:sz w:val="28"/>
          <w:szCs w:val="28"/>
        </w:rPr>
        <w:t>will have ‘fuzzy boundaries’ (</w:t>
      </w:r>
      <w:r w:rsidR="007B2D40" w:rsidRPr="007B2D40">
        <w:rPr>
          <w:sz w:val="28"/>
          <w:szCs w:val="28"/>
        </w:rPr>
        <w:t>Harrison 2012, p1248</w:t>
      </w:r>
      <w:r w:rsidR="002F6872">
        <w:rPr>
          <w:sz w:val="28"/>
          <w:szCs w:val="28"/>
        </w:rPr>
        <w:t xml:space="preserve">). </w:t>
      </w:r>
      <w:r w:rsidR="00CB3C1D">
        <w:rPr>
          <w:sz w:val="28"/>
          <w:szCs w:val="28"/>
        </w:rPr>
        <w:t xml:space="preserve"> </w:t>
      </w:r>
    </w:p>
    <w:p w14:paraId="7428D74F" w14:textId="53740B40" w:rsidR="002F6872" w:rsidRPr="002F6872" w:rsidRDefault="002F6872" w:rsidP="002F6872">
      <w:pPr>
        <w:jc w:val="both"/>
        <w:rPr>
          <w:sz w:val="28"/>
          <w:szCs w:val="28"/>
        </w:rPr>
      </w:pPr>
      <w:r w:rsidRPr="002F6872">
        <w:rPr>
          <w:sz w:val="28"/>
          <w:szCs w:val="28"/>
        </w:rPr>
        <w:lastRenderedPageBreak/>
        <w:t>As Brenner (1998) contends these are ‘multiple overlapping forms of territorial organization’ which ‘converge, coalesce and interpenetrate’ (Brenner, 1998, p 6). Brenner argues that these forms of territorial organisational can apply to cities/urban areas as well as states at different geographical scales e.g. urban, regional, national and global (</w:t>
      </w:r>
      <w:r w:rsidRPr="0038362B">
        <w:rPr>
          <w:sz w:val="28"/>
          <w:szCs w:val="28"/>
        </w:rPr>
        <w:t>Brenner 1998</w:t>
      </w:r>
      <w:r w:rsidR="0038362B">
        <w:rPr>
          <w:sz w:val="28"/>
          <w:szCs w:val="28"/>
        </w:rPr>
        <w:t>, p16</w:t>
      </w:r>
      <w:r w:rsidRPr="002F6872">
        <w:rPr>
          <w:sz w:val="28"/>
          <w:szCs w:val="28"/>
        </w:rPr>
        <w:t xml:space="preserve">).   </w:t>
      </w:r>
    </w:p>
    <w:p w14:paraId="1052E3A2" w14:textId="2C6E7133" w:rsidR="006008E8" w:rsidRDefault="0033104B" w:rsidP="00923590">
      <w:pPr>
        <w:jc w:val="both"/>
        <w:rPr>
          <w:sz w:val="28"/>
          <w:szCs w:val="28"/>
        </w:rPr>
      </w:pPr>
      <w:r w:rsidRPr="00282587">
        <w:rPr>
          <w:sz w:val="28"/>
          <w:szCs w:val="28"/>
        </w:rPr>
        <w:t>Whether seen as an ‘interconnected metro-region’ (Cox and Hunter 2015, p 4) or a collection of distinctive northern cities developed on either side of the natural Pennines geography and historical L</w:t>
      </w:r>
      <w:r w:rsidR="00925A5D">
        <w:rPr>
          <w:sz w:val="28"/>
          <w:szCs w:val="28"/>
        </w:rPr>
        <w:t xml:space="preserve">ancashire/Yorkshire divide </w:t>
      </w:r>
      <w:r w:rsidRPr="00282587">
        <w:rPr>
          <w:sz w:val="28"/>
          <w:szCs w:val="28"/>
        </w:rPr>
        <w:t>there are variances in how this territory is defined</w:t>
      </w:r>
      <w:r w:rsidR="001837C9">
        <w:rPr>
          <w:sz w:val="28"/>
          <w:szCs w:val="28"/>
        </w:rPr>
        <w:t xml:space="preserve">. </w:t>
      </w:r>
      <w:r w:rsidR="000614F8" w:rsidRPr="00A134B9">
        <w:rPr>
          <w:sz w:val="28"/>
          <w:szCs w:val="28"/>
        </w:rPr>
        <w:t>T</w:t>
      </w:r>
      <w:r w:rsidR="00156B72" w:rsidRPr="00A134B9">
        <w:rPr>
          <w:sz w:val="28"/>
          <w:szCs w:val="28"/>
        </w:rPr>
        <w:t xml:space="preserve">he Northern Powerhouse </w:t>
      </w:r>
      <w:r w:rsidR="001C09E6" w:rsidRPr="00A134B9">
        <w:rPr>
          <w:sz w:val="28"/>
          <w:szCs w:val="28"/>
        </w:rPr>
        <w:t>has a population of ten million people</w:t>
      </w:r>
      <w:r w:rsidR="00607DDD" w:rsidRPr="00A134B9">
        <w:rPr>
          <w:sz w:val="28"/>
          <w:szCs w:val="28"/>
        </w:rPr>
        <w:t xml:space="preserve">, </w:t>
      </w:r>
      <w:r w:rsidR="00AB1107" w:rsidRPr="00A134B9">
        <w:rPr>
          <w:sz w:val="28"/>
          <w:szCs w:val="28"/>
        </w:rPr>
        <w:t>(</w:t>
      </w:r>
      <w:r w:rsidR="00607DDD" w:rsidRPr="00A134B9">
        <w:rPr>
          <w:sz w:val="28"/>
          <w:szCs w:val="28"/>
        </w:rPr>
        <w:t xml:space="preserve">Centre for Cities 2015 p2) </w:t>
      </w:r>
      <w:r w:rsidR="00C650C6" w:rsidRPr="00A134B9">
        <w:rPr>
          <w:sz w:val="28"/>
          <w:szCs w:val="28"/>
        </w:rPr>
        <w:t xml:space="preserve">the Sheffield, North East, Greater Manchester, Liverpool, West Yorkshire and Hull city-regions (Centre for Cities 2015 p5) and </w:t>
      </w:r>
      <w:r w:rsidR="00AB1107" w:rsidRPr="00A134B9">
        <w:rPr>
          <w:sz w:val="28"/>
          <w:szCs w:val="28"/>
        </w:rPr>
        <w:t>23 Universities (Centre for Cities 2015 p7)</w:t>
      </w:r>
      <w:r w:rsidR="006E5D04">
        <w:rPr>
          <w:sz w:val="28"/>
          <w:szCs w:val="28"/>
        </w:rPr>
        <w:t>.</w:t>
      </w:r>
    </w:p>
    <w:p w14:paraId="3E40C8F8" w14:textId="6F83769B" w:rsidR="00105186" w:rsidRPr="00273A4F" w:rsidRDefault="006F15B2" w:rsidP="00923590">
      <w:pPr>
        <w:jc w:val="both"/>
        <w:rPr>
          <w:sz w:val="28"/>
          <w:szCs w:val="28"/>
        </w:rPr>
      </w:pPr>
      <w:r>
        <w:rPr>
          <w:sz w:val="28"/>
          <w:szCs w:val="28"/>
        </w:rPr>
        <w:t>E</w:t>
      </w:r>
      <w:r w:rsidR="006008E8" w:rsidRPr="00273A4F">
        <w:rPr>
          <w:sz w:val="28"/>
          <w:szCs w:val="28"/>
        </w:rPr>
        <w:t xml:space="preserve">conomic and social </w:t>
      </w:r>
      <w:r w:rsidR="00923590" w:rsidRPr="00273A4F">
        <w:rPr>
          <w:sz w:val="28"/>
          <w:szCs w:val="28"/>
        </w:rPr>
        <w:t xml:space="preserve">development </w:t>
      </w:r>
      <w:r w:rsidR="00CB0D17">
        <w:rPr>
          <w:sz w:val="28"/>
          <w:szCs w:val="28"/>
        </w:rPr>
        <w:t>of t</w:t>
      </w:r>
      <w:r w:rsidR="00EF1127">
        <w:rPr>
          <w:sz w:val="28"/>
          <w:szCs w:val="28"/>
        </w:rPr>
        <w:t>he</w:t>
      </w:r>
      <w:r w:rsidR="0017144B">
        <w:rPr>
          <w:sz w:val="28"/>
          <w:szCs w:val="28"/>
        </w:rPr>
        <w:t xml:space="preserve"> Northern Powerhouse </w:t>
      </w:r>
      <w:r w:rsidR="00BE220A">
        <w:rPr>
          <w:sz w:val="28"/>
          <w:szCs w:val="28"/>
        </w:rPr>
        <w:t xml:space="preserve">is a factor of </w:t>
      </w:r>
      <w:r w:rsidR="002563EC">
        <w:rPr>
          <w:sz w:val="28"/>
          <w:szCs w:val="28"/>
        </w:rPr>
        <w:t>l</w:t>
      </w:r>
      <w:r w:rsidR="004B3CDC">
        <w:rPr>
          <w:sz w:val="28"/>
          <w:szCs w:val="28"/>
        </w:rPr>
        <w:t xml:space="preserve">ong run </w:t>
      </w:r>
      <w:r w:rsidR="00923590" w:rsidRPr="00273A4F">
        <w:rPr>
          <w:sz w:val="28"/>
          <w:szCs w:val="28"/>
        </w:rPr>
        <w:t xml:space="preserve">complex </w:t>
      </w:r>
      <w:r w:rsidR="003F152E" w:rsidRPr="00273A4F">
        <w:rPr>
          <w:sz w:val="28"/>
          <w:szCs w:val="28"/>
        </w:rPr>
        <w:t xml:space="preserve">evolutionary </w:t>
      </w:r>
      <w:r w:rsidR="00923590" w:rsidRPr="00273A4F">
        <w:rPr>
          <w:sz w:val="28"/>
          <w:szCs w:val="28"/>
        </w:rPr>
        <w:t>system</w:t>
      </w:r>
      <w:r w:rsidR="00B47A5A">
        <w:rPr>
          <w:sz w:val="28"/>
          <w:szCs w:val="28"/>
        </w:rPr>
        <w:t>s</w:t>
      </w:r>
      <w:r w:rsidR="00923590" w:rsidRPr="00273A4F">
        <w:rPr>
          <w:sz w:val="28"/>
          <w:szCs w:val="28"/>
        </w:rPr>
        <w:t xml:space="preserve"> (Martin and </w:t>
      </w:r>
      <w:proofErr w:type="spellStart"/>
      <w:r w:rsidR="00923590" w:rsidRPr="00273A4F">
        <w:rPr>
          <w:sz w:val="28"/>
          <w:szCs w:val="28"/>
        </w:rPr>
        <w:t>S</w:t>
      </w:r>
      <w:r w:rsidR="005E3310">
        <w:rPr>
          <w:sz w:val="28"/>
          <w:szCs w:val="28"/>
        </w:rPr>
        <w:t>immie</w:t>
      </w:r>
      <w:proofErr w:type="spellEnd"/>
      <w:r w:rsidR="005E3310">
        <w:rPr>
          <w:sz w:val="28"/>
          <w:szCs w:val="28"/>
        </w:rPr>
        <w:t xml:space="preserve"> 2008; Martin &amp; </w:t>
      </w:r>
      <w:proofErr w:type="spellStart"/>
      <w:r w:rsidR="005E3310">
        <w:rPr>
          <w:sz w:val="28"/>
          <w:szCs w:val="28"/>
        </w:rPr>
        <w:t>Sunley</w:t>
      </w:r>
      <w:proofErr w:type="spellEnd"/>
      <w:r w:rsidR="005E3310">
        <w:rPr>
          <w:sz w:val="28"/>
          <w:szCs w:val="28"/>
        </w:rPr>
        <w:t xml:space="preserve"> </w:t>
      </w:r>
      <w:r w:rsidR="003F152E" w:rsidRPr="00273A4F">
        <w:rPr>
          <w:sz w:val="28"/>
          <w:szCs w:val="28"/>
        </w:rPr>
        <w:t>2015 p</w:t>
      </w:r>
      <w:r w:rsidR="003503C3">
        <w:rPr>
          <w:sz w:val="28"/>
          <w:szCs w:val="28"/>
        </w:rPr>
        <w:t>p725</w:t>
      </w:r>
      <w:r w:rsidR="0075129B" w:rsidRPr="00273A4F">
        <w:rPr>
          <w:sz w:val="28"/>
          <w:szCs w:val="28"/>
        </w:rPr>
        <w:t>-728</w:t>
      </w:r>
      <w:r w:rsidR="00AF1546" w:rsidRPr="00273A4F">
        <w:rPr>
          <w:sz w:val="28"/>
          <w:szCs w:val="28"/>
        </w:rPr>
        <w:t>; RSA 2014, p15).</w:t>
      </w:r>
      <w:r w:rsidR="00752B58">
        <w:rPr>
          <w:sz w:val="28"/>
          <w:szCs w:val="28"/>
        </w:rPr>
        <w:t xml:space="preserve"> </w:t>
      </w:r>
      <w:r w:rsidR="004B3CDC">
        <w:rPr>
          <w:sz w:val="28"/>
          <w:szCs w:val="28"/>
        </w:rPr>
        <w:t xml:space="preserve"> </w:t>
      </w:r>
      <w:r w:rsidR="00EA6FBE">
        <w:rPr>
          <w:sz w:val="28"/>
          <w:szCs w:val="28"/>
        </w:rPr>
        <w:t xml:space="preserve"> Relative GDP performance of </w:t>
      </w:r>
      <w:r w:rsidR="00AF24B7">
        <w:rPr>
          <w:sz w:val="28"/>
          <w:szCs w:val="28"/>
        </w:rPr>
        <w:t>UK regions</w:t>
      </w:r>
      <w:r w:rsidR="00C431E1">
        <w:rPr>
          <w:sz w:val="28"/>
          <w:szCs w:val="28"/>
        </w:rPr>
        <w:t xml:space="preserve"> 1985-2012 appears to have changed little </w:t>
      </w:r>
      <w:r w:rsidR="003529E1">
        <w:rPr>
          <w:sz w:val="28"/>
          <w:szCs w:val="28"/>
        </w:rPr>
        <w:t xml:space="preserve">with the northern powerhouse regional territories (North East England, </w:t>
      </w:r>
      <w:r w:rsidR="00740E45">
        <w:rPr>
          <w:sz w:val="28"/>
          <w:szCs w:val="28"/>
        </w:rPr>
        <w:t xml:space="preserve">Yorkshire and the Humber, North West England) ranked </w:t>
      </w:r>
      <w:r w:rsidR="00A54BF4">
        <w:rPr>
          <w:sz w:val="28"/>
          <w:szCs w:val="28"/>
        </w:rPr>
        <w:t xml:space="preserve">lower than London, </w:t>
      </w:r>
      <w:r w:rsidR="00740E45">
        <w:rPr>
          <w:sz w:val="28"/>
          <w:szCs w:val="28"/>
        </w:rPr>
        <w:t>the South East</w:t>
      </w:r>
      <w:r w:rsidR="00EC65A2">
        <w:rPr>
          <w:sz w:val="28"/>
          <w:szCs w:val="28"/>
        </w:rPr>
        <w:t>, and the Midlands (ONS 1996, 2014 c in Jones 2015, pp. 285-286).</w:t>
      </w:r>
      <w:r w:rsidR="005D47F3">
        <w:rPr>
          <w:sz w:val="28"/>
          <w:szCs w:val="28"/>
        </w:rPr>
        <w:t xml:space="preserve"> </w:t>
      </w:r>
      <w:r w:rsidR="00CB3C1D">
        <w:rPr>
          <w:sz w:val="28"/>
          <w:szCs w:val="28"/>
        </w:rPr>
        <w:t xml:space="preserve">  If the Northern Powerhouse Region is considered as a collection of the North West, North East and Yorkshire and Humber geography, functional economies, and communities</w:t>
      </w:r>
      <w:r w:rsidR="005B2DAF">
        <w:rPr>
          <w:sz w:val="28"/>
          <w:szCs w:val="28"/>
        </w:rPr>
        <w:t xml:space="preserve">, </w:t>
      </w:r>
      <w:r w:rsidR="00CB3C1D">
        <w:rPr>
          <w:sz w:val="28"/>
          <w:szCs w:val="28"/>
        </w:rPr>
        <w:t xml:space="preserve">the scale is larger than London.  </w:t>
      </w:r>
      <w:r w:rsidR="005B2DAF">
        <w:rPr>
          <w:sz w:val="28"/>
          <w:szCs w:val="28"/>
        </w:rPr>
        <w:t xml:space="preserve"> The economy is delivering a higher proportion of GVA and a larger number </w:t>
      </w:r>
      <w:r w:rsidR="00161366">
        <w:rPr>
          <w:sz w:val="28"/>
          <w:szCs w:val="28"/>
        </w:rPr>
        <w:t>of jobs (see Table1).</w:t>
      </w:r>
    </w:p>
    <w:p w14:paraId="21EFA1AB" w14:textId="77777777" w:rsidR="00C0042B" w:rsidRDefault="00E153D6" w:rsidP="00BF75E7">
      <w:pPr>
        <w:jc w:val="both"/>
        <w:rPr>
          <w:sz w:val="28"/>
          <w:szCs w:val="28"/>
        </w:rPr>
        <w:sectPr w:rsidR="00C0042B" w:rsidSect="00C0042B">
          <w:pgSz w:w="11906" w:h="16838"/>
          <w:pgMar w:top="964" w:right="1440" w:bottom="964" w:left="1440" w:header="709" w:footer="709" w:gutter="0"/>
          <w:cols w:space="708"/>
          <w:docGrid w:linePitch="360"/>
        </w:sectPr>
      </w:pPr>
      <w:r w:rsidRPr="00697AE4">
        <w:rPr>
          <w:sz w:val="28"/>
          <w:szCs w:val="28"/>
        </w:rPr>
        <w:t xml:space="preserve">The challenge for sustainability </w:t>
      </w:r>
      <w:r w:rsidR="00D27BEA" w:rsidRPr="00697AE4">
        <w:rPr>
          <w:sz w:val="28"/>
          <w:szCs w:val="28"/>
        </w:rPr>
        <w:t xml:space="preserve">and resilience </w:t>
      </w:r>
      <w:r w:rsidR="00BF75E7" w:rsidRPr="00697AE4">
        <w:rPr>
          <w:sz w:val="28"/>
          <w:szCs w:val="28"/>
        </w:rPr>
        <w:t xml:space="preserve">of this complex economic and social urban and regional system, </w:t>
      </w:r>
      <w:r w:rsidR="003769F9" w:rsidRPr="00697AE4">
        <w:rPr>
          <w:sz w:val="28"/>
          <w:szCs w:val="28"/>
        </w:rPr>
        <w:t xml:space="preserve">is to foster </w:t>
      </w:r>
      <w:r w:rsidR="00BF75E7" w:rsidRPr="00697AE4">
        <w:rPr>
          <w:sz w:val="28"/>
          <w:szCs w:val="28"/>
        </w:rPr>
        <w:t>a whole system approach</w:t>
      </w:r>
      <w:r w:rsidR="002101E1">
        <w:rPr>
          <w:sz w:val="28"/>
          <w:szCs w:val="28"/>
        </w:rPr>
        <w:t xml:space="preserve"> (Jones, 2015, p288</w:t>
      </w:r>
      <w:r w:rsidR="007E612F">
        <w:rPr>
          <w:sz w:val="28"/>
          <w:szCs w:val="28"/>
        </w:rPr>
        <w:t>),</w:t>
      </w:r>
      <w:r w:rsidR="00BF75E7" w:rsidRPr="00697AE4">
        <w:rPr>
          <w:sz w:val="28"/>
          <w:szCs w:val="28"/>
        </w:rPr>
        <w:t xml:space="preserve"> </w:t>
      </w:r>
      <w:r w:rsidR="00E04947" w:rsidRPr="00697AE4">
        <w:rPr>
          <w:sz w:val="28"/>
          <w:szCs w:val="28"/>
        </w:rPr>
        <w:t>and partnership working at different scales and across multi stakeholders, political parties and communities</w:t>
      </w:r>
      <w:r w:rsidR="006E0E83">
        <w:rPr>
          <w:sz w:val="28"/>
          <w:szCs w:val="28"/>
        </w:rPr>
        <w:t xml:space="preserve"> (What Works Centre 2015 p7</w:t>
      </w:r>
      <w:r w:rsidR="008108D9">
        <w:rPr>
          <w:sz w:val="28"/>
          <w:szCs w:val="28"/>
        </w:rPr>
        <w:t>)</w:t>
      </w:r>
      <w:r w:rsidR="00E04947" w:rsidRPr="00697AE4">
        <w:rPr>
          <w:sz w:val="28"/>
          <w:szCs w:val="28"/>
        </w:rPr>
        <w:t>.</w:t>
      </w:r>
      <w:r w:rsidR="00F50544" w:rsidRPr="00697AE4">
        <w:rPr>
          <w:sz w:val="28"/>
          <w:szCs w:val="28"/>
        </w:rPr>
        <w:t xml:space="preserve">  </w:t>
      </w:r>
      <w:r w:rsidR="00BB6367">
        <w:rPr>
          <w:sz w:val="28"/>
          <w:szCs w:val="28"/>
        </w:rPr>
        <w:t xml:space="preserve"> The Northern Powerhouse is situated within </w:t>
      </w:r>
      <w:r w:rsidR="00BE0691">
        <w:rPr>
          <w:sz w:val="28"/>
          <w:szCs w:val="28"/>
        </w:rPr>
        <w:t xml:space="preserve">interconnected international, national and local </w:t>
      </w:r>
      <w:r w:rsidR="00BB6367" w:rsidRPr="00FF3D18">
        <w:rPr>
          <w:sz w:val="28"/>
          <w:szCs w:val="28"/>
        </w:rPr>
        <w:t>economies operating at overlapping and different scales</w:t>
      </w:r>
      <w:r w:rsidR="00E341AD">
        <w:rPr>
          <w:sz w:val="28"/>
          <w:szCs w:val="28"/>
        </w:rPr>
        <w:t xml:space="preserve"> (</w:t>
      </w:r>
      <w:r w:rsidR="00976688">
        <w:rPr>
          <w:sz w:val="28"/>
          <w:szCs w:val="28"/>
        </w:rPr>
        <w:t>Jones 2015, p 286)</w:t>
      </w:r>
      <w:r w:rsidR="00BB6367" w:rsidRPr="00FF3D18">
        <w:rPr>
          <w:sz w:val="28"/>
          <w:szCs w:val="28"/>
        </w:rPr>
        <w:t>.</w:t>
      </w:r>
      <w:r w:rsidR="00CB3C1D">
        <w:rPr>
          <w:sz w:val="28"/>
          <w:szCs w:val="28"/>
        </w:rPr>
        <w:t xml:space="preserve"> </w:t>
      </w:r>
    </w:p>
    <w:p w14:paraId="10BC074D" w14:textId="3ADF41E4" w:rsidR="00C0042B" w:rsidRDefault="00C0042B" w:rsidP="00BF75E7">
      <w:pPr>
        <w:jc w:val="both"/>
        <w:rPr>
          <w:sz w:val="28"/>
          <w:szCs w:val="28"/>
        </w:rPr>
      </w:pPr>
    </w:p>
    <w:p w14:paraId="0D972F70" w14:textId="77777777" w:rsidR="00C0042B" w:rsidRDefault="00C0042B" w:rsidP="00C0042B">
      <w:pPr>
        <w:spacing w:after="0" w:line="240" w:lineRule="auto"/>
        <w:rPr>
          <w:sz w:val="28"/>
          <w:szCs w:val="28"/>
        </w:rPr>
      </w:pPr>
      <w:r w:rsidRPr="00BE50C7">
        <w:rPr>
          <w:noProof/>
          <w:lang w:eastAsia="en-GB"/>
        </w:rPr>
        <w:drawing>
          <wp:inline distT="0" distB="0" distL="0" distR="0" wp14:anchorId="32D6CA8E" wp14:editId="75258153">
            <wp:extent cx="9629901" cy="3106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4267" cy="3107828"/>
                    </a:xfrm>
                    <a:prstGeom prst="rect">
                      <a:avLst/>
                    </a:prstGeom>
                    <a:noFill/>
                    <a:ln>
                      <a:noFill/>
                    </a:ln>
                  </pic:spPr>
                </pic:pic>
              </a:graphicData>
            </a:graphic>
          </wp:inline>
        </w:drawing>
      </w:r>
    </w:p>
    <w:p w14:paraId="7C03A4D0" w14:textId="77777777" w:rsidR="00C0042B" w:rsidRPr="00FE7F03" w:rsidRDefault="00C0042B" w:rsidP="00C0042B">
      <w:pPr>
        <w:widowControl w:val="0"/>
        <w:autoSpaceDE w:val="0"/>
        <w:autoSpaceDN w:val="0"/>
        <w:adjustRightInd w:val="0"/>
        <w:spacing w:after="240" w:line="240" w:lineRule="auto"/>
        <w:jc w:val="both"/>
        <w:rPr>
          <w:b/>
          <w:sz w:val="24"/>
          <w:szCs w:val="24"/>
        </w:rPr>
        <w:sectPr w:rsidR="00C0042B" w:rsidRPr="00FE7F03" w:rsidSect="00C0042B">
          <w:pgSz w:w="16838" w:h="11906" w:orient="landscape"/>
          <w:pgMar w:top="1440" w:right="964" w:bottom="1440" w:left="964" w:header="709" w:footer="709" w:gutter="0"/>
          <w:cols w:space="708"/>
          <w:docGrid w:linePitch="360"/>
        </w:sectPr>
      </w:pPr>
      <w:r w:rsidRPr="00FE7F03">
        <w:rPr>
          <w:b/>
          <w:sz w:val="24"/>
          <w:szCs w:val="24"/>
        </w:rPr>
        <w:t>Table 1: Northern Powerhouse Analysis by NOMIS and ONS regions (NUTS1)</w:t>
      </w:r>
    </w:p>
    <w:p w14:paraId="4A8719AF" w14:textId="77777777" w:rsidR="00C0042B" w:rsidRDefault="00C0042B" w:rsidP="00BF75E7">
      <w:pPr>
        <w:jc w:val="both"/>
        <w:rPr>
          <w:sz w:val="28"/>
          <w:szCs w:val="28"/>
        </w:rPr>
      </w:pPr>
    </w:p>
    <w:p w14:paraId="18C6F2C8" w14:textId="13BCD0C9" w:rsidR="00B12CAA" w:rsidRDefault="00105186" w:rsidP="00024070">
      <w:pPr>
        <w:jc w:val="both"/>
        <w:rPr>
          <w:sz w:val="28"/>
          <w:szCs w:val="28"/>
        </w:rPr>
      </w:pPr>
      <w:r w:rsidRPr="0036074E">
        <w:rPr>
          <w:sz w:val="28"/>
          <w:szCs w:val="28"/>
        </w:rPr>
        <w:t xml:space="preserve">This will require new </w:t>
      </w:r>
      <w:r w:rsidR="00C6648D">
        <w:rPr>
          <w:sz w:val="28"/>
          <w:szCs w:val="28"/>
        </w:rPr>
        <w:t xml:space="preserve">policy </w:t>
      </w:r>
      <w:r w:rsidRPr="0036074E">
        <w:rPr>
          <w:sz w:val="28"/>
          <w:szCs w:val="28"/>
        </w:rPr>
        <w:t xml:space="preserve">levers and investment to deliver and will rely on local </w:t>
      </w:r>
      <w:r w:rsidR="00613341">
        <w:rPr>
          <w:sz w:val="28"/>
          <w:szCs w:val="28"/>
        </w:rPr>
        <w:t xml:space="preserve">systems </w:t>
      </w:r>
      <w:r w:rsidRPr="0036074E">
        <w:rPr>
          <w:sz w:val="28"/>
          <w:szCs w:val="28"/>
        </w:rPr>
        <w:t>leadership an</w:t>
      </w:r>
      <w:r w:rsidR="0055690D">
        <w:rPr>
          <w:sz w:val="28"/>
          <w:szCs w:val="28"/>
        </w:rPr>
        <w:t>d new mayoral governance models</w:t>
      </w:r>
      <w:r w:rsidRPr="0036074E">
        <w:rPr>
          <w:sz w:val="28"/>
          <w:szCs w:val="28"/>
        </w:rPr>
        <w:t xml:space="preserve"> for policies and decision-making in a devolved environment (Cox and Hunter 2015, pp. 11-12).   </w:t>
      </w:r>
      <w:r w:rsidR="000F3AB7">
        <w:rPr>
          <w:sz w:val="28"/>
          <w:szCs w:val="28"/>
        </w:rPr>
        <w:t>Importantly, there is a</w:t>
      </w:r>
      <w:r w:rsidR="00117188">
        <w:rPr>
          <w:sz w:val="28"/>
          <w:szCs w:val="28"/>
        </w:rPr>
        <w:t>n</w:t>
      </w:r>
      <w:r w:rsidR="000F3AB7">
        <w:rPr>
          <w:sz w:val="28"/>
          <w:szCs w:val="28"/>
        </w:rPr>
        <w:t xml:space="preserve"> increasing focus on the </w:t>
      </w:r>
      <w:r w:rsidR="005D5DBB">
        <w:rPr>
          <w:sz w:val="28"/>
          <w:szCs w:val="28"/>
        </w:rPr>
        <w:t xml:space="preserve">significance of </w:t>
      </w:r>
      <w:r w:rsidR="00F14D3C">
        <w:rPr>
          <w:sz w:val="28"/>
          <w:szCs w:val="28"/>
        </w:rPr>
        <w:t>‘</w:t>
      </w:r>
      <w:r w:rsidR="005D5DBB">
        <w:rPr>
          <w:sz w:val="28"/>
          <w:szCs w:val="28"/>
        </w:rPr>
        <w:t xml:space="preserve">institutions </w:t>
      </w:r>
      <w:r w:rsidR="00F14D3C">
        <w:rPr>
          <w:sz w:val="28"/>
          <w:szCs w:val="28"/>
        </w:rPr>
        <w:t xml:space="preserve">and the state’ </w:t>
      </w:r>
      <w:r w:rsidR="005D5DBB">
        <w:rPr>
          <w:sz w:val="28"/>
          <w:szCs w:val="28"/>
        </w:rPr>
        <w:t>for regional resilience and growth</w:t>
      </w:r>
      <w:r w:rsidR="00943220">
        <w:rPr>
          <w:sz w:val="28"/>
          <w:szCs w:val="28"/>
        </w:rPr>
        <w:t xml:space="preserve"> (</w:t>
      </w:r>
      <w:r w:rsidR="00DA2A1F">
        <w:rPr>
          <w:sz w:val="28"/>
          <w:szCs w:val="28"/>
        </w:rPr>
        <w:t xml:space="preserve">Martin and </w:t>
      </w:r>
      <w:proofErr w:type="spellStart"/>
      <w:r w:rsidR="00DA2A1F">
        <w:rPr>
          <w:sz w:val="28"/>
          <w:szCs w:val="28"/>
        </w:rPr>
        <w:t>Sunley</w:t>
      </w:r>
      <w:proofErr w:type="spellEnd"/>
      <w:r w:rsidR="00DA2A1F">
        <w:rPr>
          <w:sz w:val="28"/>
          <w:szCs w:val="28"/>
        </w:rPr>
        <w:t xml:space="preserve"> 2015, p 725; </w:t>
      </w:r>
      <w:proofErr w:type="spellStart"/>
      <w:r w:rsidR="00943220">
        <w:rPr>
          <w:sz w:val="28"/>
          <w:szCs w:val="28"/>
        </w:rPr>
        <w:t>Boschma</w:t>
      </w:r>
      <w:proofErr w:type="spellEnd"/>
      <w:r w:rsidR="00943220">
        <w:rPr>
          <w:sz w:val="28"/>
          <w:szCs w:val="28"/>
        </w:rPr>
        <w:t xml:space="preserve"> </w:t>
      </w:r>
      <w:r w:rsidR="00A0532B">
        <w:rPr>
          <w:sz w:val="28"/>
          <w:szCs w:val="28"/>
        </w:rPr>
        <w:t xml:space="preserve">2015, pp. 741-742).  Jones (2015) suggests that </w:t>
      </w:r>
      <w:r w:rsidR="00B12EFE">
        <w:rPr>
          <w:sz w:val="28"/>
          <w:szCs w:val="28"/>
        </w:rPr>
        <w:t>“</w:t>
      </w:r>
      <w:r w:rsidR="00A0532B" w:rsidRPr="00B12EFE">
        <w:rPr>
          <w:i/>
          <w:sz w:val="28"/>
          <w:szCs w:val="28"/>
        </w:rPr>
        <w:t>emb</w:t>
      </w:r>
      <w:r w:rsidR="00414E5F" w:rsidRPr="00B12EFE">
        <w:rPr>
          <w:i/>
          <w:sz w:val="28"/>
          <w:szCs w:val="28"/>
        </w:rPr>
        <w:t>e</w:t>
      </w:r>
      <w:r w:rsidR="00A0532B" w:rsidRPr="00B12EFE">
        <w:rPr>
          <w:i/>
          <w:sz w:val="28"/>
          <w:szCs w:val="28"/>
        </w:rPr>
        <w:t>dding capital</w:t>
      </w:r>
      <w:r w:rsidR="00B12EFE">
        <w:rPr>
          <w:sz w:val="28"/>
          <w:szCs w:val="28"/>
        </w:rPr>
        <w:t>”</w:t>
      </w:r>
      <w:r w:rsidR="00A0532B">
        <w:rPr>
          <w:sz w:val="28"/>
          <w:szCs w:val="28"/>
        </w:rPr>
        <w:t xml:space="preserve"> is as important as </w:t>
      </w:r>
      <w:r w:rsidR="00B12EFE">
        <w:rPr>
          <w:sz w:val="28"/>
          <w:szCs w:val="28"/>
        </w:rPr>
        <w:t>“</w:t>
      </w:r>
      <w:r w:rsidR="00A0532B" w:rsidRPr="00B12EFE">
        <w:rPr>
          <w:i/>
          <w:sz w:val="28"/>
          <w:szCs w:val="28"/>
        </w:rPr>
        <w:t>creating it</w:t>
      </w:r>
      <w:r w:rsidR="00B12EFE">
        <w:rPr>
          <w:i/>
          <w:sz w:val="28"/>
          <w:szCs w:val="28"/>
        </w:rPr>
        <w:t>”</w:t>
      </w:r>
      <w:r w:rsidR="00A0532B">
        <w:rPr>
          <w:sz w:val="28"/>
          <w:szCs w:val="28"/>
        </w:rPr>
        <w:t xml:space="preserve"> (</w:t>
      </w:r>
      <w:r w:rsidR="00A23BB0">
        <w:rPr>
          <w:sz w:val="28"/>
          <w:szCs w:val="28"/>
        </w:rPr>
        <w:t>Jones 2015,</w:t>
      </w:r>
      <w:r w:rsidR="004B5170">
        <w:rPr>
          <w:sz w:val="28"/>
          <w:szCs w:val="28"/>
        </w:rPr>
        <w:t xml:space="preserve"> </w:t>
      </w:r>
      <w:r w:rsidR="00F82A5E">
        <w:rPr>
          <w:sz w:val="28"/>
          <w:szCs w:val="28"/>
        </w:rPr>
        <w:t>p289</w:t>
      </w:r>
      <w:r w:rsidR="00B12EFE">
        <w:rPr>
          <w:sz w:val="28"/>
          <w:szCs w:val="28"/>
        </w:rPr>
        <w:t>) and argues that greater attention should be placed on how UK regions “</w:t>
      </w:r>
      <w:r w:rsidR="00B12EFE" w:rsidRPr="004272E1">
        <w:rPr>
          <w:i/>
          <w:sz w:val="28"/>
          <w:szCs w:val="28"/>
        </w:rPr>
        <w:t>ensure the benefits</w:t>
      </w:r>
      <w:r w:rsidR="00723724" w:rsidRPr="004272E1">
        <w:rPr>
          <w:i/>
          <w:sz w:val="28"/>
          <w:szCs w:val="28"/>
        </w:rPr>
        <w:t xml:space="preserve"> of their resources…are harnessed to the benefit of the region itself</w:t>
      </w:r>
      <w:r w:rsidR="00723724">
        <w:rPr>
          <w:sz w:val="28"/>
          <w:szCs w:val="28"/>
        </w:rPr>
        <w:t>” (Jones 2015, p 289)</w:t>
      </w:r>
      <w:r w:rsidR="005859D8">
        <w:rPr>
          <w:sz w:val="28"/>
          <w:szCs w:val="28"/>
        </w:rPr>
        <w:t>.</w:t>
      </w:r>
      <w:r w:rsidR="00A11E3C">
        <w:rPr>
          <w:sz w:val="28"/>
          <w:szCs w:val="28"/>
        </w:rPr>
        <w:t xml:space="preserve"> </w:t>
      </w:r>
      <w:r w:rsidR="0055690D">
        <w:rPr>
          <w:sz w:val="28"/>
          <w:szCs w:val="28"/>
        </w:rPr>
        <w:t xml:space="preserve"> Criticism of present devolution approaches suggest that the focus is primarily on fuelling economic growth not addressing inequality or redistribution (</w:t>
      </w:r>
      <w:proofErr w:type="spellStart"/>
      <w:r w:rsidR="0055690D">
        <w:rPr>
          <w:sz w:val="28"/>
          <w:szCs w:val="28"/>
        </w:rPr>
        <w:t>Deas</w:t>
      </w:r>
      <w:proofErr w:type="spellEnd"/>
      <w:r w:rsidR="0055690D">
        <w:rPr>
          <w:sz w:val="28"/>
          <w:szCs w:val="28"/>
        </w:rPr>
        <w:t xml:space="preserve"> 2015, p2311)</w:t>
      </w:r>
      <w:r w:rsidR="007E7D14">
        <w:rPr>
          <w:sz w:val="28"/>
          <w:szCs w:val="28"/>
        </w:rPr>
        <w:t>.</w:t>
      </w:r>
      <w:r w:rsidR="0055690D">
        <w:rPr>
          <w:sz w:val="28"/>
          <w:szCs w:val="28"/>
        </w:rPr>
        <w:t xml:space="preserve"> </w:t>
      </w:r>
      <w:r w:rsidR="00A11E3C">
        <w:rPr>
          <w:sz w:val="28"/>
          <w:szCs w:val="28"/>
        </w:rPr>
        <w:t xml:space="preserve">This interplay of institutions and place is considered </w:t>
      </w:r>
      <w:r w:rsidR="00DF721F">
        <w:rPr>
          <w:sz w:val="28"/>
          <w:szCs w:val="28"/>
        </w:rPr>
        <w:t>central to t</w:t>
      </w:r>
      <w:r w:rsidR="00A11E3C">
        <w:rPr>
          <w:sz w:val="28"/>
          <w:szCs w:val="28"/>
        </w:rPr>
        <w:t xml:space="preserve">he </w:t>
      </w:r>
      <w:r w:rsidR="00C563EE">
        <w:rPr>
          <w:sz w:val="28"/>
          <w:szCs w:val="28"/>
        </w:rPr>
        <w:t xml:space="preserve">success of the </w:t>
      </w:r>
      <w:r w:rsidR="00A11E3C">
        <w:rPr>
          <w:sz w:val="28"/>
          <w:szCs w:val="28"/>
        </w:rPr>
        <w:t>Northern Powerhouse.</w:t>
      </w:r>
    </w:p>
    <w:p w14:paraId="78684605" w14:textId="11AC5F14" w:rsidR="00AA23FA" w:rsidRPr="007920C9" w:rsidRDefault="00AA23FA" w:rsidP="007920C9">
      <w:pPr>
        <w:jc w:val="both"/>
        <w:rPr>
          <w:b/>
          <w:sz w:val="28"/>
          <w:szCs w:val="28"/>
        </w:rPr>
      </w:pPr>
      <w:r>
        <w:rPr>
          <w:b/>
          <w:sz w:val="28"/>
          <w:szCs w:val="28"/>
        </w:rPr>
        <w:t>The R</w:t>
      </w:r>
      <w:r w:rsidRPr="0030442A">
        <w:rPr>
          <w:b/>
          <w:sz w:val="28"/>
          <w:szCs w:val="28"/>
        </w:rPr>
        <w:t>ole of Anchor Institutions</w:t>
      </w:r>
      <w:r>
        <w:rPr>
          <w:b/>
          <w:sz w:val="28"/>
          <w:szCs w:val="28"/>
        </w:rPr>
        <w:t xml:space="preserve"> within a complex urban and regional system</w:t>
      </w:r>
    </w:p>
    <w:p w14:paraId="4C29B97E" w14:textId="77777777" w:rsidR="006F1A8A" w:rsidRDefault="00AA23FA" w:rsidP="006D2494">
      <w:pPr>
        <w:widowControl w:val="0"/>
        <w:autoSpaceDE w:val="0"/>
        <w:autoSpaceDN w:val="0"/>
        <w:adjustRightInd w:val="0"/>
        <w:spacing w:after="240" w:line="240" w:lineRule="auto"/>
        <w:jc w:val="both"/>
        <w:rPr>
          <w:sz w:val="28"/>
          <w:szCs w:val="28"/>
        </w:rPr>
      </w:pPr>
      <w:r w:rsidRPr="002D3AEF">
        <w:rPr>
          <w:sz w:val="28"/>
          <w:szCs w:val="28"/>
        </w:rPr>
        <w:t>Institutions (</w:t>
      </w:r>
      <w:proofErr w:type="spellStart"/>
      <w:r w:rsidRPr="002D3AEF">
        <w:rPr>
          <w:sz w:val="28"/>
          <w:szCs w:val="28"/>
        </w:rPr>
        <w:t>Tomaney</w:t>
      </w:r>
      <w:proofErr w:type="spellEnd"/>
      <w:r w:rsidRPr="002D3AEF">
        <w:rPr>
          <w:sz w:val="28"/>
          <w:szCs w:val="28"/>
        </w:rPr>
        <w:t xml:space="preserve"> 2014, p132) and Anchor Institutions (Clarke and Williams 2014) play a significant role in the development and success of city-regions (Martin and </w:t>
      </w:r>
      <w:proofErr w:type="spellStart"/>
      <w:r w:rsidRPr="002D3AEF">
        <w:rPr>
          <w:sz w:val="28"/>
          <w:szCs w:val="28"/>
        </w:rPr>
        <w:t>Sunley</w:t>
      </w:r>
      <w:proofErr w:type="spellEnd"/>
      <w:r w:rsidRPr="002D3AEF">
        <w:rPr>
          <w:sz w:val="28"/>
          <w:szCs w:val="28"/>
        </w:rPr>
        <w:t xml:space="preserve"> 2015) due to their </w:t>
      </w:r>
      <w:proofErr w:type="spellStart"/>
      <w:r w:rsidRPr="002D3AEF">
        <w:rPr>
          <w:sz w:val="28"/>
          <w:szCs w:val="28"/>
        </w:rPr>
        <w:t>embeddedness</w:t>
      </w:r>
      <w:proofErr w:type="spellEnd"/>
      <w:r w:rsidRPr="002D3AEF">
        <w:rPr>
          <w:sz w:val="28"/>
          <w:szCs w:val="28"/>
        </w:rPr>
        <w:t xml:space="preserve"> in and interdependence with place (</w:t>
      </w:r>
      <w:proofErr w:type="spellStart"/>
      <w:r w:rsidRPr="002D3AEF">
        <w:rPr>
          <w:sz w:val="28"/>
          <w:szCs w:val="28"/>
        </w:rPr>
        <w:t>Maurasse</w:t>
      </w:r>
      <w:proofErr w:type="spellEnd"/>
      <w:r w:rsidRPr="002D3AEF">
        <w:rPr>
          <w:sz w:val="28"/>
          <w:szCs w:val="28"/>
        </w:rPr>
        <w:t xml:space="preserve"> 2007, p2; Clarke and Williams 2014).   Anchor institutions, institutional thickness (Amin and Thrift 1995) and </w:t>
      </w:r>
      <w:r w:rsidR="00135D0F">
        <w:rPr>
          <w:sz w:val="28"/>
          <w:szCs w:val="28"/>
        </w:rPr>
        <w:t xml:space="preserve">institutional effectiveness </w:t>
      </w:r>
      <w:r w:rsidRPr="00135D0F">
        <w:rPr>
          <w:sz w:val="28"/>
          <w:szCs w:val="28"/>
        </w:rPr>
        <w:t>(Beer</w:t>
      </w:r>
      <w:r w:rsidR="00135D0F" w:rsidRPr="00135D0F">
        <w:rPr>
          <w:sz w:val="28"/>
          <w:szCs w:val="28"/>
        </w:rPr>
        <w:t xml:space="preserve"> and Lester 2015</w:t>
      </w:r>
      <w:r w:rsidR="00495B1A">
        <w:rPr>
          <w:sz w:val="28"/>
          <w:szCs w:val="28"/>
        </w:rPr>
        <w:t>, p 223</w:t>
      </w:r>
      <w:r w:rsidRPr="00135D0F">
        <w:rPr>
          <w:sz w:val="28"/>
          <w:szCs w:val="28"/>
        </w:rPr>
        <w:t>) are central to city-regional development and sustainable economic growth in</w:t>
      </w:r>
      <w:r w:rsidRPr="002D3AEF">
        <w:rPr>
          <w:sz w:val="28"/>
          <w:szCs w:val="28"/>
        </w:rPr>
        <w:t xml:space="preserve"> that they “condition, constrain and enable” economic evolution and are shaped by it.  As such, “institutions are both context and consequence of economic evolution’, (Martin and </w:t>
      </w:r>
      <w:proofErr w:type="spellStart"/>
      <w:r w:rsidRPr="002D3AEF">
        <w:rPr>
          <w:sz w:val="28"/>
          <w:szCs w:val="28"/>
        </w:rPr>
        <w:t>Sunley</w:t>
      </w:r>
      <w:proofErr w:type="spellEnd"/>
      <w:r w:rsidRPr="002D3AEF">
        <w:rPr>
          <w:sz w:val="28"/>
          <w:szCs w:val="28"/>
        </w:rPr>
        <w:t xml:space="preserve"> 2015, p724).</w:t>
      </w:r>
      <w:r w:rsidR="00ED37C7">
        <w:rPr>
          <w:sz w:val="28"/>
          <w:szCs w:val="28"/>
        </w:rPr>
        <w:t xml:space="preserve"> </w:t>
      </w:r>
    </w:p>
    <w:p w14:paraId="45C666C6" w14:textId="1339CF63" w:rsidR="00E418C2" w:rsidRPr="00786605" w:rsidRDefault="00ED37C7" w:rsidP="00AA23FA">
      <w:pPr>
        <w:widowControl w:val="0"/>
        <w:autoSpaceDE w:val="0"/>
        <w:autoSpaceDN w:val="0"/>
        <w:adjustRightInd w:val="0"/>
        <w:spacing w:after="240" w:line="240" w:lineRule="auto"/>
        <w:jc w:val="both"/>
        <w:rPr>
          <w:sz w:val="28"/>
          <w:szCs w:val="28"/>
        </w:rPr>
        <w:sectPr w:rsidR="00E418C2" w:rsidRPr="00786605">
          <w:pgSz w:w="11906" w:h="16838"/>
          <w:pgMar w:top="1440" w:right="1440" w:bottom="1440" w:left="1440" w:header="708" w:footer="708" w:gutter="0"/>
          <w:cols w:space="708"/>
          <w:docGrid w:linePitch="360"/>
        </w:sectPr>
      </w:pPr>
      <w:r>
        <w:rPr>
          <w:sz w:val="28"/>
          <w:szCs w:val="28"/>
        </w:rPr>
        <w:t xml:space="preserve">Maximising these </w:t>
      </w:r>
      <w:r w:rsidR="009B02BE">
        <w:rPr>
          <w:sz w:val="28"/>
          <w:szCs w:val="28"/>
        </w:rPr>
        <w:t xml:space="preserve">Anchor Institutional </w:t>
      </w:r>
      <w:r>
        <w:rPr>
          <w:sz w:val="28"/>
          <w:szCs w:val="28"/>
        </w:rPr>
        <w:t xml:space="preserve">assets and the </w:t>
      </w:r>
      <w:r w:rsidR="00B42FFE">
        <w:rPr>
          <w:sz w:val="28"/>
          <w:szCs w:val="28"/>
        </w:rPr>
        <w:t xml:space="preserve">mutual </w:t>
      </w:r>
      <w:r>
        <w:rPr>
          <w:sz w:val="28"/>
          <w:szCs w:val="28"/>
        </w:rPr>
        <w:t>benef</w:t>
      </w:r>
      <w:r w:rsidR="009B02BE">
        <w:rPr>
          <w:sz w:val="28"/>
          <w:szCs w:val="28"/>
        </w:rPr>
        <w:t>i</w:t>
      </w:r>
      <w:r w:rsidR="008F57AD">
        <w:rPr>
          <w:sz w:val="28"/>
          <w:szCs w:val="28"/>
        </w:rPr>
        <w:t>ts for dev</w:t>
      </w:r>
      <w:r w:rsidR="00B42FFE">
        <w:rPr>
          <w:sz w:val="28"/>
          <w:szCs w:val="28"/>
        </w:rPr>
        <w:t xml:space="preserve">elopment of place, people and institutions </w:t>
      </w:r>
      <w:r w:rsidR="008351C9">
        <w:rPr>
          <w:sz w:val="28"/>
          <w:szCs w:val="28"/>
        </w:rPr>
        <w:t>are</w:t>
      </w:r>
      <w:r w:rsidR="008A3675">
        <w:rPr>
          <w:sz w:val="28"/>
          <w:szCs w:val="28"/>
        </w:rPr>
        <w:t xml:space="preserve"> considered </w:t>
      </w:r>
      <w:r w:rsidR="006E590A">
        <w:rPr>
          <w:sz w:val="28"/>
          <w:szCs w:val="28"/>
        </w:rPr>
        <w:t>vital lessons from the United States (CLES 2015, p2)</w:t>
      </w:r>
      <w:r w:rsidR="00A5253C">
        <w:rPr>
          <w:sz w:val="28"/>
          <w:szCs w:val="28"/>
        </w:rPr>
        <w:t xml:space="preserve">.  </w:t>
      </w:r>
      <w:r w:rsidR="00CC0349">
        <w:rPr>
          <w:sz w:val="28"/>
          <w:szCs w:val="28"/>
        </w:rPr>
        <w:t xml:space="preserve">These </w:t>
      </w:r>
      <w:r w:rsidR="00AA23FA" w:rsidRPr="002D3AEF">
        <w:rPr>
          <w:sz w:val="28"/>
          <w:szCs w:val="28"/>
        </w:rPr>
        <w:t xml:space="preserve">Anchor Institutions in the US and UK </w:t>
      </w:r>
      <w:r w:rsidR="002032F9">
        <w:rPr>
          <w:sz w:val="28"/>
          <w:szCs w:val="28"/>
        </w:rPr>
        <w:t xml:space="preserve">typically </w:t>
      </w:r>
      <w:r w:rsidR="00C9608B">
        <w:rPr>
          <w:sz w:val="28"/>
          <w:szCs w:val="28"/>
        </w:rPr>
        <w:t xml:space="preserve">include </w:t>
      </w:r>
      <w:r w:rsidR="00AA23FA" w:rsidRPr="002D3AEF">
        <w:rPr>
          <w:sz w:val="28"/>
          <w:szCs w:val="28"/>
        </w:rPr>
        <w:t>Universities, arts, cultural and community organisations, and health providers along with anchor coordinators such as city-regional decision makers and major public service, infrastructure or utility providers (</w:t>
      </w:r>
      <w:r w:rsidR="0007576A">
        <w:rPr>
          <w:sz w:val="28"/>
          <w:szCs w:val="28"/>
        </w:rPr>
        <w:t xml:space="preserve">Table </w:t>
      </w:r>
      <w:r w:rsidR="00CB3C1D">
        <w:rPr>
          <w:sz w:val="28"/>
          <w:szCs w:val="28"/>
        </w:rPr>
        <w:t>2</w:t>
      </w:r>
      <w:r w:rsidR="00AA23FA" w:rsidRPr="002D3AEF">
        <w:rPr>
          <w:sz w:val="28"/>
          <w:szCs w:val="28"/>
        </w:rPr>
        <w:t xml:space="preserve">). </w:t>
      </w:r>
      <w:r w:rsidR="007302DE" w:rsidRPr="00C67D79">
        <w:rPr>
          <w:sz w:val="28"/>
          <w:szCs w:val="28"/>
        </w:rPr>
        <w:t xml:space="preserve">Community or Social Anchors </w:t>
      </w:r>
      <w:r w:rsidR="007302DE">
        <w:rPr>
          <w:sz w:val="28"/>
          <w:szCs w:val="28"/>
        </w:rPr>
        <w:t xml:space="preserve">are increasingly considered important whether </w:t>
      </w:r>
      <w:r w:rsidR="007302DE" w:rsidRPr="00C67D79">
        <w:rPr>
          <w:sz w:val="28"/>
          <w:szCs w:val="28"/>
        </w:rPr>
        <w:t xml:space="preserve">by virtue of their role in co-ordination (Anchor Co-ordinators) </w:t>
      </w:r>
      <w:r w:rsidR="007302DE">
        <w:rPr>
          <w:sz w:val="28"/>
          <w:szCs w:val="28"/>
        </w:rPr>
        <w:t xml:space="preserve">or </w:t>
      </w:r>
      <w:r w:rsidR="007302DE" w:rsidRPr="00C67D79">
        <w:rPr>
          <w:sz w:val="28"/>
          <w:szCs w:val="28"/>
        </w:rPr>
        <w:t xml:space="preserve">delivery of a range of essential </w:t>
      </w:r>
      <w:r w:rsidR="007302DE">
        <w:rPr>
          <w:sz w:val="28"/>
          <w:szCs w:val="28"/>
        </w:rPr>
        <w:t xml:space="preserve">community or voluntary </w:t>
      </w:r>
      <w:r w:rsidR="007302DE" w:rsidRPr="00C67D79">
        <w:rPr>
          <w:sz w:val="28"/>
          <w:szCs w:val="28"/>
        </w:rPr>
        <w:t>services</w:t>
      </w:r>
      <w:r w:rsidR="007302DE">
        <w:rPr>
          <w:sz w:val="28"/>
          <w:szCs w:val="28"/>
        </w:rPr>
        <w:t xml:space="preserve"> within a locality.  This ‘social sector…is integral’ to </w:t>
      </w:r>
    </w:p>
    <w:tbl>
      <w:tblPr>
        <w:tblStyle w:val="TableGrid2"/>
        <w:tblpPr w:leftFromText="180" w:rightFromText="180" w:vertAnchor="text" w:horzAnchor="page" w:tblpXSpec="center" w:tblpY="-179"/>
        <w:tblW w:w="10173" w:type="dxa"/>
        <w:tblLayout w:type="fixed"/>
        <w:tblLook w:val="04A0" w:firstRow="1" w:lastRow="0" w:firstColumn="1" w:lastColumn="0" w:noHBand="0" w:noVBand="1"/>
      </w:tblPr>
      <w:tblGrid>
        <w:gridCol w:w="3510"/>
        <w:gridCol w:w="2977"/>
        <w:gridCol w:w="3686"/>
      </w:tblGrid>
      <w:tr w:rsidR="00AA23FA" w:rsidRPr="003E3752" w14:paraId="3089280D" w14:textId="77777777" w:rsidTr="00E418C2">
        <w:trPr>
          <w:trHeight w:val="694"/>
        </w:trPr>
        <w:tc>
          <w:tcPr>
            <w:tcW w:w="10173" w:type="dxa"/>
            <w:gridSpan w:val="3"/>
          </w:tcPr>
          <w:p w14:paraId="279F97A4" w14:textId="6D4A8B03" w:rsidR="00AA23FA" w:rsidRDefault="00CB3C1D" w:rsidP="00725F53">
            <w:pPr>
              <w:rPr>
                <w:rFonts w:cs="HelveticaNeueLTStd-Lt"/>
                <w:b/>
                <w:sz w:val="24"/>
                <w:szCs w:val="24"/>
              </w:rPr>
            </w:pPr>
            <w:r>
              <w:rPr>
                <w:rFonts w:cs="HelveticaNeueLTStd-Lt"/>
                <w:b/>
                <w:sz w:val="24"/>
                <w:szCs w:val="24"/>
              </w:rPr>
              <w:lastRenderedPageBreak/>
              <w:t>Table 2</w:t>
            </w:r>
            <w:r w:rsidR="00AA23FA">
              <w:rPr>
                <w:rFonts w:cs="HelveticaNeueLTStd-Lt"/>
                <w:b/>
                <w:sz w:val="24"/>
                <w:szCs w:val="24"/>
              </w:rPr>
              <w:t>: Anchor Institutions</w:t>
            </w:r>
            <w:r w:rsidR="00107D63">
              <w:rPr>
                <w:rFonts w:cs="HelveticaNeueLTStd-Lt"/>
                <w:b/>
                <w:sz w:val="24"/>
                <w:szCs w:val="24"/>
              </w:rPr>
              <w:t xml:space="preserve"> in the US and UK literature</w:t>
            </w:r>
          </w:p>
        </w:tc>
      </w:tr>
      <w:tr w:rsidR="00AA23FA" w:rsidRPr="003E3752" w14:paraId="18000BA6" w14:textId="77777777" w:rsidTr="00E418C2">
        <w:trPr>
          <w:trHeight w:val="694"/>
        </w:trPr>
        <w:tc>
          <w:tcPr>
            <w:tcW w:w="3510" w:type="dxa"/>
          </w:tcPr>
          <w:p w14:paraId="18D23A6A" w14:textId="77777777" w:rsidR="00AA23FA" w:rsidRPr="003E3752" w:rsidRDefault="00AA23FA" w:rsidP="00725F53">
            <w:pPr>
              <w:rPr>
                <w:rFonts w:cs="HelveticaNeueLTStd-Lt"/>
                <w:b/>
                <w:sz w:val="24"/>
                <w:szCs w:val="24"/>
              </w:rPr>
            </w:pPr>
            <w:r>
              <w:rPr>
                <w:rFonts w:cs="HelveticaNeueLTStd-Lt"/>
                <w:b/>
                <w:sz w:val="24"/>
                <w:szCs w:val="24"/>
              </w:rPr>
              <w:t>Anchor  Institution Type</w:t>
            </w:r>
          </w:p>
        </w:tc>
        <w:tc>
          <w:tcPr>
            <w:tcW w:w="2977" w:type="dxa"/>
            <w:shd w:val="clear" w:color="auto" w:fill="auto"/>
          </w:tcPr>
          <w:p w14:paraId="5417B71E" w14:textId="77777777" w:rsidR="00AA23FA" w:rsidRPr="003E3752" w:rsidRDefault="00AA23FA" w:rsidP="00725F53">
            <w:pPr>
              <w:rPr>
                <w:rFonts w:cs="HelveticaNeueLTStd-Lt"/>
                <w:b/>
                <w:sz w:val="24"/>
                <w:szCs w:val="24"/>
              </w:rPr>
            </w:pPr>
            <w:r>
              <w:rPr>
                <w:rFonts w:cs="HelveticaNeueLTStd-Lt"/>
                <w:b/>
                <w:sz w:val="24"/>
                <w:szCs w:val="24"/>
              </w:rPr>
              <w:t xml:space="preserve">Anchor Type by </w:t>
            </w:r>
            <w:r w:rsidRPr="003E3752">
              <w:rPr>
                <w:rFonts w:cs="HelveticaNeueLTStd-Lt"/>
                <w:b/>
                <w:sz w:val="24"/>
                <w:szCs w:val="24"/>
              </w:rPr>
              <w:t>Reference</w:t>
            </w:r>
          </w:p>
        </w:tc>
        <w:tc>
          <w:tcPr>
            <w:tcW w:w="3686" w:type="dxa"/>
          </w:tcPr>
          <w:p w14:paraId="2CD8E619" w14:textId="77777777" w:rsidR="00AA23FA" w:rsidRPr="003E3752" w:rsidRDefault="00AA23FA" w:rsidP="00725F53">
            <w:pPr>
              <w:rPr>
                <w:rFonts w:cs="HelveticaNeueLTStd-Lt"/>
                <w:b/>
                <w:sz w:val="24"/>
                <w:szCs w:val="24"/>
              </w:rPr>
            </w:pPr>
            <w:r>
              <w:rPr>
                <w:rFonts w:cs="HelveticaNeueLTStd-Lt"/>
                <w:b/>
                <w:sz w:val="24"/>
                <w:szCs w:val="24"/>
              </w:rPr>
              <w:t>References</w:t>
            </w:r>
          </w:p>
        </w:tc>
      </w:tr>
      <w:tr w:rsidR="00AA23FA" w:rsidRPr="003E3752" w14:paraId="6A9F294E" w14:textId="77777777" w:rsidTr="00E418C2">
        <w:trPr>
          <w:trHeight w:val="589"/>
        </w:trPr>
        <w:tc>
          <w:tcPr>
            <w:tcW w:w="3510" w:type="dxa"/>
          </w:tcPr>
          <w:p w14:paraId="54CBAC7B" w14:textId="77777777" w:rsidR="00AA23FA" w:rsidRPr="003E3752" w:rsidRDefault="00AA23FA" w:rsidP="00725F53">
            <w:pPr>
              <w:rPr>
                <w:rFonts w:cs="HelveticaNeueLTStd-Lt"/>
                <w:sz w:val="24"/>
                <w:szCs w:val="24"/>
              </w:rPr>
            </w:pPr>
            <w:r w:rsidRPr="003E3752">
              <w:rPr>
                <w:rFonts w:cs="HelveticaNeueLTStd-Lt"/>
                <w:sz w:val="24"/>
                <w:szCs w:val="24"/>
              </w:rPr>
              <w:t>University</w:t>
            </w:r>
            <w:r>
              <w:rPr>
                <w:rFonts w:cs="HelveticaNeueLTStd-Lt"/>
                <w:sz w:val="24"/>
                <w:szCs w:val="24"/>
              </w:rPr>
              <w:t xml:space="preserve">  - Higher Education Institutions</w:t>
            </w:r>
          </w:p>
        </w:tc>
        <w:tc>
          <w:tcPr>
            <w:tcW w:w="2977" w:type="dxa"/>
            <w:shd w:val="clear" w:color="auto" w:fill="auto"/>
          </w:tcPr>
          <w:p w14:paraId="24A4C7F9" w14:textId="77777777" w:rsidR="00AA23FA" w:rsidRPr="006658E0" w:rsidRDefault="00AA23FA" w:rsidP="00725F53">
            <w:pPr>
              <w:rPr>
                <w:rFonts w:cs="HelveticaNeueLTStd-Lt"/>
                <w:sz w:val="24"/>
                <w:szCs w:val="24"/>
              </w:rPr>
            </w:pPr>
            <w:r w:rsidRPr="006658E0">
              <w:rPr>
                <w:rFonts w:cs="HelveticaNeueLTStd-Lt"/>
                <w:sz w:val="24"/>
                <w:szCs w:val="24"/>
              </w:rPr>
              <w:t>1, 3, 5, 6, 7, 8, 9, 10, 12, 13, 14, 15, 17, 18, 19 (15 sources)</w:t>
            </w:r>
          </w:p>
        </w:tc>
        <w:tc>
          <w:tcPr>
            <w:tcW w:w="3686" w:type="dxa"/>
            <w:vMerge w:val="restart"/>
          </w:tcPr>
          <w:p w14:paraId="60985467" w14:textId="77777777" w:rsidR="00AA23FA" w:rsidRPr="003E3752" w:rsidRDefault="00AA23FA" w:rsidP="00AA23FA">
            <w:pPr>
              <w:numPr>
                <w:ilvl w:val="0"/>
                <w:numId w:val="1"/>
              </w:numPr>
              <w:ind w:left="360"/>
              <w:contextualSpacing/>
            </w:pPr>
            <w:proofErr w:type="spellStart"/>
            <w:r w:rsidRPr="003E3752">
              <w:t>McInroy</w:t>
            </w:r>
            <w:proofErr w:type="spellEnd"/>
            <w:r w:rsidRPr="003E3752">
              <w:t xml:space="preserve"> N. and Jackson M.</w:t>
            </w:r>
            <w:r>
              <w:t>; and Paul Hackett (</w:t>
            </w:r>
            <w:proofErr w:type="spellStart"/>
            <w:proofErr w:type="gramStart"/>
            <w:r>
              <w:t>ed</w:t>
            </w:r>
            <w:proofErr w:type="spellEnd"/>
            <w:proofErr w:type="gramEnd"/>
            <w:r>
              <w:t xml:space="preserve">) (2015) </w:t>
            </w:r>
            <w:r w:rsidRPr="003E3752">
              <w:t>pp 1-19.</w:t>
            </w:r>
          </w:p>
          <w:p w14:paraId="4EEACF0E" w14:textId="77777777" w:rsidR="00AA23FA" w:rsidRPr="003E3752" w:rsidRDefault="00AA23FA" w:rsidP="00AA23FA">
            <w:pPr>
              <w:numPr>
                <w:ilvl w:val="0"/>
                <w:numId w:val="1"/>
              </w:numPr>
              <w:ind w:left="360"/>
              <w:contextualSpacing/>
            </w:pPr>
            <w:r w:rsidRPr="00336779">
              <w:t>Netter Centre for Community Partnerships (2008) ‘</w:t>
            </w:r>
          </w:p>
          <w:p w14:paraId="21162B8C" w14:textId="77777777" w:rsidR="00AA23FA" w:rsidRPr="0046712C" w:rsidRDefault="00AA23FA" w:rsidP="00AA23FA">
            <w:pPr>
              <w:numPr>
                <w:ilvl w:val="0"/>
                <w:numId w:val="1"/>
              </w:numPr>
              <w:ind w:left="360"/>
              <w:contextualSpacing/>
              <w:rPr>
                <w:iCs/>
              </w:rPr>
            </w:pPr>
            <w:r w:rsidRPr="003E3752">
              <w:rPr>
                <w:iCs/>
              </w:rPr>
              <w:t>The Work Foundation (2010) ‘pp 1-28.</w:t>
            </w:r>
          </w:p>
          <w:p w14:paraId="6A915D11" w14:textId="77777777" w:rsidR="00AA23FA" w:rsidRPr="0046712C" w:rsidRDefault="00AA23FA" w:rsidP="00AA23FA">
            <w:pPr>
              <w:numPr>
                <w:ilvl w:val="0"/>
                <w:numId w:val="1"/>
              </w:numPr>
              <w:ind w:left="360"/>
              <w:contextualSpacing/>
              <w:rPr>
                <w:iCs/>
              </w:rPr>
            </w:pPr>
            <w:proofErr w:type="spellStart"/>
            <w:r w:rsidRPr="0046712C">
              <w:rPr>
                <w:iCs/>
              </w:rPr>
              <w:t>McInroy</w:t>
            </w:r>
            <w:proofErr w:type="spellEnd"/>
            <w:r w:rsidRPr="0046712C">
              <w:rPr>
                <w:iCs/>
              </w:rPr>
              <w:t xml:space="preserve">, N. and </w:t>
            </w:r>
            <w:proofErr w:type="spellStart"/>
            <w:r w:rsidRPr="0046712C">
              <w:rPr>
                <w:iCs/>
              </w:rPr>
              <w:t>Longlands</w:t>
            </w:r>
            <w:proofErr w:type="spellEnd"/>
            <w:r w:rsidRPr="0046712C">
              <w:rPr>
                <w:iCs/>
              </w:rPr>
              <w:t xml:space="preserve">, S. (2011) </w:t>
            </w:r>
          </w:p>
          <w:p w14:paraId="65AC52C1" w14:textId="77777777" w:rsidR="00AA23FA" w:rsidRPr="0046712C" w:rsidRDefault="00AA23FA" w:rsidP="00AA23FA">
            <w:pPr>
              <w:numPr>
                <w:ilvl w:val="0"/>
                <w:numId w:val="1"/>
              </w:numPr>
              <w:ind w:left="360"/>
              <w:contextualSpacing/>
              <w:rPr>
                <w:iCs/>
              </w:rPr>
            </w:pPr>
            <w:r w:rsidRPr="0046712C">
              <w:rPr>
                <w:iCs/>
              </w:rPr>
              <w:t xml:space="preserve">Gold and </w:t>
            </w:r>
            <w:proofErr w:type="spellStart"/>
            <w:r w:rsidRPr="0046712C">
              <w:rPr>
                <w:iCs/>
              </w:rPr>
              <w:t>Devids</w:t>
            </w:r>
            <w:proofErr w:type="spellEnd"/>
            <w:r w:rsidRPr="0046712C">
              <w:rPr>
                <w:iCs/>
              </w:rPr>
              <w:t xml:space="preserve"> (2014) </w:t>
            </w:r>
          </w:p>
          <w:p w14:paraId="1EEFA070" w14:textId="77777777" w:rsidR="00AA23FA" w:rsidRPr="0046712C" w:rsidRDefault="00AA23FA" w:rsidP="00AA23FA">
            <w:pPr>
              <w:numPr>
                <w:ilvl w:val="0"/>
                <w:numId w:val="1"/>
              </w:numPr>
              <w:ind w:left="360"/>
              <w:contextualSpacing/>
              <w:rPr>
                <w:iCs/>
              </w:rPr>
            </w:pPr>
            <w:r w:rsidRPr="0046712C">
              <w:rPr>
                <w:iCs/>
              </w:rPr>
              <w:t xml:space="preserve">D </w:t>
            </w:r>
            <w:proofErr w:type="spellStart"/>
            <w:r w:rsidRPr="0046712C">
              <w:rPr>
                <w:iCs/>
              </w:rPr>
              <w:t>Maurrasse</w:t>
            </w:r>
            <w:proofErr w:type="spellEnd"/>
            <w:r w:rsidRPr="0046712C">
              <w:rPr>
                <w:iCs/>
              </w:rPr>
              <w:t xml:space="preserve"> (2007) </w:t>
            </w:r>
          </w:p>
          <w:p w14:paraId="69EAB8DC" w14:textId="77777777" w:rsidR="00AA23FA" w:rsidRPr="0046712C" w:rsidRDefault="00AA23FA" w:rsidP="00AA23FA">
            <w:pPr>
              <w:numPr>
                <w:ilvl w:val="0"/>
                <w:numId w:val="1"/>
              </w:numPr>
              <w:ind w:left="360"/>
              <w:contextualSpacing/>
              <w:rPr>
                <w:iCs/>
              </w:rPr>
            </w:pPr>
            <w:r w:rsidRPr="0046712C">
              <w:rPr>
                <w:iCs/>
              </w:rPr>
              <w:t xml:space="preserve">Hahn A. with </w:t>
            </w:r>
            <w:proofErr w:type="spellStart"/>
            <w:r w:rsidRPr="0046712C">
              <w:rPr>
                <w:iCs/>
              </w:rPr>
              <w:t>Coonerty</w:t>
            </w:r>
            <w:proofErr w:type="spellEnd"/>
            <w:r w:rsidRPr="0046712C">
              <w:rPr>
                <w:iCs/>
              </w:rPr>
              <w:t xml:space="preserve"> C. and </w:t>
            </w:r>
            <w:proofErr w:type="spellStart"/>
            <w:r w:rsidRPr="0046712C">
              <w:rPr>
                <w:iCs/>
              </w:rPr>
              <w:t>Peaslee</w:t>
            </w:r>
            <w:proofErr w:type="spellEnd"/>
            <w:r w:rsidRPr="0046712C">
              <w:rPr>
                <w:iCs/>
              </w:rPr>
              <w:t xml:space="preserve"> L. (2003) </w:t>
            </w:r>
          </w:p>
          <w:p w14:paraId="6CC2B765" w14:textId="77777777" w:rsidR="00AA23FA" w:rsidRPr="0028756A" w:rsidRDefault="00AA23FA" w:rsidP="00AA23FA">
            <w:pPr>
              <w:numPr>
                <w:ilvl w:val="0"/>
                <w:numId w:val="1"/>
              </w:numPr>
              <w:ind w:left="360"/>
              <w:contextualSpacing/>
              <w:rPr>
                <w:iCs/>
              </w:rPr>
            </w:pPr>
            <w:r>
              <w:rPr>
                <w:iCs/>
              </w:rPr>
              <w:t xml:space="preserve">Inner City Insights (2011) </w:t>
            </w:r>
            <w:r w:rsidRPr="003E3752">
              <w:rPr>
                <w:iCs/>
              </w:rPr>
              <w:t>pp 1-10.</w:t>
            </w:r>
          </w:p>
          <w:p w14:paraId="050297FA" w14:textId="77777777" w:rsidR="00AA23FA" w:rsidRPr="00FC3093" w:rsidRDefault="00AA23FA" w:rsidP="00AA23FA">
            <w:pPr>
              <w:numPr>
                <w:ilvl w:val="0"/>
                <w:numId w:val="1"/>
              </w:numPr>
              <w:ind w:left="360"/>
              <w:contextualSpacing/>
              <w:rPr>
                <w:iCs/>
              </w:rPr>
            </w:pPr>
            <w:r w:rsidRPr="003E3752">
              <w:rPr>
                <w:iCs/>
              </w:rPr>
              <w:t xml:space="preserve">McClure C. R, Mandel L. H., Saunders J., </w:t>
            </w:r>
            <w:proofErr w:type="spellStart"/>
            <w:r w:rsidRPr="003E3752">
              <w:rPr>
                <w:iCs/>
              </w:rPr>
              <w:t>Alemanne</w:t>
            </w:r>
            <w:proofErr w:type="spellEnd"/>
            <w:r w:rsidRPr="003E3752">
              <w:rPr>
                <w:iCs/>
              </w:rPr>
              <w:t xml:space="preserve"> M. D., Spears </w:t>
            </w:r>
            <w:r>
              <w:rPr>
                <w:iCs/>
              </w:rPr>
              <w:t xml:space="preserve">L. I. and Bishop B. W. (2012)  </w:t>
            </w:r>
            <w:r w:rsidRPr="003E3752">
              <w:rPr>
                <w:iCs/>
              </w:rPr>
              <w:t>pp 1-83.</w:t>
            </w:r>
          </w:p>
          <w:p w14:paraId="4F8D1614" w14:textId="77777777" w:rsidR="00AA23FA" w:rsidRPr="00FC3093" w:rsidRDefault="00AA23FA" w:rsidP="00AA23FA">
            <w:pPr>
              <w:numPr>
                <w:ilvl w:val="0"/>
                <w:numId w:val="1"/>
              </w:numPr>
              <w:ind w:left="360"/>
              <w:contextualSpacing/>
              <w:rPr>
                <w:iCs/>
              </w:rPr>
            </w:pPr>
            <w:proofErr w:type="spellStart"/>
            <w:r w:rsidRPr="003E3752">
              <w:rPr>
                <w:iCs/>
              </w:rPr>
              <w:t>Dubb</w:t>
            </w:r>
            <w:proofErr w:type="spellEnd"/>
            <w:r w:rsidRPr="003E3752">
              <w:rPr>
                <w:iCs/>
              </w:rPr>
              <w:t xml:space="preserve"> S. and Howard T. (</w:t>
            </w:r>
            <w:r>
              <w:rPr>
                <w:iCs/>
              </w:rPr>
              <w:t>2012)</w:t>
            </w:r>
            <w:r w:rsidRPr="003E3752">
              <w:rPr>
                <w:iCs/>
              </w:rPr>
              <w:t xml:space="preserve">, </w:t>
            </w:r>
          </w:p>
          <w:p w14:paraId="7294E94F" w14:textId="77777777" w:rsidR="00AA23FA" w:rsidRPr="00FC3093" w:rsidRDefault="00AA23FA" w:rsidP="00AA23FA">
            <w:pPr>
              <w:numPr>
                <w:ilvl w:val="0"/>
                <w:numId w:val="1"/>
              </w:numPr>
              <w:ind w:left="360"/>
              <w:contextualSpacing/>
              <w:rPr>
                <w:iCs/>
              </w:rPr>
            </w:pPr>
            <w:proofErr w:type="spellStart"/>
            <w:r>
              <w:rPr>
                <w:iCs/>
              </w:rPr>
              <w:t>Stasch</w:t>
            </w:r>
            <w:proofErr w:type="spellEnd"/>
            <w:r>
              <w:rPr>
                <w:iCs/>
              </w:rPr>
              <w:t xml:space="preserve"> J. (2014) </w:t>
            </w:r>
          </w:p>
          <w:p w14:paraId="55C7790E" w14:textId="77777777" w:rsidR="00AA23FA" w:rsidRPr="00FC3093" w:rsidRDefault="00AA23FA" w:rsidP="00AA23FA">
            <w:pPr>
              <w:numPr>
                <w:ilvl w:val="0"/>
                <w:numId w:val="1"/>
              </w:numPr>
              <w:ind w:left="360"/>
              <w:contextualSpacing/>
              <w:rPr>
                <w:iCs/>
              </w:rPr>
            </w:pPr>
            <w:r w:rsidRPr="00FC3093">
              <w:rPr>
                <w:iCs/>
              </w:rPr>
              <w:t>Penn Institute for Urban Research (</w:t>
            </w:r>
            <w:proofErr w:type="spellStart"/>
            <w:r w:rsidRPr="00FC3093">
              <w:rPr>
                <w:iCs/>
              </w:rPr>
              <w:t>nd</w:t>
            </w:r>
            <w:proofErr w:type="spellEnd"/>
            <w:r w:rsidRPr="00FC3093">
              <w:rPr>
                <w:iCs/>
              </w:rPr>
              <w:t xml:space="preserve">) </w:t>
            </w:r>
          </w:p>
          <w:p w14:paraId="607BE394" w14:textId="77777777" w:rsidR="00AA23FA" w:rsidRPr="00FC3093" w:rsidRDefault="00AA23FA" w:rsidP="00AA23FA">
            <w:pPr>
              <w:numPr>
                <w:ilvl w:val="0"/>
                <w:numId w:val="1"/>
              </w:numPr>
              <w:ind w:left="360"/>
              <w:contextualSpacing/>
              <w:rPr>
                <w:iCs/>
              </w:rPr>
            </w:pPr>
            <w:r w:rsidRPr="00FC3093">
              <w:rPr>
                <w:iCs/>
              </w:rPr>
              <w:t xml:space="preserve">Birch E. L. (2014) ‘Chapter 11, at page 2017 in Watcher S.M. and </w:t>
            </w:r>
            <w:proofErr w:type="spellStart"/>
            <w:r w:rsidRPr="00FC3093">
              <w:rPr>
                <w:iCs/>
              </w:rPr>
              <w:t>Zeuli</w:t>
            </w:r>
            <w:proofErr w:type="spellEnd"/>
            <w:r w:rsidRPr="00FC3093">
              <w:rPr>
                <w:iCs/>
              </w:rPr>
              <w:t xml:space="preserve"> K. A. (</w:t>
            </w:r>
            <w:proofErr w:type="spellStart"/>
            <w:r w:rsidRPr="00FC3093">
              <w:rPr>
                <w:iCs/>
              </w:rPr>
              <w:t>Eds</w:t>
            </w:r>
            <w:proofErr w:type="spellEnd"/>
            <w:r w:rsidRPr="00FC3093">
              <w:rPr>
                <w:iCs/>
              </w:rPr>
              <w:t xml:space="preserve">) (2014) </w:t>
            </w:r>
          </w:p>
          <w:p w14:paraId="0BD68846" w14:textId="77777777" w:rsidR="00AA23FA" w:rsidRPr="00FC3093" w:rsidRDefault="00AA23FA" w:rsidP="00AA23FA">
            <w:pPr>
              <w:numPr>
                <w:ilvl w:val="0"/>
                <w:numId w:val="1"/>
              </w:numPr>
              <w:ind w:left="360"/>
              <w:contextualSpacing/>
              <w:rPr>
                <w:iCs/>
              </w:rPr>
            </w:pPr>
            <w:proofErr w:type="spellStart"/>
            <w:r w:rsidRPr="003E3752">
              <w:rPr>
                <w:iCs/>
              </w:rPr>
              <w:t>Ehlenz</w:t>
            </w:r>
            <w:proofErr w:type="spellEnd"/>
            <w:r w:rsidRPr="003E3752">
              <w:rPr>
                <w:iCs/>
              </w:rPr>
              <w:t xml:space="preserve"> M. M. and Birch E. L. with </w:t>
            </w:r>
            <w:proofErr w:type="spellStart"/>
            <w:r w:rsidRPr="003E3752">
              <w:rPr>
                <w:iCs/>
              </w:rPr>
              <w:t>Agness</w:t>
            </w:r>
            <w:proofErr w:type="spellEnd"/>
            <w:r w:rsidRPr="003E3752">
              <w:rPr>
                <w:iCs/>
              </w:rPr>
              <w:t xml:space="preserve"> B. (2014)</w:t>
            </w:r>
            <w:r>
              <w:rPr>
                <w:iCs/>
              </w:rPr>
              <w:t xml:space="preserve">, </w:t>
            </w:r>
            <w:r w:rsidRPr="003E3752">
              <w:rPr>
                <w:iCs/>
              </w:rPr>
              <w:t>pp 1-50, at p1.</w:t>
            </w:r>
          </w:p>
          <w:p w14:paraId="4036A14C" w14:textId="77777777" w:rsidR="00AA23FA" w:rsidRPr="00DC1C41" w:rsidRDefault="00AA23FA" w:rsidP="00AA23FA">
            <w:pPr>
              <w:numPr>
                <w:ilvl w:val="0"/>
                <w:numId w:val="1"/>
              </w:numPr>
              <w:ind w:left="360"/>
              <w:contextualSpacing/>
              <w:rPr>
                <w:iCs/>
              </w:rPr>
            </w:pPr>
            <w:proofErr w:type="spellStart"/>
            <w:r w:rsidRPr="003E3752">
              <w:rPr>
                <w:iCs/>
              </w:rPr>
              <w:t>Smallbone</w:t>
            </w:r>
            <w:proofErr w:type="spellEnd"/>
            <w:r w:rsidRPr="003E3752">
              <w:rPr>
                <w:iCs/>
              </w:rPr>
              <w:t xml:space="preserve"> D., </w:t>
            </w:r>
            <w:proofErr w:type="spellStart"/>
            <w:r>
              <w:rPr>
                <w:iCs/>
              </w:rPr>
              <w:t>Kitching</w:t>
            </w:r>
            <w:proofErr w:type="spellEnd"/>
            <w:r>
              <w:rPr>
                <w:iCs/>
              </w:rPr>
              <w:t xml:space="preserve"> J., Blackburn R. (2015), </w:t>
            </w:r>
            <w:r w:rsidRPr="003E3752">
              <w:rPr>
                <w:iCs/>
              </w:rPr>
              <w:t>p vii.</w:t>
            </w:r>
          </w:p>
          <w:p w14:paraId="0AD6BF79" w14:textId="77777777" w:rsidR="00AA23FA" w:rsidRPr="00DC1C41" w:rsidRDefault="00AA23FA" w:rsidP="00AA23FA">
            <w:pPr>
              <w:numPr>
                <w:ilvl w:val="0"/>
                <w:numId w:val="1"/>
              </w:numPr>
              <w:ind w:left="360"/>
              <w:contextualSpacing/>
              <w:rPr>
                <w:iCs/>
              </w:rPr>
            </w:pPr>
            <w:r w:rsidRPr="00DC1C41">
              <w:rPr>
                <w:iCs/>
              </w:rPr>
              <w:t xml:space="preserve">Taylor H. L. Jr. and </w:t>
            </w:r>
            <w:proofErr w:type="spellStart"/>
            <w:r w:rsidRPr="00DC1C41">
              <w:rPr>
                <w:iCs/>
              </w:rPr>
              <w:t>Luter</w:t>
            </w:r>
            <w:proofErr w:type="spellEnd"/>
            <w:r w:rsidRPr="00DC1C41">
              <w:rPr>
                <w:iCs/>
              </w:rPr>
              <w:t xml:space="preserve"> G. (2013) </w:t>
            </w:r>
          </w:p>
          <w:p w14:paraId="6B7C36C8" w14:textId="77777777" w:rsidR="00AA23FA" w:rsidRPr="00DC1C41" w:rsidRDefault="00AA23FA" w:rsidP="00AA23FA">
            <w:pPr>
              <w:numPr>
                <w:ilvl w:val="0"/>
                <w:numId w:val="1"/>
              </w:numPr>
              <w:ind w:left="360"/>
              <w:contextualSpacing/>
              <w:rPr>
                <w:iCs/>
              </w:rPr>
            </w:pPr>
            <w:r w:rsidRPr="003E3752">
              <w:rPr>
                <w:iCs/>
              </w:rPr>
              <w:t xml:space="preserve">Fulbright-Anderson K., </w:t>
            </w:r>
            <w:proofErr w:type="spellStart"/>
            <w:r w:rsidRPr="003E3752">
              <w:rPr>
                <w:iCs/>
              </w:rPr>
              <w:t>Auspos</w:t>
            </w:r>
            <w:proofErr w:type="spellEnd"/>
            <w:r w:rsidRPr="003E3752">
              <w:rPr>
                <w:iCs/>
              </w:rPr>
              <w:t xml:space="preserve"> P. and Anderson A</w:t>
            </w:r>
            <w:proofErr w:type="gramStart"/>
            <w:r w:rsidRPr="003E3752">
              <w:rPr>
                <w:iCs/>
              </w:rPr>
              <w:t>.(</w:t>
            </w:r>
            <w:proofErr w:type="gramEnd"/>
            <w:r w:rsidRPr="003E3752">
              <w:rPr>
                <w:iCs/>
              </w:rPr>
              <w:t>2001) ‘p1.</w:t>
            </w:r>
          </w:p>
          <w:p w14:paraId="174E8ED8" w14:textId="77777777" w:rsidR="00AA23FA" w:rsidRDefault="00AA23FA" w:rsidP="00AA23FA">
            <w:pPr>
              <w:numPr>
                <w:ilvl w:val="0"/>
                <w:numId w:val="1"/>
              </w:numPr>
              <w:ind w:left="360"/>
              <w:contextualSpacing/>
              <w:rPr>
                <w:iCs/>
              </w:rPr>
            </w:pPr>
            <w:r>
              <w:rPr>
                <w:iCs/>
              </w:rPr>
              <w:t>Witty A.</w:t>
            </w:r>
            <w:r w:rsidRPr="003E3752">
              <w:rPr>
                <w:iCs/>
              </w:rPr>
              <w:t xml:space="preserve">(2013) </w:t>
            </w:r>
            <w:r>
              <w:rPr>
                <w:iCs/>
              </w:rPr>
              <w:t>‘BIS, 13/1241</w:t>
            </w:r>
          </w:p>
          <w:p w14:paraId="3BCAB56F" w14:textId="77777777" w:rsidR="00AA23FA" w:rsidRPr="000F5354" w:rsidRDefault="00AA23FA" w:rsidP="00AA23FA">
            <w:pPr>
              <w:numPr>
                <w:ilvl w:val="0"/>
                <w:numId w:val="1"/>
              </w:numPr>
              <w:ind w:left="360"/>
              <w:contextualSpacing/>
              <w:rPr>
                <w:iCs/>
              </w:rPr>
            </w:pPr>
            <w:proofErr w:type="spellStart"/>
            <w:r w:rsidRPr="000F5354">
              <w:rPr>
                <w:iCs/>
              </w:rPr>
              <w:t>Mosavi</w:t>
            </w:r>
            <w:proofErr w:type="spellEnd"/>
            <w:r w:rsidRPr="000F5354">
              <w:rPr>
                <w:iCs/>
              </w:rPr>
              <w:t xml:space="preserve"> S. (2015) </w:t>
            </w:r>
          </w:p>
        </w:tc>
      </w:tr>
      <w:tr w:rsidR="00AA23FA" w:rsidRPr="003E3752" w14:paraId="0BB23335" w14:textId="77777777" w:rsidTr="00E418C2">
        <w:tc>
          <w:tcPr>
            <w:tcW w:w="3510" w:type="dxa"/>
          </w:tcPr>
          <w:p w14:paraId="77008833" w14:textId="77777777" w:rsidR="00AA23FA" w:rsidRPr="003E3752" w:rsidRDefault="00AA23FA" w:rsidP="00725F53">
            <w:pPr>
              <w:rPr>
                <w:rFonts w:cs="HelveticaNeueLTStd-Lt"/>
                <w:sz w:val="24"/>
                <w:szCs w:val="24"/>
              </w:rPr>
            </w:pPr>
            <w:r w:rsidRPr="003E3752">
              <w:rPr>
                <w:rFonts w:cs="HelveticaNeueLTStd-Lt"/>
                <w:sz w:val="24"/>
                <w:szCs w:val="24"/>
              </w:rPr>
              <w:t>College</w:t>
            </w:r>
            <w:r>
              <w:rPr>
                <w:rFonts w:cs="HelveticaNeueLTStd-Lt"/>
                <w:sz w:val="24"/>
                <w:szCs w:val="24"/>
              </w:rPr>
              <w:t xml:space="preserve"> – Further Education Institutions</w:t>
            </w:r>
          </w:p>
        </w:tc>
        <w:tc>
          <w:tcPr>
            <w:tcW w:w="2977" w:type="dxa"/>
            <w:shd w:val="clear" w:color="auto" w:fill="auto"/>
          </w:tcPr>
          <w:p w14:paraId="6A75F7D3" w14:textId="77777777" w:rsidR="00AA23FA" w:rsidRPr="006658E0" w:rsidRDefault="00AA23FA" w:rsidP="00725F53">
            <w:pPr>
              <w:rPr>
                <w:rFonts w:cs="HelveticaNeueLTStd-Lt"/>
                <w:sz w:val="24"/>
                <w:szCs w:val="24"/>
              </w:rPr>
            </w:pPr>
            <w:r w:rsidRPr="006658E0">
              <w:rPr>
                <w:rFonts w:cs="HelveticaNeueLTStd-Lt"/>
                <w:sz w:val="24"/>
                <w:szCs w:val="24"/>
              </w:rPr>
              <w:t>3, 5, 6, 7, 9, 10, 12, 17, 19 (9 sources)</w:t>
            </w:r>
          </w:p>
        </w:tc>
        <w:tc>
          <w:tcPr>
            <w:tcW w:w="3686" w:type="dxa"/>
            <w:vMerge/>
          </w:tcPr>
          <w:p w14:paraId="4AB137B0" w14:textId="77777777" w:rsidR="00AA23FA" w:rsidRPr="006658E0" w:rsidRDefault="00AA23FA" w:rsidP="00725F53">
            <w:pPr>
              <w:rPr>
                <w:rFonts w:cs="HelveticaNeueLTStd-Lt"/>
                <w:sz w:val="24"/>
                <w:szCs w:val="24"/>
              </w:rPr>
            </w:pPr>
          </w:p>
        </w:tc>
      </w:tr>
      <w:tr w:rsidR="00AA23FA" w:rsidRPr="003E3752" w14:paraId="793BCB69" w14:textId="77777777" w:rsidTr="00E418C2">
        <w:trPr>
          <w:trHeight w:val="892"/>
        </w:trPr>
        <w:tc>
          <w:tcPr>
            <w:tcW w:w="3510" w:type="dxa"/>
          </w:tcPr>
          <w:p w14:paraId="4E632AAE" w14:textId="77777777" w:rsidR="00AA23FA" w:rsidRPr="003E3752" w:rsidRDefault="00AA23FA" w:rsidP="00725F53">
            <w:pPr>
              <w:rPr>
                <w:rFonts w:cs="HelveticaNeueLTStd-Lt"/>
                <w:sz w:val="24"/>
                <w:szCs w:val="24"/>
              </w:rPr>
            </w:pPr>
            <w:r w:rsidRPr="003E3752">
              <w:rPr>
                <w:rFonts w:cs="HelveticaNeueLTStd-Lt"/>
                <w:sz w:val="24"/>
                <w:szCs w:val="24"/>
              </w:rPr>
              <w:t>Utility Provider (infrastructure services water, energy, transport)</w:t>
            </w:r>
            <w:r>
              <w:rPr>
                <w:rFonts w:cs="HelveticaNeueLTStd-Lt"/>
                <w:sz w:val="24"/>
                <w:szCs w:val="24"/>
              </w:rPr>
              <w:t xml:space="preserve"> </w:t>
            </w:r>
          </w:p>
        </w:tc>
        <w:tc>
          <w:tcPr>
            <w:tcW w:w="2977" w:type="dxa"/>
            <w:shd w:val="clear" w:color="auto" w:fill="auto"/>
          </w:tcPr>
          <w:p w14:paraId="4D69386A" w14:textId="77777777" w:rsidR="00AA23FA" w:rsidRPr="003E3752" w:rsidRDefault="00AA23FA" w:rsidP="00725F53">
            <w:pPr>
              <w:rPr>
                <w:rFonts w:cs="HelveticaNeueLTStd-Lt"/>
                <w:sz w:val="24"/>
                <w:szCs w:val="24"/>
              </w:rPr>
            </w:pPr>
            <w:r w:rsidRPr="003E3752">
              <w:rPr>
                <w:rFonts w:cs="HelveticaNeueLTStd-Lt"/>
                <w:sz w:val="24"/>
                <w:szCs w:val="24"/>
              </w:rPr>
              <w:t>3, 10, 14, 15, 17, 19</w:t>
            </w:r>
            <w:r>
              <w:rPr>
                <w:rFonts w:cs="HelveticaNeueLTStd-Lt"/>
                <w:sz w:val="24"/>
                <w:szCs w:val="24"/>
              </w:rPr>
              <w:t xml:space="preserve"> (6 sources)</w:t>
            </w:r>
          </w:p>
        </w:tc>
        <w:tc>
          <w:tcPr>
            <w:tcW w:w="3686" w:type="dxa"/>
            <w:vMerge/>
          </w:tcPr>
          <w:p w14:paraId="58A6273A" w14:textId="77777777" w:rsidR="00AA23FA" w:rsidRPr="003E3752" w:rsidRDefault="00AA23FA" w:rsidP="00725F53">
            <w:pPr>
              <w:rPr>
                <w:rFonts w:cs="HelveticaNeueLTStd-Lt"/>
                <w:sz w:val="24"/>
                <w:szCs w:val="24"/>
              </w:rPr>
            </w:pPr>
          </w:p>
        </w:tc>
      </w:tr>
      <w:tr w:rsidR="00AA23FA" w:rsidRPr="003E3752" w14:paraId="067C6DB8" w14:textId="77777777" w:rsidTr="00E418C2">
        <w:tc>
          <w:tcPr>
            <w:tcW w:w="3510" w:type="dxa"/>
            <w:tcBorders>
              <w:bottom w:val="single" w:sz="4" w:space="0" w:color="auto"/>
            </w:tcBorders>
          </w:tcPr>
          <w:p w14:paraId="05F77834" w14:textId="77777777" w:rsidR="00AA23FA" w:rsidRPr="003E3752" w:rsidRDefault="00AA23FA" w:rsidP="00725F53">
            <w:pPr>
              <w:rPr>
                <w:rFonts w:cs="HelveticaNeueLTStd-Lt"/>
                <w:sz w:val="24"/>
                <w:szCs w:val="24"/>
              </w:rPr>
            </w:pPr>
            <w:r w:rsidRPr="003E3752">
              <w:rPr>
                <w:rFonts w:cs="HelveticaNeueLTStd-Lt"/>
                <w:sz w:val="24"/>
                <w:szCs w:val="24"/>
              </w:rPr>
              <w:t>Arts, Cultural, Community Organisations, libraries, religious/churches</w:t>
            </w:r>
          </w:p>
        </w:tc>
        <w:tc>
          <w:tcPr>
            <w:tcW w:w="2977" w:type="dxa"/>
            <w:shd w:val="clear" w:color="auto" w:fill="auto"/>
          </w:tcPr>
          <w:p w14:paraId="01CB1C84" w14:textId="77777777" w:rsidR="00AA23FA" w:rsidRPr="003E3752" w:rsidRDefault="00AA23FA" w:rsidP="00725F53">
            <w:pPr>
              <w:rPr>
                <w:rFonts w:cs="HelveticaNeueLTStd-Lt"/>
                <w:sz w:val="24"/>
                <w:szCs w:val="24"/>
              </w:rPr>
            </w:pPr>
            <w:r w:rsidRPr="003E3752">
              <w:rPr>
                <w:rFonts w:cs="HelveticaNeueLTStd-Lt"/>
                <w:sz w:val="24"/>
                <w:szCs w:val="24"/>
              </w:rPr>
              <w:t>3, 6, 8, 9, 12, 13, 14, 15, 17, 19</w:t>
            </w:r>
            <w:r>
              <w:rPr>
                <w:rFonts w:cs="HelveticaNeueLTStd-Lt"/>
                <w:sz w:val="24"/>
                <w:szCs w:val="24"/>
              </w:rPr>
              <w:t xml:space="preserve"> (10 sources)</w:t>
            </w:r>
          </w:p>
        </w:tc>
        <w:tc>
          <w:tcPr>
            <w:tcW w:w="3686" w:type="dxa"/>
            <w:vMerge/>
          </w:tcPr>
          <w:p w14:paraId="68119B37" w14:textId="77777777" w:rsidR="00AA23FA" w:rsidRPr="003E3752" w:rsidRDefault="00AA23FA" w:rsidP="00725F53">
            <w:pPr>
              <w:rPr>
                <w:rFonts w:cs="HelveticaNeueLTStd-Lt"/>
                <w:sz w:val="24"/>
                <w:szCs w:val="24"/>
              </w:rPr>
            </w:pPr>
          </w:p>
        </w:tc>
      </w:tr>
      <w:tr w:rsidR="00AA23FA" w:rsidRPr="003E3752" w14:paraId="42D45257" w14:textId="77777777" w:rsidTr="00E418C2">
        <w:tc>
          <w:tcPr>
            <w:tcW w:w="3510" w:type="dxa"/>
            <w:shd w:val="clear" w:color="auto" w:fill="auto"/>
          </w:tcPr>
          <w:p w14:paraId="6E89E310" w14:textId="77777777" w:rsidR="00AA23FA" w:rsidRPr="006658E0" w:rsidRDefault="00AA23FA" w:rsidP="00725F53">
            <w:pPr>
              <w:rPr>
                <w:rFonts w:cs="HelveticaNeueLTStd-Lt"/>
                <w:sz w:val="24"/>
                <w:szCs w:val="24"/>
              </w:rPr>
            </w:pPr>
            <w:r w:rsidRPr="006658E0">
              <w:rPr>
                <w:rFonts w:cs="HelveticaNeueLTStd-Lt"/>
                <w:sz w:val="24"/>
                <w:szCs w:val="24"/>
              </w:rPr>
              <w:t>Sports Organisation, Venues, Teams</w:t>
            </w:r>
          </w:p>
        </w:tc>
        <w:tc>
          <w:tcPr>
            <w:tcW w:w="2977" w:type="dxa"/>
            <w:shd w:val="clear" w:color="auto" w:fill="auto"/>
          </w:tcPr>
          <w:p w14:paraId="3AD8D7FF" w14:textId="77777777" w:rsidR="00AA23FA" w:rsidRPr="006658E0" w:rsidRDefault="00AA23FA" w:rsidP="00725F53">
            <w:pPr>
              <w:rPr>
                <w:rFonts w:cs="HelveticaNeueLTStd-Lt"/>
                <w:sz w:val="24"/>
                <w:szCs w:val="24"/>
              </w:rPr>
            </w:pPr>
            <w:r w:rsidRPr="006658E0">
              <w:rPr>
                <w:rFonts w:cs="HelveticaNeueLTStd-Lt"/>
                <w:sz w:val="24"/>
                <w:szCs w:val="24"/>
              </w:rPr>
              <w:t>3, 8, 13, 14, 15, 19 (6 sources)</w:t>
            </w:r>
          </w:p>
        </w:tc>
        <w:tc>
          <w:tcPr>
            <w:tcW w:w="3686" w:type="dxa"/>
            <w:vMerge/>
          </w:tcPr>
          <w:p w14:paraId="2BE31CCB" w14:textId="77777777" w:rsidR="00AA23FA" w:rsidRPr="006658E0" w:rsidRDefault="00AA23FA" w:rsidP="00725F53">
            <w:pPr>
              <w:rPr>
                <w:rFonts w:cs="HelveticaNeueLTStd-Lt"/>
                <w:sz w:val="24"/>
                <w:szCs w:val="24"/>
              </w:rPr>
            </w:pPr>
          </w:p>
        </w:tc>
      </w:tr>
      <w:tr w:rsidR="00AA23FA" w:rsidRPr="003E3752" w14:paraId="6B399349" w14:textId="77777777" w:rsidTr="00E418C2">
        <w:tc>
          <w:tcPr>
            <w:tcW w:w="3510" w:type="dxa"/>
            <w:shd w:val="clear" w:color="auto" w:fill="auto"/>
          </w:tcPr>
          <w:p w14:paraId="6667AF17" w14:textId="77777777" w:rsidR="00AA23FA" w:rsidRPr="006658E0" w:rsidRDefault="00AA23FA" w:rsidP="00725F53">
            <w:pPr>
              <w:rPr>
                <w:rFonts w:cs="HelveticaNeueLTStd-Lt"/>
                <w:sz w:val="24"/>
                <w:szCs w:val="24"/>
              </w:rPr>
            </w:pPr>
            <w:r w:rsidRPr="006658E0">
              <w:rPr>
                <w:rFonts w:cs="HelveticaNeueLTStd-Lt"/>
                <w:sz w:val="24"/>
                <w:szCs w:val="24"/>
              </w:rPr>
              <w:t xml:space="preserve">Housing Association </w:t>
            </w:r>
          </w:p>
        </w:tc>
        <w:tc>
          <w:tcPr>
            <w:tcW w:w="2977" w:type="dxa"/>
            <w:shd w:val="clear" w:color="auto" w:fill="auto"/>
          </w:tcPr>
          <w:p w14:paraId="32B4FD3E" w14:textId="77777777" w:rsidR="00AA23FA" w:rsidRPr="006658E0" w:rsidRDefault="00AA23FA" w:rsidP="00725F53">
            <w:pPr>
              <w:rPr>
                <w:rFonts w:cs="HelveticaNeueLTStd-Lt"/>
                <w:sz w:val="24"/>
                <w:szCs w:val="24"/>
              </w:rPr>
            </w:pPr>
            <w:r w:rsidRPr="006658E0">
              <w:rPr>
                <w:rFonts w:cs="HelveticaNeueLTStd-Lt"/>
                <w:sz w:val="24"/>
                <w:szCs w:val="24"/>
              </w:rPr>
              <w:t>1, 5 (2 sources)</w:t>
            </w:r>
          </w:p>
        </w:tc>
        <w:tc>
          <w:tcPr>
            <w:tcW w:w="3686" w:type="dxa"/>
            <w:vMerge/>
          </w:tcPr>
          <w:p w14:paraId="6463FEF9" w14:textId="77777777" w:rsidR="00AA23FA" w:rsidRPr="006658E0" w:rsidRDefault="00AA23FA" w:rsidP="00725F53">
            <w:pPr>
              <w:rPr>
                <w:rFonts w:cs="HelveticaNeueLTStd-Lt"/>
                <w:sz w:val="24"/>
                <w:szCs w:val="24"/>
              </w:rPr>
            </w:pPr>
          </w:p>
        </w:tc>
      </w:tr>
      <w:tr w:rsidR="00AA23FA" w:rsidRPr="003E3752" w14:paraId="1B96DBF5" w14:textId="77777777" w:rsidTr="00E418C2">
        <w:tc>
          <w:tcPr>
            <w:tcW w:w="3510" w:type="dxa"/>
            <w:shd w:val="clear" w:color="auto" w:fill="auto"/>
          </w:tcPr>
          <w:p w14:paraId="1AD448E3" w14:textId="77777777" w:rsidR="00AA23FA" w:rsidRPr="006658E0" w:rsidRDefault="00AA23FA" w:rsidP="00725F53">
            <w:pPr>
              <w:rPr>
                <w:rFonts w:cs="HelveticaNeueLTStd-Lt"/>
                <w:sz w:val="24"/>
                <w:szCs w:val="24"/>
              </w:rPr>
            </w:pPr>
            <w:r w:rsidRPr="006658E0">
              <w:rPr>
                <w:rFonts w:cs="HelveticaNeueLTStd-Lt"/>
                <w:sz w:val="24"/>
                <w:szCs w:val="24"/>
              </w:rPr>
              <w:t xml:space="preserve">Hospitals, Medical Centres, NHS Trust </w:t>
            </w:r>
          </w:p>
        </w:tc>
        <w:tc>
          <w:tcPr>
            <w:tcW w:w="2977" w:type="dxa"/>
            <w:shd w:val="clear" w:color="auto" w:fill="auto"/>
          </w:tcPr>
          <w:p w14:paraId="5CFCFF8F" w14:textId="77777777" w:rsidR="00AA23FA" w:rsidRPr="006658E0" w:rsidRDefault="00AA23FA" w:rsidP="00725F53">
            <w:pPr>
              <w:rPr>
                <w:rFonts w:cs="HelveticaNeueLTStd-Lt"/>
                <w:sz w:val="24"/>
                <w:szCs w:val="24"/>
              </w:rPr>
            </w:pPr>
            <w:r w:rsidRPr="006658E0">
              <w:rPr>
                <w:rFonts w:cs="HelveticaNeueLTStd-Lt"/>
                <w:sz w:val="24"/>
                <w:szCs w:val="24"/>
              </w:rPr>
              <w:t>1, 5, 8, 9, 12, 13, 14, 15, 17, 19 (10 sources)</w:t>
            </w:r>
          </w:p>
        </w:tc>
        <w:tc>
          <w:tcPr>
            <w:tcW w:w="3686" w:type="dxa"/>
            <w:vMerge/>
          </w:tcPr>
          <w:p w14:paraId="70E4FBA5" w14:textId="77777777" w:rsidR="00AA23FA" w:rsidRPr="006658E0" w:rsidRDefault="00AA23FA" w:rsidP="00725F53">
            <w:pPr>
              <w:rPr>
                <w:rFonts w:cs="HelveticaNeueLTStd-Lt"/>
                <w:sz w:val="24"/>
                <w:szCs w:val="24"/>
              </w:rPr>
            </w:pPr>
          </w:p>
        </w:tc>
      </w:tr>
      <w:tr w:rsidR="00AA23FA" w:rsidRPr="003E3752" w14:paraId="022EC82B" w14:textId="77777777" w:rsidTr="00E418C2">
        <w:trPr>
          <w:trHeight w:val="686"/>
        </w:trPr>
        <w:tc>
          <w:tcPr>
            <w:tcW w:w="3510" w:type="dxa"/>
            <w:shd w:val="clear" w:color="auto" w:fill="auto"/>
          </w:tcPr>
          <w:p w14:paraId="058118F4" w14:textId="77777777" w:rsidR="00AA23FA" w:rsidRPr="006658E0" w:rsidRDefault="00AA23FA" w:rsidP="00725F53">
            <w:pPr>
              <w:rPr>
                <w:rFonts w:cs="HelveticaNeueLTStd-Lt"/>
                <w:sz w:val="24"/>
                <w:szCs w:val="24"/>
              </w:rPr>
            </w:pPr>
            <w:r w:rsidRPr="006658E0">
              <w:rPr>
                <w:rFonts w:cs="HelveticaNeueLTStd-Lt"/>
                <w:sz w:val="24"/>
                <w:szCs w:val="24"/>
              </w:rPr>
              <w:t>Private Sector Business (Can be large corporates with strong local links such as banks (UKES); those with Headquarters in place; longevity in place)</w:t>
            </w:r>
          </w:p>
        </w:tc>
        <w:tc>
          <w:tcPr>
            <w:tcW w:w="2977" w:type="dxa"/>
            <w:shd w:val="clear" w:color="auto" w:fill="auto"/>
          </w:tcPr>
          <w:p w14:paraId="44A6FF0A" w14:textId="77777777" w:rsidR="00AA23FA" w:rsidRPr="006658E0" w:rsidRDefault="00AA23FA" w:rsidP="00725F53">
            <w:pPr>
              <w:rPr>
                <w:rFonts w:cs="HelveticaNeueLTStd-Lt"/>
                <w:sz w:val="24"/>
                <w:szCs w:val="24"/>
              </w:rPr>
            </w:pPr>
            <w:r w:rsidRPr="006658E0">
              <w:rPr>
                <w:rFonts w:cs="HelveticaNeueLTStd-Lt"/>
                <w:sz w:val="24"/>
                <w:szCs w:val="24"/>
              </w:rPr>
              <w:t>1,3,5, 12, 14, 15, 19 (7 sources)</w:t>
            </w:r>
          </w:p>
        </w:tc>
        <w:tc>
          <w:tcPr>
            <w:tcW w:w="3686" w:type="dxa"/>
            <w:vMerge/>
          </w:tcPr>
          <w:p w14:paraId="5592F787" w14:textId="77777777" w:rsidR="00AA23FA" w:rsidRPr="006658E0" w:rsidRDefault="00AA23FA" w:rsidP="00725F53">
            <w:pPr>
              <w:rPr>
                <w:rFonts w:cs="HelveticaNeueLTStd-Lt"/>
                <w:sz w:val="24"/>
                <w:szCs w:val="24"/>
              </w:rPr>
            </w:pPr>
          </w:p>
        </w:tc>
      </w:tr>
      <w:tr w:rsidR="00AA23FA" w:rsidRPr="003E3752" w14:paraId="342BC57F" w14:textId="77777777" w:rsidTr="00E418C2">
        <w:trPr>
          <w:trHeight w:val="517"/>
        </w:trPr>
        <w:tc>
          <w:tcPr>
            <w:tcW w:w="3510" w:type="dxa"/>
            <w:shd w:val="clear" w:color="auto" w:fill="auto"/>
          </w:tcPr>
          <w:p w14:paraId="57C1D018" w14:textId="77777777" w:rsidR="00AA23FA" w:rsidRPr="006658E0" w:rsidRDefault="00AA23FA" w:rsidP="00725F53">
            <w:pPr>
              <w:rPr>
                <w:rFonts w:cs="HelveticaNeueLTStd-Lt"/>
                <w:sz w:val="24"/>
                <w:szCs w:val="24"/>
              </w:rPr>
            </w:pPr>
            <w:r w:rsidRPr="006658E0">
              <w:rPr>
                <w:rFonts w:cs="HelveticaNeueLTStd-Lt"/>
                <w:sz w:val="24"/>
                <w:szCs w:val="24"/>
              </w:rPr>
              <w:t>Military Installations</w:t>
            </w:r>
          </w:p>
        </w:tc>
        <w:tc>
          <w:tcPr>
            <w:tcW w:w="2977" w:type="dxa"/>
            <w:shd w:val="clear" w:color="auto" w:fill="auto"/>
          </w:tcPr>
          <w:p w14:paraId="41590495" w14:textId="77777777" w:rsidR="00AA23FA" w:rsidRPr="006658E0" w:rsidRDefault="00AA23FA" w:rsidP="00725F53">
            <w:pPr>
              <w:rPr>
                <w:rFonts w:cs="HelveticaNeueLTStd-Lt"/>
                <w:sz w:val="24"/>
                <w:szCs w:val="24"/>
              </w:rPr>
            </w:pPr>
            <w:r w:rsidRPr="006658E0">
              <w:rPr>
                <w:rFonts w:cs="HelveticaNeueLTStd-Lt"/>
                <w:sz w:val="24"/>
                <w:szCs w:val="24"/>
              </w:rPr>
              <w:t>12, 15, 19 (3 sources)</w:t>
            </w:r>
          </w:p>
        </w:tc>
        <w:tc>
          <w:tcPr>
            <w:tcW w:w="3686" w:type="dxa"/>
            <w:vMerge/>
          </w:tcPr>
          <w:p w14:paraId="0F11AD23" w14:textId="77777777" w:rsidR="00AA23FA" w:rsidRPr="006658E0" w:rsidRDefault="00AA23FA" w:rsidP="00725F53">
            <w:pPr>
              <w:rPr>
                <w:rFonts w:cs="HelveticaNeueLTStd-Lt"/>
                <w:sz w:val="24"/>
                <w:szCs w:val="24"/>
              </w:rPr>
            </w:pPr>
          </w:p>
        </w:tc>
      </w:tr>
      <w:tr w:rsidR="00AA23FA" w:rsidRPr="003E3752" w14:paraId="75B5F8A8" w14:textId="77777777" w:rsidTr="00E418C2">
        <w:tc>
          <w:tcPr>
            <w:tcW w:w="3510" w:type="dxa"/>
            <w:shd w:val="clear" w:color="auto" w:fill="auto"/>
          </w:tcPr>
          <w:p w14:paraId="0E44724E" w14:textId="77777777" w:rsidR="00AA23FA" w:rsidRPr="006658E0" w:rsidRDefault="00AA23FA" w:rsidP="00725F53">
            <w:pPr>
              <w:rPr>
                <w:rFonts w:cs="HelveticaNeueLTStd-Lt"/>
                <w:sz w:val="24"/>
                <w:szCs w:val="24"/>
              </w:rPr>
            </w:pPr>
            <w:r w:rsidRPr="006658E0">
              <w:rPr>
                <w:rFonts w:cs="HelveticaNeueLTStd-Lt"/>
                <w:sz w:val="24"/>
                <w:szCs w:val="24"/>
              </w:rPr>
              <w:t>Law Enforcement Agencies</w:t>
            </w:r>
          </w:p>
        </w:tc>
        <w:tc>
          <w:tcPr>
            <w:tcW w:w="2977" w:type="dxa"/>
            <w:shd w:val="clear" w:color="auto" w:fill="auto"/>
          </w:tcPr>
          <w:p w14:paraId="72E1D3A7" w14:textId="77777777" w:rsidR="00AA23FA" w:rsidRPr="006658E0" w:rsidRDefault="00AA23FA" w:rsidP="00725F53">
            <w:pPr>
              <w:rPr>
                <w:rFonts w:cs="HelveticaNeueLTStd-Lt"/>
                <w:sz w:val="24"/>
                <w:szCs w:val="24"/>
              </w:rPr>
            </w:pPr>
            <w:r w:rsidRPr="006658E0">
              <w:rPr>
                <w:rFonts w:cs="HelveticaNeueLTStd-Lt"/>
                <w:sz w:val="24"/>
                <w:szCs w:val="24"/>
              </w:rPr>
              <w:t>9 (1 source)</w:t>
            </w:r>
          </w:p>
        </w:tc>
        <w:tc>
          <w:tcPr>
            <w:tcW w:w="3686" w:type="dxa"/>
            <w:vMerge/>
          </w:tcPr>
          <w:p w14:paraId="5C81AC25" w14:textId="77777777" w:rsidR="00AA23FA" w:rsidRPr="006658E0" w:rsidRDefault="00AA23FA" w:rsidP="00725F53">
            <w:pPr>
              <w:rPr>
                <w:rFonts w:cs="HelveticaNeueLTStd-Lt"/>
                <w:sz w:val="24"/>
                <w:szCs w:val="24"/>
              </w:rPr>
            </w:pPr>
          </w:p>
        </w:tc>
      </w:tr>
      <w:tr w:rsidR="00AA23FA" w:rsidRPr="003E3752" w14:paraId="65088189" w14:textId="77777777" w:rsidTr="00E418C2">
        <w:tc>
          <w:tcPr>
            <w:tcW w:w="3510" w:type="dxa"/>
            <w:shd w:val="clear" w:color="auto" w:fill="auto"/>
          </w:tcPr>
          <w:p w14:paraId="6111307A" w14:textId="77777777" w:rsidR="00AA23FA" w:rsidRPr="006658E0" w:rsidRDefault="00AA23FA" w:rsidP="00725F53">
            <w:pPr>
              <w:rPr>
                <w:rFonts w:cs="HelveticaNeueLTStd-Lt"/>
                <w:sz w:val="24"/>
                <w:szCs w:val="24"/>
              </w:rPr>
            </w:pPr>
            <w:r w:rsidRPr="006658E0">
              <w:rPr>
                <w:rFonts w:cs="HelveticaNeueLTStd-Lt"/>
                <w:sz w:val="24"/>
                <w:szCs w:val="24"/>
              </w:rPr>
              <w:t>Schools and local education agencies</w:t>
            </w:r>
          </w:p>
        </w:tc>
        <w:tc>
          <w:tcPr>
            <w:tcW w:w="2977" w:type="dxa"/>
            <w:shd w:val="clear" w:color="auto" w:fill="auto"/>
          </w:tcPr>
          <w:p w14:paraId="6B7DA471" w14:textId="77777777" w:rsidR="00AA23FA" w:rsidRPr="006658E0" w:rsidRDefault="00AA23FA" w:rsidP="00725F53">
            <w:pPr>
              <w:rPr>
                <w:rFonts w:cs="HelveticaNeueLTStd-Lt"/>
                <w:sz w:val="24"/>
                <w:szCs w:val="24"/>
              </w:rPr>
            </w:pPr>
            <w:r w:rsidRPr="006658E0">
              <w:rPr>
                <w:rFonts w:cs="HelveticaNeueLTStd-Lt"/>
                <w:sz w:val="24"/>
                <w:szCs w:val="24"/>
              </w:rPr>
              <w:t>9 (1 source)</w:t>
            </w:r>
          </w:p>
        </w:tc>
        <w:tc>
          <w:tcPr>
            <w:tcW w:w="3686" w:type="dxa"/>
            <w:vMerge/>
          </w:tcPr>
          <w:p w14:paraId="4E1A6103" w14:textId="77777777" w:rsidR="00AA23FA" w:rsidRPr="006658E0" w:rsidRDefault="00AA23FA" w:rsidP="00725F53">
            <w:pPr>
              <w:rPr>
                <w:rFonts w:cs="HelveticaNeueLTStd-Lt"/>
                <w:sz w:val="24"/>
                <w:szCs w:val="24"/>
              </w:rPr>
            </w:pPr>
          </w:p>
        </w:tc>
      </w:tr>
      <w:tr w:rsidR="00AA23FA" w:rsidRPr="003E3752" w14:paraId="2A2D72AD" w14:textId="77777777" w:rsidTr="00E418C2">
        <w:tc>
          <w:tcPr>
            <w:tcW w:w="3510" w:type="dxa"/>
          </w:tcPr>
          <w:p w14:paraId="125E4F9F" w14:textId="77777777" w:rsidR="00AA23FA" w:rsidRPr="003E3752" w:rsidRDefault="00AA23FA" w:rsidP="00725F53">
            <w:pPr>
              <w:rPr>
                <w:rFonts w:cs="HelveticaNeueLTStd-Lt"/>
                <w:sz w:val="24"/>
                <w:szCs w:val="24"/>
              </w:rPr>
            </w:pPr>
            <w:r w:rsidRPr="003E3752">
              <w:rPr>
                <w:rFonts w:cs="HelveticaNeueLTStd-Lt"/>
                <w:sz w:val="24"/>
                <w:szCs w:val="24"/>
              </w:rPr>
              <w:t>Local and Regional Government Agencies</w:t>
            </w:r>
          </w:p>
        </w:tc>
        <w:tc>
          <w:tcPr>
            <w:tcW w:w="2977" w:type="dxa"/>
            <w:shd w:val="clear" w:color="auto" w:fill="auto"/>
          </w:tcPr>
          <w:p w14:paraId="47213AFD" w14:textId="77777777" w:rsidR="00AA23FA" w:rsidRPr="003E3752" w:rsidRDefault="00AA23FA" w:rsidP="00725F53">
            <w:pPr>
              <w:rPr>
                <w:rFonts w:cs="HelveticaNeueLTStd-Lt"/>
                <w:sz w:val="24"/>
                <w:szCs w:val="24"/>
              </w:rPr>
            </w:pPr>
            <w:r w:rsidRPr="003E3752">
              <w:rPr>
                <w:rFonts w:cs="HelveticaNeueLTStd-Lt"/>
                <w:sz w:val="24"/>
                <w:szCs w:val="24"/>
              </w:rPr>
              <w:t>1, 3, 5, 9,19</w:t>
            </w:r>
            <w:r>
              <w:rPr>
                <w:rFonts w:cs="HelveticaNeueLTStd-Lt"/>
                <w:sz w:val="24"/>
                <w:szCs w:val="24"/>
              </w:rPr>
              <w:t xml:space="preserve"> (5 sources)</w:t>
            </w:r>
          </w:p>
        </w:tc>
        <w:tc>
          <w:tcPr>
            <w:tcW w:w="3686" w:type="dxa"/>
            <w:vMerge/>
          </w:tcPr>
          <w:p w14:paraId="60E0C689" w14:textId="77777777" w:rsidR="00AA23FA" w:rsidRPr="003E3752" w:rsidRDefault="00AA23FA" w:rsidP="00725F53">
            <w:pPr>
              <w:rPr>
                <w:rFonts w:cs="HelveticaNeueLTStd-Lt"/>
                <w:sz w:val="24"/>
                <w:szCs w:val="24"/>
              </w:rPr>
            </w:pPr>
          </w:p>
        </w:tc>
      </w:tr>
    </w:tbl>
    <w:p w14:paraId="2C9528D2" w14:textId="77777777" w:rsidR="00AA23FA" w:rsidRDefault="00AA23FA" w:rsidP="00E418C2">
      <w:pPr>
        <w:widowControl w:val="0"/>
        <w:autoSpaceDE w:val="0"/>
        <w:autoSpaceDN w:val="0"/>
        <w:adjustRightInd w:val="0"/>
        <w:spacing w:after="240" w:line="240" w:lineRule="auto"/>
        <w:jc w:val="center"/>
        <w:rPr>
          <w:rFonts w:eastAsiaTheme="minorEastAsia"/>
          <w:sz w:val="24"/>
          <w:szCs w:val="24"/>
          <w:highlight w:val="lightGray"/>
          <w:lang w:eastAsia="zh-CN"/>
        </w:rPr>
      </w:pPr>
    </w:p>
    <w:p w14:paraId="2BD5CA27" w14:textId="77777777" w:rsidR="00786605" w:rsidRDefault="00786605">
      <w:pPr>
        <w:spacing w:after="0" w:line="240" w:lineRule="auto"/>
        <w:rPr>
          <w:rFonts w:eastAsiaTheme="minorEastAsia"/>
          <w:sz w:val="24"/>
          <w:szCs w:val="24"/>
          <w:highlight w:val="lightGray"/>
          <w:lang w:eastAsia="zh-CN"/>
        </w:rPr>
      </w:pPr>
    </w:p>
    <w:p w14:paraId="43B9150E" w14:textId="77777777" w:rsidR="00786605" w:rsidRDefault="00786605">
      <w:pPr>
        <w:spacing w:after="0" w:line="240" w:lineRule="auto"/>
        <w:rPr>
          <w:rFonts w:eastAsiaTheme="minorEastAsia"/>
          <w:sz w:val="24"/>
          <w:szCs w:val="24"/>
          <w:highlight w:val="lightGray"/>
          <w:lang w:eastAsia="zh-CN"/>
        </w:rPr>
      </w:pPr>
    </w:p>
    <w:p w14:paraId="2E69A097" w14:textId="77777777" w:rsidR="00786605" w:rsidRDefault="00786605">
      <w:pPr>
        <w:spacing w:after="0" w:line="240" w:lineRule="auto"/>
        <w:rPr>
          <w:rFonts w:eastAsiaTheme="minorEastAsia"/>
          <w:sz w:val="24"/>
          <w:szCs w:val="24"/>
          <w:highlight w:val="lightGray"/>
          <w:lang w:eastAsia="zh-CN"/>
        </w:rPr>
      </w:pPr>
    </w:p>
    <w:p w14:paraId="61541E9A" w14:textId="77777777" w:rsidR="00786605" w:rsidRDefault="00786605" w:rsidP="00786605">
      <w:pPr>
        <w:widowControl w:val="0"/>
        <w:autoSpaceDE w:val="0"/>
        <w:autoSpaceDN w:val="0"/>
        <w:adjustRightInd w:val="0"/>
        <w:spacing w:after="240" w:line="240" w:lineRule="auto"/>
        <w:jc w:val="both"/>
        <w:rPr>
          <w:sz w:val="28"/>
          <w:szCs w:val="28"/>
        </w:rPr>
      </w:pPr>
      <w:proofErr w:type="gramStart"/>
      <w:r>
        <w:rPr>
          <w:sz w:val="28"/>
          <w:szCs w:val="28"/>
        </w:rPr>
        <w:t>support</w:t>
      </w:r>
      <w:proofErr w:type="gramEnd"/>
      <w:r>
        <w:rPr>
          <w:sz w:val="28"/>
          <w:szCs w:val="28"/>
        </w:rPr>
        <w:t xml:space="preserve"> people holistically in a locality to connect to skills, welfare or economic opportunities and for quality of life (CLES 2015a, p17; RSA 2015, pp48-67).</w:t>
      </w:r>
    </w:p>
    <w:p w14:paraId="7326E47E" w14:textId="77777777" w:rsidR="00786605" w:rsidRPr="00C67D79" w:rsidRDefault="00786605" w:rsidP="00786605">
      <w:pPr>
        <w:jc w:val="both"/>
        <w:rPr>
          <w:sz w:val="28"/>
          <w:szCs w:val="28"/>
        </w:rPr>
      </w:pPr>
      <w:r w:rsidRPr="00C67D79">
        <w:rPr>
          <w:sz w:val="28"/>
          <w:szCs w:val="28"/>
        </w:rPr>
        <w:t>The central premise is that Anchor Institutions have an important presence or role in the shaping of places in which they are located. They often have a large stake in these places that in turn have an important influence on their operation.  Frequently these anchor institutions display longevity of location in the place and have a significant influence and impact on place through the jobs they generate (as employer and indirectly), procurement practices and purchasers in locality, their investments in physical assets and their substantial human and intellectual capital. These Anchor Institutions provide a range of functions within a place that form part of the place’s attraction for business and economic growth, for migration and settlement of people and for sustaining the functioning and operation of the place over time. Anchor Institutions are therefore institutions with influence and impact in the wider functional economy and settlement that have a strong connection and mutual dependency (</w:t>
      </w:r>
      <w:proofErr w:type="spellStart"/>
      <w:r w:rsidRPr="00C67D79">
        <w:rPr>
          <w:sz w:val="28"/>
          <w:szCs w:val="28"/>
        </w:rPr>
        <w:t>embeddedness</w:t>
      </w:r>
      <w:proofErr w:type="spellEnd"/>
      <w:r w:rsidRPr="00C67D79">
        <w:rPr>
          <w:sz w:val="28"/>
          <w:szCs w:val="28"/>
        </w:rPr>
        <w:t xml:space="preserve"> and co-evolution) with the places in which they are located.</w:t>
      </w:r>
    </w:p>
    <w:p w14:paraId="36189ADA" w14:textId="77777777" w:rsidR="00786605" w:rsidRDefault="00786605" w:rsidP="00786605">
      <w:pPr>
        <w:widowControl w:val="0"/>
        <w:autoSpaceDE w:val="0"/>
        <w:autoSpaceDN w:val="0"/>
        <w:adjustRightInd w:val="0"/>
        <w:spacing w:after="240" w:line="240" w:lineRule="auto"/>
        <w:jc w:val="both"/>
        <w:rPr>
          <w:rFonts w:eastAsiaTheme="minorEastAsia"/>
          <w:sz w:val="24"/>
          <w:szCs w:val="24"/>
          <w:lang w:eastAsia="zh-CN"/>
        </w:rPr>
      </w:pPr>
      <w:r w:rsidRPr="00C67D79">
        <w:rPr>
          <w:sz w:val="28"/>
          <w:szCs w:val="28"/>
        </w:rPr>
        <w:t>The changing governance arrangements of English city-regions with Combined Authorities, (</w:t>
      </w:r>
      <w:proofErr w:type="spellStart"/>
      <w:r w:rsidRPr="00C67D79">
        <w:rPr>
          <w:sz w:val="28"/>
          <w:szCs w:val="28"/>
        </w:rPr>
        <w:t>Sandford</w:t>
      </w:r>
      <w:proofErr w:type="spellEnd"/>
      <w:r w:rsidRPr="00C67D79">
        <w:rPr>
          <w:sz w:val="28"/>
          <w:szCs w:val="28"/>
        </w:rPr>
        <w:t xml:space="preserve"> 2015) Local Enterprise Partnerships (HM Government 2010 pp</w:t>
      </w:r>
      <w:r>
        <w:rPr>
          <w:sz w:val="28"/>
          <w:szCs w:val="28"/>
        </w:rPr>
        <w:t>.</w:t>
      </w:r>
      <w:r w:rsidRPr="00C67D79">
        <w:rPr>
          <w:sz w:val="28"/>
          <w:szCs w:val="28"/>
        </w:rPr>
        <w:t xml:space="preserve"> 12-14) and further devolution deals under </w:t>
      </w:r>
      <w:r w:rsidRPr="00D2175F">
        <w:rPr>
          <w:sz w:val="28"/>
          <w:szCs w:val="28"/>
        </w:rPr>
        <w:t xml:space="preserve">consideration </w:t>
      </w:r>
      <w:r>
        <w:rPr>
          <w:sz w:val="28"/>
          <w:szCs w:val="28"/>
        </w:rPr>
        <w:t>(e.g. North East deal 23 October 2015</w:t>
      </w:r>
      <w:r w:rsidRPr="00D2175F">
        <w:rPr>
          <w:sz w:val="28"/>
          <w:szCs w:val="28"/>
        </w:rPr>
        <w:t>) lead to a</w:t>
      </w:r>
      <w:r w:rsidRPr="00C67D79">
        <w:rPr>
          <w:sz w:val="28"/>
          <w:szCs w:val="28"/>
        </w:rPr>
        <w:t xml:space="preserve"> growing significance of economic, social and environmental development of place</w:t>
      </w:r>
      <w:r w:rsidRPr="00C63D0A">
        <w:rPr>
          <w:sz w:val="28"/>
          <w:szCs w:val="28"/>
        </w:rPr>
        <w:t>.</w:t>
      </w:r>
      <w:r w:rsidRPr="00C63D0A">
        <w:rPr>
          <w:rFonts w:eastAsiaTheme="minorEastAsia"/>
          <w:sz w:val="24"/>
          <w:szCs w:val="24"/>
          <w:lang w:eastAsia="zh-CN"/>
        </w:rPr>
        <w:t xml:space="preserve">  </w:t>
      </w:r>
    </w:p>
    <w:p w14:paraId="68F97862" w14:textId="77777777" w:rsidR="00786605" w:rsidRPr="00DF5980" w:rsidRDefault="00786605" w:rsidP="00786605">
      <w:pPr>
        <w:widowControl w:val="0"/>
        <w:autoSpaceDE w:val="0"/>
        <w:autoSpaceDN w:val="0"/>
        <w:adjustRightInd w:val="0"/>
        <w:spacing w:after="240" w:line="240" w:lineRule="auto"/>
        <w:jc w:val="both"/>
        <w:rPr>
          <w:sz w:val="28"/>
          <w:szCs w:val="28"/>
        </w:rPr>
      </w:pPr>
      <w:r w:rsidRPr="00C63D0A">
        <w:rPr>
          <w:sz w:val="28"/>
          <w:szCs w:val="28"/>
        </w:rPr>
        <w:t xml:space="preserve">These new forms of multi-level governance institutions will be central to the shaping of place and economies (Cox and Hunter 2015, p 17) for </w:t>
      </w:r>
      <w:r w:rsidRPr="00E679C3">
        <w:rPr>
          <w:sz w:val="28"/>
          <w:szCs w:val="28"/>
        </w:rPr>
        <w:t>“The key [to growth] appears to be how assets are used, how different stakeholders interact and how synergies are exploited in different types of regions</w:t>
      </w:r>
      <w:r>
        <w:rPr>
          <w:sz w:val="28"/>
          <w:szCs w:val="28"/>
        </w:rPr>
        <w:t>”, (OECD 2009, p7).</w:t>
      </w:r>
    </w:p>
    <w:p w14:paraId="43016D21" w14:textId="07CD3783" w:rsidR="00CD5A0A" w:rsidRDefault="00786605" w:rsidP="00E679C3">
      <w:pPr>
        <w:widowControl w:val="0"/>
        <w:autoSpaceDE w:val="0"/>
        <w:autoSpaceDN w:val="0"/>
        <w:adjustRightInd w:val="0"/>
        <w:spacing w:after="240" w:line="240" w:lineRule="auto"/>
        <w:jc w:val="both"/>
        <w:rPr>
          <w:sz w:val="28"/>
          <w:szCs w:val="28"/>
        </w:rPr>
      </w:pPr>
      <w:r w:rsidRPr="00C67D79">
        <w:rPr>
          <w:sz w:val="28"/>
          <w:szCs w:val="28"/>
        </w:rPr>
        <w:t xml:space="preserve">Anchor Institutions in Northern Powerhouse city-regions affords a rich talent pool, strong public, private and community organisations and substantial employment, expenditure and procurement capacity vital for future growth.  </w:t>
      </w:r>
      <w:r>
        <w:rPr>
          <w:sz w:val="28"/>
          <w:szCs w:val="28"/>
        </w:rPr>
        <w:t xml:space="preserve"> </w:t>
      </w:r>
      <w:r w:rsidR="00EC4479">
        <w:rPr>
          <w:sz w:val="28"/>
          <w:szCs w:val="28"/>
        </w:rPr>
        <w:t xml:space="preserve"> Analysis </w:t>
      </w:r>
      <w:r w:rsidR="00B86C91">
        <w:rPr>
          <w:sz w:val="28"/>
          <w:szCs w:val="28"/>
        </w:rPr>
        <w:t>of typical</w:t>
      </w:r>
      <w:r w:rsidR="00EC4479">
        <w:rPr>
          <w:sz w:val="28"/>
          <w:szCs w:val="28"/>
        </w:rPr>
        <w:t xml:space="preserve"> Anchor Types (Higher Education Institutions, Medical/Health and Fire</w:t>
      </w:r>
      <w:r w:rsidR="00B86C91">
        <w:rPr>
          <w:sz w:val="28"/>
          <w:szCs w:val="28"/>
        </w:rPr>
        <w:t>/Police Federations highlights a total of 275 Anchor Institutions with a combined spend of £</w:t>
      </w:r>
      <w:r w:rsidR="00B67B97">
        <w:rPr>
          <w:sz w:val="28"/>
          <w:szCs w:val="28"/>
        </w:rPr>
        <w:t>76,087</w:t>
      </w:r>
      <w:r w:rsidR="00B86C91">
        <w:rPr>
          <w:sz w:val="28"/>
          <w:szCs w:val="28"/>
        </w:rPr>
        <w:t>M</w:t>
      </w:r>
      <w:r w:rsidR="000E6DA5">
        <w:rPr>
          <w:sz w:val="28"/>
          <w:szCs w:val="28"/>
        </w:rPr>
        <w:t>. These Anchor Institutions are major employers in the region accounting for 1,133, 371 jobs, some 15% of all employee jobs in this geography (as defined by a sub set of 75 Local Authorities).</w:t>
      </w:r>
    </w:p>
    <w:p w14:paraId="714BCF30" w14:textId="703A68BA" w:rsidR="00E418C2" w:rsidRPr="00E679C3" w:rsidRDefault="00786605" w:rsidP="00E679C3">
      <w:pPr>
        <w:widowControl w:val="0"/>
        <w:autoSpaceDE w:val="0"/>
        <w:autoSpaceDN w:val="0"/>
        <w:adjustRightInd w:val="0"/>
        <w:spacing w:after="240" w:line="240" w:lineRule="auto"/>
        <w:jc w:val="both"/>
        <w:rPr>
          <w:sz w:val="28"/>
          <w:szCs w:val="28"/>
        </w:rPr>
      </w:pPr>
      <w:r w:rsidRPr="00C67D79">
        <w:rPr>
          <w:sz w:val="28"/>
          <w:szCs w:val="28"/>
        </w:rPr>
        <w:t xml:space="preserve">This has particular import for major city-regions such as Leeds City Region, Liverpool City Region, Greater Manchester and the North East in supporting the </w:t>
      </w:r>
      <w:r w:rsidR="00E418C2" w:rsidRPr="00E679C3">
        <w:rPr>
          <w:sz w:val="28"/>
          <w:szCs w:val="28"/>
        </w:rPr>
        <w:br w:type="page"/>
      </w:r>
    </w:p>
    <w:p w14:paraId="60F402D2" w14:textId="77777777" w:rsidR="00E418C2" w:rsidRPr="00E679C3" w:rsidRDefault="00E418C2" w:rsidP="00AA23FA">
      <w:pPr>
        <w:widowControl w:val="0"/>
        <w:autoSpaceDE w:val="0"/>
        <w:autoSpaceDN w:val="0"/>
        <w:adjustRightInd w:val="0"/>
        <w:spacing w:after="240" w:line="240" w:lineRule="auto"/>
        <w:jc w:val="both"/>
        <w:rPr>
          <w:sz w:val="28"/>
          <w:szCs w:val="28"/>
        </w:rPr>
        <w:sectPr w:rsidR="00E418C2" w:rsidRPr="00E679C3" w:rsidSect="00D10808">
          <w:pgSz w:w="11906" w:h="16838"/>
          <w:pgMar w:top="1440" w:right="1077" w:bottom="1440" w:left="1077" w:header="709" w:footer="709" w:gutter="0"/>
          <w:cols w:space="708"/>
          <w:docGrid w:linePitch="360"/>
        </w:sectPr>
      </w:pPr>
    </w:p>
    <w:p w14:paraId="79A33EC8" w14:textId="1463B061" w:rsidR="00786605" w:rsidRDefault="00B86C91" w:rsidP="00E418C2">
      <w:pPr>
        <w:spacing w:after="0" w:line="240" w:lineRule="auto"/>
        <w:rPr>
          <w:sz w:val="28"/>
          <w:szCs w:val="28"/>
        </w:rPr>
        <w:sectPr w:rsidR="00786605" w:rsidSect="00E418C2">
          <w:pgSz w:w="16838" w:h="11906" w:orient="landscape"/>
          <w:pgMar w:top="1440" w:right="964" w:bottom="1440" w:left="964" w:header="709" w:footer="709" w:gutter="0"/>
          <w:cols w:space="708"/>
          <w:docGrid w:linePitch="360"/>
        </w:sectPr>
      </w:pPr>
      <w:r w:rsidRPr="00B86C91">
        <w:rPr>
          <w:noProof/>
          <w:lang w:eastAsia="en-GB"/>
        </w:rPr>
        <w:lastRenderedPageBreak/>
        <w:drawing>
          <wp:inline distT="0" distB="0" distL="0" distR="0" wp14:anchorId="083ADDC7" wp14:editId="37AD74B9">
            <wp:extent cx="8810625" cy="5991225"/>
            <wp:effectExtent l="0" t="0" r="9525"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0625" cy="5991225"/>
                    </a:xfrm>
                    <a:prstGeom prst="rect">
                      <a:avLst/>
                    </a:prstGeom>
                    <a:noFill/>
                    <a:ln>
                      <a:noFill/>
                    </a:ln>
                  </pic:spPr>
                </pic:pic>
              </a:graphicData>
            </a:graphic>
          </wp:inline>
        </w:drawing>
      </w:r>
    </w:p>
    <w:p w14:paraId="1052263A" w14:textId="3450C8AD" w:rsidR="00024E4F" w:rsidRDefault="00024E4F" w:rsidP="00542098">
      <w:pPr>
        <w:widowControl w:val="0"/>
        <w:autoSpaceDE w:val="0"/>
        <w:autoSpaceDN w:val="0"/>
        <w:adjustRightInd w:val="0"/>
        <w:spacing w:after="240" w:line="240" w:lineRule="auto"/>
        <w:jc w:val="both"/>
        <w:rPr>
          <w:sz w:val="28"/>
          <w:szCs w:val="28"/>
        </w:rPr>
      </w:pPr>
      <w:proofErr w:type="gramStart"/>
      <w:r w:rsidRPr="00024E4F">
        <w:rPr>
          <w:sz w:val="28"/>
          <w:szCs w:val="28"/>
        </w:rPr>
        <w:lastRenderedPageBreak/>
        <w:t>development</w:t>
      </w:r>
      <w:proofErr w:type="gramEnd"/>
      <w:r w:rsidRPr="00024E4F">
        <w:rPr>
          <w:sz w:val="28"/>
          <w:szCs w:val="28"/>
        </w:rPr>
        <w:t xml:space="preserve"> of the Northern Powerhouse economy (CLES 2015b) and national prosperity.  </w:t>
      </w:r>
    </w:p>
    <w:p w14:paraId="4AC58EEB" w14:textId="4C16589C" w:rsidR="00AA23FA" w:rsidRPr="00C67D79" w:rsidRDefault="00AA23FA" w:rsidP="00542098">
      <w:pPr>
        <w:widowControl w:val="0"/>
        <w:autoSpaceDE w:val="0"/>
        <w:autoSpaceDN w:val="0"/>
        <w:adjustRightInd w:val="0"/>
        <w:spacing w:after="240" w:line="240" w:lineRule="auto"/>
        <w:jc w:val="both"/>
        <w:rPr>
          <w:sz w:val="28"/>
          <w:szCs w:val="28"/>
        </w:rPr>
      </w:pPr>
      <w:r w:rsidRPr="00C67D79">
        <w:rPr>
          <w:sz w:val="28"/>
          <w:szCs w:val="28"/>
        </w:rPr>
        <w:t xml:space="preserve">In the United States, Anchor Institutions have been mobilised and integrated into city-regional development processes.  Multi stakeholder collaboration by public service or not for profit institutions such as Universities, Colleges, hospitals, housing associations, libraries and sporting/cultural venues is supporting the creation of institutional and place-based (shared) economic, social and environmental value (Porter 2010; Porter 2011, pp 64; 66; ICIC 2011, p3; Taylor and </w:t>
      </w:r>
      <w:proofErr w:type="spellStart"/>
      <w:r w:rsidRPr="00C67D79">
        <w:rPr>
          <w:sz w:val="28"/>
          <w:szCs w:val="28"/>
        </w:rPr>
        <w:t>Luter</w:t>
      </w:r>
      <w:proofErr w:type="spellEnd"/>
      <w:r w:rsidRPr="00C67D79">
        <w:rPr>
          <w:sz w:val="28"/>
          <w:szCs w:val="28"/>
        </w:rPr>
        <w:t xml:space="preserve"> 2013, p1; </w:t>
      </w:r>
      <w:proofErr w:type="spellStart"/>
      <w:r w:rsidRPr="00C67D79">
        <w:rPr>
          <w:sz w:val="28"/>
          <w:szCs w:val="28"/>
        </w:rPr>
        <w:t>Dubb</w:t>
      </w:r>
      <w:proofErr w:type="spellEnd"/>
      <w:r w:rsidRPr="00C67D79">
        <w:rPr>
          <w:sz w:val="28"/>
          <w:szCs w:val="28"/>
        </w:rPr>
        <w:t xml:space="preserve">, McKinley and Howard 2013a and 2013b; CLES 2015a, p3).  </w:t>
      </w:r>
    </w:p>
    <w:p w14:paraId="06033666" w14:textId="6ADC945F" w:rsidR="002A17E1" w:rsidRDefault="002A17E1" w:rsidP="002A17E1">
      <w:pPr>
        <w:widowControl w:val="0"/>
        <w:autoSpaceDE w:val="0"/>
        <w:autoSpaceDN w:val="0"/>
        <w:adjustRightInd w:val="0"/>
        <w:spacing w:after="240" w:line="240" w:lineRule="auto"/>
        <w:jc w:val="both"/>
        <w:rPr>
          <w:sz w:val="28"/>
          <w:szCs w:val="28"/>
        </w:rPr>
      </w:pPr>
      <w:r>
        <w:rPr>
          <w:sz w:val="28"/>
          <w:szCs w:val="28"/>
        </w:rPr>
        <w:t>There is a growing recognition that Anchor Institutions merit greater promin</w:t>
      </w:r>
      <w:r w:rsidR="00644FED">
        <w:rPr>
          <w:sz w:val="28"/>
          <w:szCs w:val="28"/>
        </w:rPr>
        <w:t>ence in de</w:t>
      </w:r>
      <w:r w:rsidR="00F33E19">
        <w:rPr>
          <w:sz w:val="28"/>
          <w:szCs w:val="28"/>
        </w:rPr>
        <w:t>cisions and policy (CLES 2015</w:t>
      </w:r>
      <w:r w:rsidR="00644FED">
        <w:rPr>
          <w:sz w:val="28"/>
          <w:szCs w:val="28"/>
        </w:rPr>
        <w:t>a; 2015b</w:t>
      </w:r>
      <w:r>
        <w:rPr>
          <w:sz w:val="28"/>
          <w:szCs w:val="28"/>
        </w:rPr>
        <w:t xml:space="preserve">). </w:t>
      </w:r>
      <w:r w:rsidRPr="00CF5BB9">
        <w:rPr>
          <w:sz w:val="28"/>
          <w:szCs w:val="28"/>
        </w:rPr>
        <w:t>Experience from Anchor Institutions in the United States highlights new models of place-based leadership (</w:t>
      </w:r>
      <w:proofErr w:type="spellStart"/>
      <w:r w:rsidRPr="00CF5BB9">
        <w:rPr>
          <w:sz w:val="28"/>
          <w:szCs w:val="28"/>
        </w:rPr>
        <w:t>Dubb</w:t>
      </w:r>
      <w:proofErr w:type="spellEnd"/>
      <w:r w:rsidRPr="00CF5BB9">
        <w:rPr>
          <w:sz w:val="28"/>
          <w:szCs w:val="28"/>
        </w:rPr>
        <w:t xml:space="preserve"> et al 2013, p vii; </w:t>
      </w:r>
      <w:proofErr w:type="spellStart"/>
      <w:r w:rsidRPr="00CF5BB9">
        <w:rPr>
          <w:sz w:val="28"/>
          <w:szCs w:val="28"/>
        </w:rPr>
        <w:t>Serang</w:t>
      </w:r>
      <w:proofErr w:type="spellEnd"/>
      <w:r w:rsidRPr="00CF5BB9">
        <w:rPr>
          <w:sz w:val="28"/>
          <w:szCs w:val="28"/>
        </w:rPr>
        <w:t xml:space="preserve">, Thompson and Howard 2013, p14-17), </w:t>
      </w:r>
      <w:r w:rsidR="00BC2F1A">
        <w:rPr>
          <w:sz w:val="28"/>
          <w:szCs w:val="28"/>
        </w:rPr>
        <w:t>partnerships (CLES 2015a, p15</w:t>
      </w:r>
      <w:r w:rsidRPr="00BC2F1A">
        <w:rPr>
          <w:sz w:val="28"/>
          <w:szCs w:val="28"/>
        </w:rPr>
        <w:t>)</w:t>
      </w:r>
      <w:r w:rsidRPr="00CF5BB9">
        <w:rPr>
          <w:sz w:val="28"/>
          <w:szCs w:val="28"/>
        </w:rPr>
        <w:t xml:space="preserve"> shared value (Porter 2010; ICIC 2011; Porter and Kramer 2011), investment (</w:t>
      </w:r>
      <w:proofErr w:type="spellStart"/>
      <w:r w:rsidRPr="00CF5BB9">
        <w:rPr>
          <w:sz w:val="28"/>
          <w:szCs w:val="28"/>
        </w:rPr>
        <w:t>Serang</w:t>
      </w:r>
      <w:proofErr w:type="spellEnd"/>
      <w:r w:rsidRPr="00CF5BB9">
        <w:rPr>
          <w:sz w:val="28"/>
          <w:szCs w:val="28"/>
        </w:rPr>
        <w:t xml:space="preserve"> Thompson and Howard 2013, pp. 4-6) and community wealth building (</w:t>
      </w:r>
      <w:proofErr w:type="spellStart"/>
      <w:r w:rsidRPr="00CF5BB9">
        <w:rPr>
          <w:sz w:val="28"/>
          <w:szCs w:val="28"/>
        </w:rPr>
        <w:t>Dubb</w:t>
      </w:r>
      <w:proofErr w:type="spellEnd"/>
      <w:r w:rsidRPr="00CF5BB9">
        <w:rPr>
          <w:sz w:val="28"/>
          <w:szCs w:val="28"/>
        </w:rPr>
        <w:t xml:space="preserve"> et al 2013, pp. 24-29) for delivering city-regional development</w:t>
      </w:r>
    </w:p>
    <w:p w14:paraId="24AC17E3" w14:textId="4B8E8611" w:rsidR="00504492" w:rsidRDefault="002A17E1" w:rsidP="00F050C2">
      <w:pPr>
        <w:widowControl w:val="0"/>
        <w:autoSpaceDE w:val="0"/>
        <w:autoSpaceDN w:val="0"/>
        <w:adjustRightInd w:val="0"/>
        <w:spacing w:after="240" w:line="240" w:lineRule="auto"/>
        <w:jc w:val="both"/>
        <w:rPr>
          <w:sz w:val="28"/>
          <w:szCs w:val="28"/>
        </w:rPr>
      </w:pPr>
      <w:r>
        <w:rPr>
          <w:sz w:val="28"/>
          <w:szCs w:val="28"/>
        </w:rPr>
        <w:t>Influenced by these US experiences, new forms of collaboration, public service innovation, community anchor strategies and anchor institution developments are emerging in the Northern Powerhouse region to realise economic and social development objectives in the context of continuing reductions in publ</w:t>
      </w:r>
      <w:r w:rsidR="00883CA6">
        <w:rPr>
          <w:sz w:val="28"/>
          <w:szCs w:val="28"/>
        </w:rPr>
        <w:t>ic services funding (see Table 4</w:t>
      </w:r>
      <w:r>
        <w:rPr>
          <w:sz w:val="28"/>
          <w:szCs w:val="28"/>
        </w:rPr>
        <w:t>).</w:t>
      </w:r>
      <w:r w:rsidR="00BB139B">
        <w:rPr>
          <w:sz w:val="28"/>
          <w:szCs w:val="28"/>
        </w:rPr>
        <w:t xml:space="preserve"> </w:t>
      </w:r>
      <w:r w:rsidR="00260FF6">
        <w:rPr>
          <w:sz w:val="28"/>
          <w:szCs w:val="28"/>
        </w:rPr>
        <w:t xml:space="preserve"> </w:t>
      </w:r>
    </w:p>
    <w:p w14:paraId="79D5B050" w14:textId="196C7528" w:rsidR="00BD01FA" w:rsidRDefault="007E2607" w:rsidP="007E2607">
      <w:pPr>
        <w:widowControl w:val="0"/>
        <w:autoSpaceDE w:val="0"/>
        <w:autoSpaceDN w:val="0"/>
        <w:adjustRightInd w:val="0"/>
        <w:spacing w:after="240" w:line="240" w:lineRule="auto"/>
        <w:jc w:val="both"/>
        <w:rPr>
          <w:sz w:val="28"/>
          <w:szCs w:val="28"/>
        </w:rPr>
      </w:pPr>
      <w:r w:rsidRPr="00F40D2A">
        <w:rPr>
          <w:sz w:val="28"/>
          <w:szCs w:val="28"/>
        </w:rPr>
        <w:t xml:space="preserve">Private sector institutions sometimes display similar characteristics to Anchor Institutions, with significant potential to contribute to </w:t>
      </w:r>
      <w:r>
        <w:rPr>
          <w:sz w:val="28"/>
          <w:szCs w:val="28"/>
        </w:rPr>
        <w:t xml:space="preserve">economic and </w:t>
      </w:r>
      <w:r w:rsidRPr="00F40D2A">
        <w:rPr>
          <w:sz w:val="28"/>
          <w:szCs w:val="28"/>
        </w:rPr>
        <w:t>social development of places (Netter 2008; Commu</w:t>
      </w:r>
      <w:r>
        <w:rPr>
          <w:sz w:val="28"/>
          <w:szCs w:val="28"/>
        </w:rPr>
        <w:t xml:space="preserve">nity Wealth Organisation 2015; </w:t>
      </w:r>
      <w:proofErr w:type="spellStart"/>
      <w:r w:rsidRPr="00F40D2A">
        <w:rPr>
          <w:sz w:val="28"/>
          <w:szCs w:val="28"/>
        </w:rPr>
        <w:t>McInroy</w:t>
      </w:r>
      <w:proofErr w:type="spellEnd"/>
      <w:r w:rsidRPr="00F40D2A">
        <w:rPr>
          <w:sz w:val="28"/>
          <w:szCs w:val="28"/>
        </w:rPr>
        <w:t xml:space="preserve"> et al 2015; Penn Institute for Urban Research </w:t>
      </w:r>
      <w:proofErr w:type="spellStart"/>
      <w:r w:rsidRPr="00F40D2A">
        <w:rPr>
          <w:sz w:val="28"/>
          <w:szCs w:val="28"/>
        </w:rPr>
        <w:t>nd</w:t>
      </w:r>
      <w:proofErr w:type="spellEnd"/>
      <w:r w:rsidRPr="00F40D2A">
        <w:rPr>
          <w:sz w:val="28"/>
          <w:szCs w:val="28"/>
        </w:rPr>
        <w:t xml:space="preserve">; </w:t>
      </w:r>
      <w:proofErr w:type="spellStart"/>
      <w:r w:rsidRPr="00F40D2A">
        <w:rPr>
          <w:sz w:val="28"/>
          <w:szCs w:val="28"/>
        </w:rPr>
        <w:t>Smallbone</w:t>
      </w:r>
      <w:proofErr w:type="spellEnd"/>
      <w:r w:rsidR="00F25758">
        <w:rPr>
          <w:sz w:val="28"/>
          <w:szCs w:val="28"/>
        </w:rPr>
        <w:t xml:space="preserve">, </w:t>
      </w:r>
      <w:proofErr w:type="spellStart"/>
      <w:r w:rsidR="00F25758">
        <w:rPr>
          <w:sz w:val="28"/>
          <w:szCs w:val="28"/>
        </w:rPr>
        <w:t>Kitching</w:t>
      </w:r>
      <w:proofErr w:type="spellEnd"/>
      <w:r w:rsidR="00F25758">
        <w:rPr>
          <w:sz w:val="28"/>
          <w:szCs w:val="28"/>
        </w:rPr>
        <w:t xml:space="preserve"> and Blackburn 2015).  </w:t>
      </w:r>
      <w:r w:rsidRPr="00F40D2A">
        <w:rPr>
          <w:sz w:val="28"/>
          <w:szCs w:val="28"/>
        </w:rPr>
        <w:t>Utility companies, financial institutions and some ‘embedded’ major employers in cities or regions have been identified as having this potential and significance in their wider engagement through their assets, employment base and supply chain (The Work Foundation 2010, p1).</w:t>
      </w:r>
      <w:r w:rsidR="00E00A2D">
        <w:rPr>
          <w:sz w:val="28"/>
          <w:szCs w:val="28"/>
        </w:rPr>
        <w:t xml:space="preserve">  </w:t>
      </w:r>
      <w:r w:rsidR="009C3E18">
        <w:rPr>
          <w:sz w:val="28"/>
          <w:szCs w:val="28"/>
        </w:rPr>
        <w:t>This strategic role of large private sector businesses as major employers or headquarters in city-regions and their role and influence as magnets for investment and in the growth of supply chains or networks of small and medium si</w:t>
      </w:r>
      <w:r w:rsidR="00F25758">
        <w:rPr>
          <w:sz w:val="28"/>
          <w:szCs w:val="28"/>
        </w:rPr>
        <w:t>zed enterprises,</w:t>
      </w:r>
    </w:p>
    <w:p w14:paraId="63A6FB6E" w14:textId="77777777" w:rsidR="00BD01FA" w:rsidRDefault="00BD01FA" w:rsidP="007E2607">
      <w:pPr>
        <w:widowControl w:val="0"/>
        <w:autoSpaceDE w:val="0"/>
        <w:autoSpaceDN w:val="0"/>
        <w:adjustRightInd w:val="0"/>
        <w:spacing w:after="240" w:line="240" w:lineRule="auto"/>
        <w:jc w:val="both"/>
        <w:rPr>
          <w:sz w:val="28"/>
          <w:szCs w:val="28"/>
        </w:rPr>
      </w:pPr>
    </w:p>
    <w:p w14:paraId="74977618" w14:textId="77777777" w:rsidR="009A7C17" w:rsidRDefault="009A7C17" w:rsidP="007E2607">
      <w:pPr>
        <w:widowControl w:val="0"/>
        <w:autoSpaceDE w:val="0"/>
        <w:autoSpaceDN w:val="0"/>
        <w:adjustRightInd w:val="0"/>
        <w:spacing w:after="240" w:line="240" w:lineRule="auto"/>
        <w:jc w:val="both"/>
        <w:rPr>
          <w:sz w:val="28"/>
          <w:szCs w:val="28"/>
        </w:rPr>
      </w:pPr>
    </w:p>
    <w:p w14:paraId="1B6B0C2C" w14:textId="77777777" w:rsidR="00BD01FA" w:rsidRDefault="00BD01FA" w:rsidP="007E2607">
      <w:pPr>
        <w:widowControl w:val="0"/>
        <w:autoSpaceDE w:val="0"/>
        <w:autoSpaceDN w:val="0"/>
        <w:adjustRightInd w:val="0"/>
        <w:spacing w:after="240" w:line="240" w:lineRule="auto"/>
        <w:jc w:val="both"/>
        <w:rPr>
          <w:sz w:val="28"/>
          <w:szCs w:val="28"/>
        </w:rPr>
      </w:pPr>
    </w:p>
    <w:p w14:paraId="74BEA9A1" w14:textId="77777777" w:rsidR="00BD01FA" w:rsidRDefault="00BD01FA" w:rsidP="007E2607">
      <w:pPr>
        <w:widowControl w:val="0"/>
        <w:autoSpaceDE w:val="0"/>
        <w:autoSpaceDN w:val="0"/>
        <w:adjustRightInd w:val="0"/>
        <w:spacing w:after="240" w:line="240" w:lineRule="auto"/>
        <w:jc w:val="both"/>
        <w:rPr>
          <w:sz w:val="28"/>
          <w:szCs w:val="28"/>
        </w:rPr>
      </w:pPr>
    </w:p>
    <w:p w14:paraId="517E87CA" w14:textId="77777777" w:rsidR="00BD01FA" w:rsidRDefault="00BD01FA" w:rsidP="00BD01FA">
      <w:pPr>
        <w:widowControl w:val="0"/>
        <w:autoSpaceDE w:val="0"/>
        <w:autoSpaceDN w:val="0"/>
        <w:adjustRightInd w:val="0"/>
        <w:spacing w:after="240" w:line="240" w:lineRule="auto"/>
        <w:jc w:val="both"/>
        <w:rPr>
          <w:sz w:val="28"/>
          <w:szCs w:val="28"/>
        </w:rPr>
      </w:pPr>
      <w:proofErr w:type="gramStart"/>
      <w:r>
        <w:rPr>
          <w:sz w:val="28"/>
          <w:szCs w:val="28"/>
        </w:rPr>
        <w:t>contributes</w:t>
      </w:r>
      <w:proofErr w:type="gramEnd"/>
      <w:r>
        <w:rPr>
          <w:sz w:val="28"/>
          <w:szCs w:val="28"/>
        </w:rPr>
        <w:t xml:space="preserve"> to the development of place.  CLES (2015a) argues for businesses to act more like ‘citizens in which they are based’ to support better utilisation of the institutional assets for economic development and to address inequality’ (CLES 2015a, pp 15-16).</w:t>
      </w:r>
    </w:p>
    <w:p w14:paraId="719A77BE" w14:textId="77777777" w:rsidR="009A7C17" w:rsidRDefault="009A7C17" w:rsidP="007E2607">
      <w:pPr>
        <w:widowControl w:val="0"/>
        <w:autoSpaceDE w:val="0"/>
        <w:autoSpaceDN w:val="0"/>
        <w:adjustRightInd w:val="0"/>
        <w:spacing w:after="240" w:line="240" w:lineRule="auto"/>
        <w:jc w:val="both"/>
        <w:rPr>
          <w:sz w:val="28"/>
          <w:szCs w:val="28"/>
        </w:rPr>
      </w:pPr>
    </w:p>
    <w:tbl>
      <w:tblPr>
        <w:tblStyle w:val="TableGrid"/>
        <w:tblpPr w:leftFromText="180" w:rightFromText="180" w:vertAnchor="text" w:horzAnchor="margin" w:tblpY="-2541"/>
        <w:tblW w:w="0" w:type="auto"/>
        <w:tblLook w:val="04A0" w:firstRow="1" w:lastRow="0" w:firstColumn="1" w:lastColumn="0" w:noHBand="0" w:noVBand="1"/>
      </w:tblPr>
      <w:tblGrid>
        <w:gridCol w:w="1590"/>
        <w:gridCol w:w="2046"/>
        <w:gridCol w:w="2799"/>
        <w:gridCol w:w="1855"/>
      </w:tblGrid>
      <w:tr w:rsidR="002D1478" w14:paraId="2594C0DB" w14:textId="77777777" w:rsidTr="009A7C17">
        <w:tc>
          <w:tcPr>
            <w:tcW w:w="9016" w:type="dxa"/>
            <w:gridSpan w:val="4"/>
          </w:tcPr>
          <w:p w14:paraId="66249C80" w14:textId="68AB24D7" w:rsidR="002D1478" w:rsidRPr="00B55D91" w:rsidRDefault="002D1478" w:rsidP="009A7C17">
            <w:pPr>
              <w:jc w:val="both"/>
              <w:rPr>
                <w:b/>
                <w:sz w:val="24"/>
                <w:szCs w:val="24"/>
              </w:rPr>
            </w:pPr>
            <w:r>
              <w:rPr>
                <w:b/>
                <w:sz w:val="24"/>
                <w:szCs w:val="24"/>
              </w:rPr>
              <w:t xml:space="preserve">Table </w:t>
            </w:r>
            <w:r w:rsidR="00C43C8B">
              <w:rPr>
                <w:b/>
                <w:sz w:val="24"/>
                <w:szCs w:val="24"/>
              </w:rPr>
              <w:t>4</w:t>
            </w:r>
            <w:r w:rsidRPr="00B55D91">
              <w:rPr>
                <w:b/>
                <w:sz w:val="24"/>
                <w:szCs w:val="24"/>
              </w:rPr>
              <w:t>: Innovation in engagement of Anchor Institutions</w:t>
            </w:r>
          </w:p>
        </w:tc>
      </w:tr>
      <w:tr w:rsidR="002D1478" w14:paraId="414E72EC" w14:textId="77777777" w:rsidTr="009A7C17">
        <w:tc>
          <w:tcPr>
            <w:tcW w:w="1649" w:type="dxa"/>
          </w:tcPr>
          <w:p w14:paraId="56B749AE" w14:textId="77777777" w:rsidR="002D1478" w:rsidRPr="00B55D91" w:rsidRDefault="002D1478" w:rsidP="009A7C17">
            <w:pPr>
              <w:jc w:val="both"/>
              <w:rPr>
                <w:b/>
                <w:sz w:val="24"/>
                <w:szCs w:val="24"/>
              </w:rPr>
            </w:pPr>
            <w:r w:rsidRPr="00B55D91">
              <w:rPr>
                <w:b/>
                <w:sz w:val="24"/>
                <w:szCs w:val="24"/>
              </w:rPr>
              <w:t>Location</w:t>
            </w:r>
          </w:p>
        </w:tc>
        <w:tc>
          <w:tcPr>
            <w:tcW w:w="2215" w:type="dxa"/>
          </w:tcPr>
          <w:p w14:paraId="509273EC" w14:textId="77777777" w:rsidR="002D1478" w:rsidRPr="00B55D91" w:rsidRDefault="002D1478" w:rsidP="009A7C17">
            <w:pPr>
              <w:jc w:val="both"/>
              <w:rPr>
                <w:b/>
                <w:sz w:val="24"/>
                <w:szCs w:val="24"/>
              </w:rPr>
            </w:pPr>
            <w:r w:rsidRPr="00B55D91">
              <w:rPr>
                <w:b/>
                <w:sz w:val="24"/>
                <w:szCs w:val="24"/>
              </w:rPr>
              <w:t>Innovation Type</w:t>
            </w:r>
          </w:p>
        </w:tc>
        <w:tc>
          <w:tcPr>
            <w:tcW w:w="3151" w:type="dxa"/>
          </w:tcPr>
          <w:p w14:paraId="1D760B2A" w14:textId="77777777" w:rsidR="002D1478" w:rsidRPr="00B55D91" w:rsidRDefault="002D1478" w:rsidP="009A7C17">
            <w:pPr>
              <w:jc w:val="both"/>
              <w:rPr>
                <w:b/>
                <w:sz w:val="24"/>
                <w:szCs w:val="24"/>
              </w:rPr>
            </w:pPr>
            <w:r w:rsidRPr="00B55D91">
              <w:rPr>
                <w:b/>
                <w:sz w:val="24"/>
                <w:szCs w:val="24"/>
              </w:rPr>
              <w:t>Anchors Engaged</w:t>
            </w:r>
          </w:p>
        </w:tc>
        <w:tc>
          <w:tcPr>
            <w:tcW w:w="2001" w:type="dxa"/>
          </w:tcPr>
          <w:p w14:paraId="54970959" w14:textId="77777777" w:rsidR="002D1478" w:rsidRPr="00B55D91" w:rsidRDefault="002D1478" w:rsidP="009A7C17">
            <w:pPr>
              <w:jc w:val="both"/>
              <w:rPr>
                <w:b/>
                <w:sz w:val="24"/>
                <w:szCs w:val="24"/>
              </w:rPr>
            </w:pPr>
            <w:r w:rsidRPr="00B55D91">
              <w:rPr>
                <w:b/>
                <w:sz w:val="24"/>
                <w:szCs w:val="24"/>
              </w:rPr>
              <w:t>References</w:t>
            </w:r>
          </w:p>
        </w:tc>
      </w:tr>
      <w:tr w:rsidR="002D1478" w14:paraId="58355C9F" w14:textId="77777777" w:rsidTr="009A7C17">
        <w:tc>
          <w:tcPr>
            <w:tcW w:w="1649" w:type="dxa"/>
          </w:tcPr>
          <w:p w14:paraId="799BAE88" w14:textId="77777777" w:rsidR="002D1478" w:rsidRPr="00B55D91" w:rsidRDefault="002D1478" w:rsidP="009A7C17">
            <w:pPr>
              <w:jc w:val="both"/>
              <w:rPr>
                <w:sz w:val="24"/>
                <w:szCs w:val="24"/>
              </w:rPr>
            </w:pPr>
            <w:r w:rsidRPr="00B55D91">
              <w:rPr>
                <w:sz w:val="24"/>
                <w:szCs w:val="24"/>
              </w:rPr>
              <w:t>Leeds City Region</w:t>
            </w:r>
          </w:p>
        </w:tc>
        <w:tc>
          <w:tcPr>
            <w:tcW w:w="2215" w:type="dxa"/>
          </w:tcPr>
          <w:p w14:paraId="64839FB3" w14:textId="77777777" w:rsidR="002D1478" w:rsidRPr="00B55D91" w:rsidRDefault="002D1478" w:rsidP="009A7C17">
            <w:pPr>
              <w:jc w:val="both"/>
              <w:rPr>
                <w:sz w:val="24"/>
                <w:szCs w:val="24"/>
              </w:rPr>
            </w:pPr>
            <w:r w:rsidRPr="00B55D91">
              <w:rPr>
                <w:sz w:val="24"/>
                <w:szCs w:val="24"/>
              </w:rPr>
              <w:t>Good Growth and Procurement to address poverty</w:t>
            </w:r>
          </w:p>
        </w:tc>
        <w:tc>
          <w:tcPr>
            <w:tcW w:w="3151" w:type="dxa"/>
          </w:tcPr>
          <w:p w14:paraId="28927F74" w14:textId="77777777" w:rsidR="002D1478" w:rsidRPr="00B55D91" w:rsidRDefault="002D1478" w:rsidP="009A7C17">
            <w:pPr>
              <w:jc w:val="both"/>
              <w:rPr>
                <w:sz w:val="24"/>
                <w:szCs w:val="24"/>
              </w:rPr>
            </w:pPr>
            <w:r w:rsidRPr="00B55D91">
              <w:rPr>
                <w:sz w:val="24"/>
                <w:szCs w:val="24"/>
              </w:rPr>
              <w:t xml:space="preserve">Higher Education </w:t>
            </w:r>
          </w:p>
          <w:p w14:paraId="17304E6C" w14:textId="77777777" w:rsidR="002D1478" w:rsidRPr="00B55D91" w:rsidRDefault="002D1478" w:rsidP="009A7C17">
            <w:pPr>
              <w:jc w:val="both"/>
              <w:rPr>
                <w:sz w:val="24"/>
                <w:szCs w:val="24"/>
              </w:rPr>
            </w:pPr>
            <w:r w:rsidRPr="00B55D91">
              <w:rPr>
                <w:sz w:val="24"/>
                <w:szCs w:val="24"/>
              </w:rPr>
              <w:t xml:space="preserve">Further Education </w:t>
            </w:r>
          </w:p>
          <w:p w14:paraId="333D5170" w14:textId="77777777" w:rsidR="002D1478" w:rsidRPr="00B55D91" w:rsidRDefault="002D1478" w:rsidP="009A7C17">
            <w:pPr>
              <w:jc w:val="both"/>
              <w:rPr>
                <w:sz w:val="24"/>
                <w:szCs w:val="24"/>
              </w:rPr>
            </w:pPr>
            <w:r w:rsidRPr="00B55D91">
              <w:rPr>
                <w:sz w:val="24"/>
                <w:szCs w:val="24"/>
              </w:rPr>
              <w:t xml:space="preserve">NHS Trusts    </w:t>
            </w:r>
          </w:p>
          <w:p w14:paraId="526A051C" w14:textId="77777777" w:rsidR="002D1478" w:rsidRPr="00B55D91" w:rsidRDefault="002D1478" w:rsidP="009A7C17">
            <w:pPr>
              <w:jc w:val="both"/>
              <w:rPr>
                <w:sz w:val="24"/>
                <w:szCs w:val="24"/>
              </w:rPr>
            </w:pPr>
            <w:r w:rsidRPr="00B55D91">
              <w:rPr>
                <w:sz w:val="24"/>
                <w:szCs w:val="24"/>
              </w:rPr>
              <w:t>Clinical Commissioning Groups</w:t>
            </w:r>
          </w:p>
          <w:p w14:paraId="4852F1B1" w14:textId="77777777" w:rsidR="002D1478" w:rsidRPr="00B55D91" w:rsidRDefault="002D1478" w:rsidP="009A7C17">
            <w:pPr>
              <w:jc w:val="both"/>
              <w:rPr>
                <w:sz w:val="24"/>
                <w:szCs w:val="24"/>
              </w:rPr>
            </w:pPr>
            <w:r w:rsidRPr="00B55D91">
              <w:rPr>
                <w:sz w:val="24"/>
                <w:szCs w:val="24"/>
              </w:rPr>
              <w:t>Housing Associations</w:t>
            </w:r>
          </w:p>
          <w:p w14:paraId="310EEA12" w14:textId="77777777" w:rsidR="002D1478" w:rsidRPr="00B55D91" w:rsidRDefault="002D1478" w:rsidP="009A7C17">
            <w:pPr>
              <w:jc w:val="both"/>
              <w:rPr>
                <w:sz w:val="24"/>
                <w:szCs w:val="24"/>
              </w:rPr>
            </w:pPr>
            <w:r w:rsidRPr="00B55D91">
              <w:rPr>
                <w:sz w:val="24"/>
                <w:szCs w:val="24"/>
              </w:rPr>
              <w:t>Transport Provider</w:t>
            </w:r>
          </w:p>
        </w:tc>
        <w:tc>
          <w:tcPr>
            <w:tcW w:w="2001" w:type="dxa"/>
          </w:tcPr>
          <w:p w14:paraId="2436750E" w14:textId="77777777" w:rsidR="002D1478" w:rsidRPr="00B55D91" w:rsidRDefault="002D1478" w:rsidP="009A7C17">
            <w:pPr>
              <w:jc w:val="both"/>
              <w:rPr>
                <w:sz w:val="24"/>
                <w:szCs w:val="24"/>
              </w:rPr>
            </w:pPr>
            <w:r w:rsidRPr="00B55D91">
              <w:rPr>
                <w:sz w:val="24"/>
                <w:szCs w:val="24"/>
              </w:rPr>
              <w:t>J</w:t>
            </w:r>
            <w:r>
              <w:rPr>
                <w:sz w:val="24"/>
                <w:szCs w:val="24"/>
              </w:rPr>
              <w:t xml:space="preserve">oseph </w:t>
            </w:r>
            <w:r w:rsidRPr="00B55D91">
              <w:rPr>
                <w:sz w:val="24"/>
                <w:szCs w:val="24"/>
              </w:rPr>
              <w:t>R</w:t>
            </w:r>
            <w:r>
              <w:rPr>
                <w:sz w:val="24"/>
                <w:szCs w:val="24"/>
              </w:rPr>
              <w:t xml:space="preserve">owntree </w:t>
            </w:r>
            <w:r w:rsidRPr="00B55D91">
              <w:rPr>
                <w:sz w:val="24"/>
                <w:szCs w:val="24"/>
              </w:rPr>
              <w:t>F</w:t>
            </w:r>
            <w:r>
              <w:rPr>
                <w:sz w:val="24"/>
                <w:szCs w:val="24"/>
              </w:rPr>
              <w:t>unded Research 2015</w:t>
            </w:r>
          </w:p>
        </w:tc>
      </w:tr>
      <w:tr w:rsidR="002D1478" w14:paraId="4BD50B83" w14:textId="77777777" w:rsidTr="009A7C17">
        <w:tc>
          <w:tcPr>
            <w:tcW w:w="1649" w:type="dxa"/>
          </w:tcPr>
          <w:p w14:paraId="122F24FE" w14:textId="77777777" w:rsidR="002D1478" w:rsidRPr="00B55D91" w:rsidRDefault="002D1478" w:rsidP="009A7C17">
            <w:pPr>
              <w:jc w:val="both"/>
              <w:rPr>
                <w:sz w:val="24"/>
                <w:szCs w:val="24"/>
              </w:rPr>
            </w:pPr>
            <w:r w:rsidRPr="00B55D91">
              <w:rPr>
                <w:sz w:val="24"/>
                <w:szCs w:val="24"/>
              </w:rPr>
              <w:t>Preston</w:t>
            </w:r>
          </w:p>
        </w:tc>
        <w:tc>
          <w:tcPr>
            <w:tcW w:w="2215" w:type="dxa"/>
          </w:tcPr>
          <w:p w14:paraId="35AAE6F6" w14:textId="77777777" w:rsidR="002D1478" w:rsidRPr="00B55D91" w:rsidRDefault="002D1478" w:rsidP="009A7C17">
            <w:pPr>
              <w:jc w:val="both"/>
              <w:rPr>
                <w:sz w:val="24"/>
                <w:szCs w:val="24"/>
              </w:rPr>
            </w:pPr>
            <w:r w:rsidRPr="00B55D91">
              <w:rPr>
                <w:sz w:val="24"/>
                <w:szCs w:val="24"/>
              </w:rPr>
              <w:t xml:space="preserve">Anchor Procurement </w:t>
            </w:r>
          </w:p>
        </w:tc>
        <w:tc>
          <w:tcPr>
            <w:tcW w:w="3151" w:type="dxa"/>
          </w:tcPr>
          <w:p w14:paraId="786B382A" w14:textId="77777777" w:rsidR="002D1478" w:rsidRPr="00B55D91" w:rsidRDefault="002D1478" w:rsidP="009A7C17">
            <w:pPr>
              <w:jc w:val="both"/>
              <w:rPr>
                <w:sz w:val="24"/>
                <w:szCs w:val="24"/>
              </w:rPr>
            </w:pPr>
            <w:r>
              <w:rPr>
                <w:sz w:val="24"/>
                <w:szCs w:val="24"/>
              </w:rPr>
              <w:t xml:space="preserve">Good growth fostered by local Procurement </w:t>
            </w:r>
          </w:p>
        </w:tc>
        <w:tc>
          <w:tcPr>
            <w:tcW w:w="2001" w:type="dxa"/>
          </w:tcPr>
          <w:p w14:paraId="4456AA6E" w14:textId="77777777" w:rsidR="002D1478" w:rsidRPr="00B55D91" w:rsidRDefault="002D1478" w:rsidP="009A7C17">
            <w:pPr>
              <w:jc w:val="both"/>
              <w:rPr>
                <w:sz w:val="24"/>
                <w:szCs w:val="24"/>
              </w:rPr>
            </w:pPr>
            <w:r w:rsidRPr="00B55D91">
              <w:rPr>
                <w:sz w:val="24"/>
                <w:szCs w:val="24"/>
              </w:rPr>
              <w:t>CLES (2015</w:t>
            </w:r>
            <w:r>
              <w:rPr>
                <w:sz w:val="24"/>
                <w:szCs w:val="24"/>
              </w:rPr>
              <w:t>b</w:t>
            </w:r>
            <w:r w:rsidRPr="00B55D91">
              <w:rPr>
                <w:sz w:val="24"/>
                <w:szCs w:val="24"/>
              </w:rPr>
              <w:t>)</w:t>
            </w:r>
          </w:p>
        </w:tc>
      </w:tr>
      <w:tr w:rsidR="002D1478" w14:paraId="67F0AD22" w14:textId="77777777" w:rsidTr="009A7C17">
        <w:tc>
          <w:tcPr>
            <w:tcW w:w="1649" w:type="dxa"/>
          </w:tcPr>
          <w:p w14:paraId="47277A5B" w14:textId="77777777" w:rsidR="002D1478" w:rsidRPr="00B55D91" w:rsidRDefault="002D1478" w:rsidP="009A7C17">
            <w:pPr>
              <w:jc w:val="both"/>
              <w:rPr>
                <w:sz w:val="24"/>
                <w:szCs w:val="24"/>
              </w:rPr>
            </w:pPr>
            <w:r w:rsidRPr="00B55D91">
              <w:rPr>
                <w:sz w:val="24"/>
                <w:szCs w:val="24"/>
              </w:rPr>
              <w:t xml:space="preserve">Wakefield </w:t>
            </w:r>
            <w:r>
              <w:rPr>
                <w:sz w:val="24"/>
                <w:szCs w:val="24"/>
              </w:rPr>
              <w:t xml:space="preserve">District Council </w:t>
            </w:r>
            <w:r w:rsidRPr="00B55D91">
              <w:rPr>
                <w:sz w:val="24"/>
                <w:szCs w:val="24"/>
              </w:rPr>
              <w:t>and Calderdale</w:t>
            </w:r>
            <w:r>
              <w:rPr>
                <w:sz w:val="24"/>
                <w:szCs w:val="24"/>
              </w:rPr>
              <w:t xml:space="preserve"> County Council</w:t>
            </w:r>
          </w:p>
        </w:tc>
        <w:tc>
          <w:tcPr>
            <w:tcW w:w="2215" w:type="dxa"/>
          </w:tcPr>
          <w:p w14:paraId="508DBFC3" w14:textId="77777777" w:rsidR="002D1478" w:rsidRPr="00B55D91" w:rsidRDefault="002D1478" w:rsidP="009A7C17">
            <w:pPr>
              <w:jc w:val="both"/>
              <w:rPr>
                <w:sz w:val="24"/>
                <w:szCs w:val="24"/>
              </w:rPr>
            </w:pPr>
            <w:r w:rsidRPr="00B55D91">
              <w:rPr>
                <w:sz w:val="24"/>
                <w:szCs w:val="24"/>
              </w:rPr>
              <w:t>Community Anchor Strategy</w:t>
            </w:r>
          </w:p>
        </w:tc>
        <w:tc>
          <w:tcPr>
            <w:tcW w:w="3151" w:type="dxa"/>
          </w:tcPr>
          <w:p w14:paraId="69027959" w14:textId="77777777" w:rsidR="002D1478" w:rsidRPr="00B55D91" w:rsidRDefault="002D1478" w:rsidP="009A7C17">
            <w:pPr>
              <w:jc w:val="both"/>
              <w:rPr>
                <w:sz w:val="24"/>
                <w:szCs w:val="24"/>
              </w:rPr>
            </w:pPr>
            <w:r>
              <w:rPr>
                <w:sz w:val="24"/>
                <w:szCs w:val="24"/>
              </w:rPr>
              <w:t xml:space="preserve">Development of strategies to utilise community anchors for social development </w:t>
            </w:r>
          </w:p>
        </w:tc>
        <w:tc>
          <w:tcPr>
            <w:tcW w:w="2001" w:type="dxa"/>
          </w:tcPr>
          <w:p w14:paraId="1EF63F8C" w14:textId="77777777" w:rsidR="002D1478" w:rsidRPr="00B55D91" w:rsidRDefault="002D1478" w:rsidP="009A7C17">
            <w:pPr>
              <w:jc w:val="both"/>
              <w:rPr>
                <w:sz w:val="24"/>
                <w:szCs w:val="24"/>
              </w:rPr>
            </w:pPr>
            <w:r w:rsidRPr="00B55D91">
              <w:rPr>
                <w:sz w:val="24"/>
                <w:szCs w:val="24"/>
              </w:rPr>
              <w:t xml:space="preserve">Wakefield </w:t>
            </w:r>
            <w:r>
              <w:rPr>
                <w:sz w:val="24"/>
                <w:szCs w:val="24"/>
              </w:rPr>
              <w:t xml:space="preserve">District Council </w:t>
            </w:r>
            <w:r w:rsidRPr="00B55D91">
              <w:rPr>
                <w:sz w:val="24"/>
                <w:szCs w:val="24"/>
              </w:rPr>
              <w:t>and Calderdale</w:t>
            </w:r>
            <w:r>
              <w:rPr>
                <w:sz w:val="24"/>
                <w:szCs w:val="24"/>
              </w:rPr>
              <w:t xml:space="preserve"> County Council</w:t>
            </w:r>
          </w:p>
        </w:tc>
      </w:tr>
      <w:tr w:rsidR="002D1478" w14:paraId="4C777FC8" w14:textId="77777777" w:rsidTr="009A7C17">
        <w:tc>
          <w:tcPr>
            <w:tcW w:w="1649" w:type="dxa"/>
          </w:tcPr>
          <w:p w14:paraId="172ED1F0" w14:textId="77777777" w:rsidR="002D1478" w:rsidRPr="00B55D91" w:rsidRDefault="002D1478" w:rsidP="009A7C17">
            <w:pPr>
              <w:jc w:val="both"/>
              <w:rPr>
                <w:sz w:val="24"/>
                <w:szCs w:val="24"/>
              </w:rPr>
            </w:pPr>
            <w:r w:rsidRPr="00B55D91">
              <w:rPr>
                <w:sz w:val="24"/>
                <w:szCs w:val="24"/>
              </w:rPr>
              <w:t>Greater Manchester</w:t>
            </w:r>
          </w:p>
        </w:tc>
        <w:tc>
          <w:tcPr>
            <w:tcW w:w="2215" w:type="dxa"/>
          </w:tcPr>
          <w:p w14:paraId="7A389CD4" w14:textId="77777777" w:rsidR="002D1478" w:rsidRPr="00B55D91" w:rsidRDefault="002D1478" w:rsidP="009A7C17">
            <w:pPr>
              <w:jc w:val="both"/>
              <w:rPr>
                <w:sz w:val="24"/>
                <w:szCs w:val="24"/>
              </w:rPr>
            </w:pPr>
            <w:r w:rsidRPr="00B55D91">
              <w:rPr>
                <w:sz w:val="24"/>
                <w:szCs w:val="24"/>
              </w:rPr>
              <w:t>Health Service Innovation</w:t>
            </w:r>
          </w:p>
        </w:tc>
        <w:tc>
          <w:tcPr>
            <w:tcW w:w="3151" w:type="dxa"/>
          </w:tcPr>
          <w:p w14:paraId="68E57D81" w14:textId="77777777" w:rsidR="002D1478" w:rsidRPr="00B55D91" w:rsidRDefault="002D1478" w:rsidP="009A7C17">
            <w:pPr>
              <w:jc w:val="both"/>
              <w:rPr>
                <w:sz w:val="24"/>
                <w:szCs w:val="24"/>
              </w:rPr>
            </w:pPr>
            <w:r>
              <w:rPr>
                <w:sz w:val="24"/>
                <w:szCs w:val="24"/>
              </w:rPr>
              <w:t>Health service integration  through innovation and partnership</w:t>
            </w:r>
          </w:p>
        </w:tc>
        <w:tc>
          <w:tcPr>
            <w:tcW w:w="2001" w:type="dxa"/>
          </w:tcPr>
          <w:p w14:paraId="470CADE2" w14:textId="77777777" w:rsidR="002D1478" w:rsidRPr="00B55D91" w:rsidRDefault="002D1478" w:rsidP="009A7C17">
            <w:pPr>
              <w:jc w:val="both"/>
              <w:rPr>
                <w:sz w:val="24"/>
                <w:szCs w:val="24"/>
              </w:rPr>
            </w:pPr>
            <w:r>
              <w:rPr>
                <w:sz w:val="24"/>
                <w:szCs w:val="24"/>
              </w:rPr>
              <w:t>GMCA 2015</w:t>
            </w:r>
          </w:p>
        </w:tc>
      </w:tr>
    </w:tbl>
    <w:p w14:paraId="7E2C256C" w14:textId="77777777" w:rsidR="00BD01FA" w:rsidRDefault="00BD01FA" w:rsidP="00AA23FA">
      <w:pPr>
        <w:widowControl w:val="0"/>
        <w:autoSpaceDE w:val="0"/>
        <w:autoSpaceDN w:val="0"/>
        <w:adjustRightInd w:val="0"/>
        <w:spacing w:after="240" w:line="240" w:lineRule="auto"/>
        <w:jc w:val="both"/>
        <w:rPr>
          <w:b/>
          <w:sz w:val="28"/>
          <w:szCs w:val="28"/>
        </w:rPr>
      </w:pPr>
    </w:p>
    <w:p w14:paraId="17FA113D" w14:textId="6F740768" w:rsidR="006E3311" w:rsidRPr="006E3311" w:rsidRDefault="006E3311" w:rsidP="00AA23FA">
      <w:pPr>
        <w:widowControl w:val="0"/>
        <w:autoSpaceDE w:val="0"/>
        <w:autoSpaceDN w:val="0"/>
        <w:adjustRightInd w:val="0"/>
        <w:spacing w:after="240" w:line="240" w:lineRule="auto"/>
        <w:jc w:val="both"/>
        <w:rPr>
          <w:b/>
          <w:sz w:val="28"/>
          <w:szCs w:val="28"/>
        </w:rPr>
      </w:pPr>
      <w:r w:rsidRPr="006E3311">
        <w:rPr>
          <w:b/>
          <w:sz w:val="28"/>
          <w:szCs w:val="28"/>
        </w:rPr>
        <w:lastRenderedPageBreak/>
        <w:t xml:space="preserve">Conclusions </w:t>
      </w:r>
    </w:p>
    <w:p w14:paraId="1522D500" w14:textId="2A7E734F" w:rsidR="00AA23FA" w:rsidRDefault="00C2327C" w:rsidP="00AA23FA">
      <w:pPr>
        <w:widowControl w:val="0"/>
        <w:autoSpaceDE w:val="0"/>
        <w:autoSpaceDN w:val="0"/>
        <w:adjustRightInd w:val="0"/>
        <w:spacing w:after="240" w:line="240" w:lineRule="auto"/>
        <w:jc w:val="both"/>
        <w:rPr>
          <w:sz w:val="28"/>
          <w:szCs w:val="28"/>
        </w:rPr>
      </w:pPr>
      <w:r>
        <w:rPr>
          <w:sz w:val="28"/>
          <w:szCs w:val="28"/>
        </w:rPr>
        <w:t xml:space="preserve">This </w:t>
      </w:r>
      <w:r w:rsidR="00F53E6F">
        <w:rPr>
          <w:sz w:val="28"/>
          <w:szCs w:val="28"/>
        </w:rPr>
        <w:t xml:space="preserve">early </w:t>
      </w:r>
      <w:r>
        <w:rPr>
          <w:sz w:val="28"/>
          <w:szCs w:val="28"/>
        </w:rPr>
        <w:t xml:space="preserve">analysis of the Northern Powerhouse </w:t>
      </w:r>
      <w:r w:rsidR="008779A1">
        <w:rPr>
          <w:sz w:val="28"/>
          <w:szCs w:val="28"/>
        </w:rPr>
        <w:t>region has</w:t>
      </w:r>
      <w:r w:rsidR="00D10BEE">
        <w:rPr>
          <w:sz w:val="28"/>
          <w:szCs w:val="28"/>
        </w:rPr>
        <w:t xml:space="preserve"> focused on </w:t>
      </w:r>
      <w:r w:rsidR="008779A1">
        <w:rPr>
          <w:sz w:val="28"/>
          <w:szCs w:val="28"/>
        </w:rPr>
        <w:t>Anchor Institutions</w:t>
      </w:r>
      <w:r w:rsidR="003F222B">
        <w:rPr>
          <w:sz w:val="28"/>
          <w:szCs w:val="28"/>
        </w:rPr>
        <w:t xml:space="preserve"> and their significant contribution and scale.   A greater focus on institutions and i</w:t>
      </w:r>
      <w:r w:rsidR="00AA23FA">
        <w:rPr>
          <w:sz w:val="28"/>
          <w:szCs w:val="28"/>
        </w:rPr>
        <w:t>ntegrated place-based and people–based policy will be important in realising the full potential of the Northern Powerhouse.  Understanding and actively developing the vital role of anchor institutions as components, nodes or networks within this urban and regional system will support a more aligned and sustainable vision of place-based regional economic, social and environmental development to be realised.</w:t>
      </w:r>
      <w:r w:rsidR="00724264">
        <w:rPr>
          <w:sz w:val="28"/>
          <w:szCs w:val="28"/>
        </w:rPr>
        <w:t xml:space="preserve"> The ongoing public sector funding reductions will have a major impact on some Anchor Institutions and </w:t>
      </w:r>
      <w:r w:rsidR="00EE2DFF">
        <w:rPr>
          <w:sz w:val="28"/>
          <w:szCs w:val="28"/>
        </w:rPr>
        <w:t>the necessity for public service transformation and reform.</w:t>
      </w:r>
      <w:r w:rsidR="0067445E">
        <w:rPr>
          <w:sz w:val="28"/>
          <w:szCs w:val="28"/>
        </w:rPr>
        <w:t xml:space="preserve">  It is important to understand how these public services can </w:t>
      </w:r>
      <w:r w:rsidR="00740A41">
        <w:rPr>
          <w:sz w:val="28"/>
          <w:szCs w:val="28"/>
        </w:rPr>
        <w:t>be maintained</w:t>
      </w:r>
      <w:r w:rsidR="0067445E">
        <w:rPr>
          <w:sz w:val="28"/>
          <w:szCs w:val="28"/>
        </w:rPr>
        <w:t xml:space="preserve"> utilising the assets of Anchor Institutions of all types, including community and private sector institutions.</w:t>
      </w:r>
      <w:r w:rsidR="00740A41">
        <w:rPr>
          <w:sz w:val="28"/>
          <w:szCs w:val="28"/>
        </w:rPr>
        <w:t xml:space="preserve"> These Anchors contribute substantially to the fundamental requirements of place and sustainable communities which is important for future economic growth over the long run.</w:t>
      </w:r>
    </w:p>
    <w:p w14:paraId="3BDDB5E3" w14:textId="31F15447" w:rsidR="00BE50C7" w:rsidRDefault="006E3311" w:rsidP="00176E36">
      <w:pPr>
        <w:jc w:val="both"/>
      </w:pPr>
      <w:r w:rsidRPr="00BD391D">
        <w:rPr>
          <w:sz w:val="28"/>
          <w:szCs w:val="28"/>
        </w:rPr>
        <w:t xml:space="preserve">Place-based policy and practice of these Anchor Institutions have the potential to support a Northern Powerhouse that is not only prosperous, efficient and productive but that delivers a distinctive approach to shared sustainable economic, social and environmental value to re-balance quality of life for all. The risks and consequences otherwise are stark (RSA 2014, p 10; United Nations 2010).  </w:t>
      </w:r>
    </w:p>
    <w:p w14:paraId="43978F0B" w14:textId="77777777" w:rsidR="00BE50C7" w:rsidRDefault="00BE50C7" w:rsidP="006E3311"/>
    <w:p w14:paraId="75A2A277" w14:textId="04FC4BA5" w:rsidR="00440F97" w:rsidRPr="005009C8" w:rsidRDefault="001445DD" w:rsidP="002B6914">
      <w:pPr>
        <w:jc w:val="both"/>
        <w:rPr>
          <w:b/>
          <w:sz w:val="28"/>
          <w:szCs w:val="28"/>
        </w:rPr>
      </w:pPr>
      <w:r w:rsidRPr="00D435BF">
        <w:rPr>
          <w:b/>
          <w:sz w:val="28"/>
          <w:szCs w:val="28"/>
        </w:rPr>
        <w:t>Bibliography</w:t>
      </w:r>
    </w:p>
    <w:p w14:paraId="7B3FB31A" w14:textId="49A582BE" w:rsidR="00440F97" w:rsidRDefault="00440F97" w:rsidP="002B6914">
      <w:pPr>
        <w:jc w:val="both"/>
        <w:rPr>
          <w:sz w:val="28"/>
          <w:szCs w:val="28"/>
        </w:rPr>
      </w:pPr>
      <w:r w:rsidRPr="00440F97">
        <w:rPr>
          <w:sz w:val="28"/>
          <w:szCs w:val="28"/>
        </w:rPr>
        <w:t xml:space="preserve">Amin, A., &amp; Thrift, N. (1995) ‘Institutional issues for the European regions: from markets and plans to socioeconomics and powers of association’, Economy and Society 24.1, pp41-66  </w:t>
      </w:r>
    </w:p>
    <w:p w14:paraId="57A25CD3" w14:textId="1B02068D" w:rsidR="00992ADB" w:rsidRDefault="00992ADB" w:rsidP="003B5211">
      <w:pPr>
        <w:widowControl w:val="0"/>
        <w:autoSpaceDE w:val="0"/>
        <w:autoSpaceDN w:val="0"/>
        <w:adjustRightInd w:val="0"/>
        <w:spacing w:after="240" w:line="240" w:lineRule="auto"/>
        <w:rPr>
          <w:sz w:val="28"/>
          <w:szCs w:val="28"/>
        </w:rPr>
      </w:pPr>
      <w:r>
        <w:rPr>
          <w:sz w:val="28"/>
          <w:szCs w:val="28"/>
        </w:rPr>
        <w:t>Beer A. and Lester L (2015) ‘</w:t>
      </w:r>
      <w:r w:rsidRPr="00992ADB">
        <w:rPr>
          <w:sz w:val="28"/>
          <w:szCs w:val="28"/>
        </w:rPr>
        <w:t xml:space="preserve">Institutional thickness and institutional effectiveness: developing regional indices for policy and practice in </w:t>
      </w:r>
      <w:proofErr w:type="gramStart"/>
      <w:r w:rsidRPr="00992ADB">
        <w:rPr>
          <w:sz w:val="28"/>
          <w:szCs w:val="28"/>
        </w:rPr>
        <w:t>Australia</w:t>
      </w:r>
      <w:r>
        <w:rPr>
          <w:sz w:val="28"/>
          <w:szCs w:val="28"/>
        </w:rPr>
        <w:t>’</w:t>
      </w:r>
      <w:r w:rsidRPr="00992ADB">
        <w:rPr>
          <w:sz w:val="28"/>
          <w:szCs w:val="28"/>
        </w:rPr>
        <w:t xml:space="preserve"> </w:t>
      </w:r>
      <w:r w:rsidR="00564825">
        <w:rPr>
          <w:sz w:val="28"/>
          <w:szCs w:val="28"/>
        </w:rPr>
        <w:t>,</w:t>
      </w:r>
      <w:proofErr w:type="gramEnd"/>
      <w:r w:rsidR="00564825">
        <w:rPr>
          <w:sz w:val="28"/>
          <w:szCs w:val="28"/>
        </w:rPr>
        <w:t xml:space="preserve"> Regional Studies, Regional Science,</w:t>
      </w:r>
      <w:r w:rsidR="00564825" w:rsidRPr="00564825">
        <w:rPr>
          <w:sz w:val="28"/>
          <w:szCs w:val="28"/>
        </w:rPr>
        <w:t xml:space="preserve"> 2:1, 204-227 </w:t>
      </w:r>
    </w:p>
    <w:p w14:paraId="5BC4C2A7" w14:textId="078CC662" w:rsidR="00341286" w:rsidRDefault="00D55612" w:rsidP="002B6914">
      <w:pPr>
        <w:contextualSpacing/>
        <w:jc w:val="both"/>
        <w:rPr>
          <w:sz w:val="28"/>
          <w:szCs w:val="28"/>
        </w:rPr>
      </w:pPr>
      <w:r w:rsidRPr="00D55612">
        <w:rPr>
          <w:sz w:val="28"/>
          <w:szCs w:val="28"/>
        </w:rPr>
        <w:t xml:space="preserve">Birch E. L. (2014) ‘Anchor Institutions in the Northeast </w:t>
      </w:r>
      <w:proofErr w:type="spellStart"/>
      <w:r w:rsidRPr="00D55612">
        <w:rPr>
          <w:sz w:val="28"/>
          <w:szCs w:val="28"/>
        </w:rPr>
        <w:t>Megagregion</w:t>
      </w:r>
      <w:proofErr w:type="spellEnd"/>
      <w:r w:rsidRPr="00D55612">
        <w:rPr>
          <w:sz w:val="28"/>
          <w:szCs w:val="28"/>
        </w:rPr>
        <w:t xml:space="preserve">: An Important But not Fully Realized Resource’, Chapter 11, at page 2017 in Watcher S.M. and </w:t>
      </w:r>
      <w:proofErr w:type="spellStart"/>
      <w:r w:rsidRPr="00D55612">
        <w:rPr>
          <w:sz w:val="28"/>
          <w:szCs w:val="28"/>
        </w:rPr>
        <w:t>Zeuli</w:t>
      </w:r>
      <w:proofErr w:type="spellEnd"/>
      <w:r w:rsidRPr="00D55612">
        <w:rPr>
          <w:sz w:val="28"/>
          <w:szCs w:val="28"/>
        </w:rPr>
        <w:t xml:space="preserve"> K. A. (</w:t>
      </w:r>
      <w:proofErr w:type="spellStart"/>
      <w:r w:rsidRPr="00D55612">
        <w:rPr>
          <w:sz w:val="28"/>
          <w:szCs w:val="28"/>
        </w:rPr>
        <w:t>Eds</w:t>
      </w:r>
      <w:proofErr w:type="spellEnd"/>
      <w:r w:rsidRPr="00D55612">
        <w:rPr>
          <w:sz w:val="28"/>
          <w:szCs w:val="28"/>
        </w:rPr>
        <w:t>) (2014) ‘Revitalizing American Cities’, University of Pennsylvania Press.</w:t>
      </w:r>
    </w:p>
    <w:p w14:paraId="3EA34D1B" w14:textId="77777777" w:rsidR="00DC2ADA" w:rsidRDefault="00DC2ADA" w:rsidP="002B6914">
      <w:pPr>
        <w:contextualSpacing/>
        <w:jc w:val="both"/>
        <w:rPr>
          <w:sz w:val="28"/>
          <w:szCs w:val="28"/>
        </w:rPr>
      </w:pPr>
    </w:p>
    <w:p w14:paraId="6AC98748" w14:textId="4B7B1C32" w:rsidR="002B6914" w:rsidRDefault="002B6914" w:rsidP="002B6914">
      <w:pPr>
        <w:jc w:val="both"/>
        <w:rPr>
          <w:sz w:val="28"/>
          <w:szCs w:val="28"/>
        </w:rPr>
      </w:pPr>
      <w:proofErr w:type="spellStart"/>
      <w:r w:rsidRPr="002B6914">
        <w:rPr>
          <w:sz w:val="28"/>
          <w:szCs w:val="28"/>
        </w:rPr>
        <w:t>Boschma</w:t>
      </w:r>
      <w:proofErr w:type="spellEnd"/>
      <w:r w:rsidRPr="002B6914">
        <w:rPr>
          <w:sz w:val="28"/>
          <w:szCs w:val="28"/>
        </w:rPr>
        <w:t xml:space="preserve"> R. (2015) ‘Towards an Evolutionary Perspective on Regional Resilience’, Vol.49, No. 5, 733-751, Routledge, Taylor &amp; Francis Group, Regional Studies Association</w:t>
      </w:r>
    </w:p>
    <w:p w14:paraId="25E07F3A" w14:textId="0398B0A3" w:rsidR="0038362B" w:rsidRDefault="0038362B" w:rsidP="002B6914">
      <w:pPr>
        <w:jc w:val="both"/>
        <w:rPr>
          <w:sz w:val="28"/>
          <w:szCs w:val="28"/>
        </w:rPr>
      </w:pPr>
      <w:r>
        <w:rPr>
          <w:sz w:val="28"/>
          <w:szCs w:val="28"/>
        </w:rPr>
        <w:t xml:space="preserve">Brenner A. (1998) ‘Global Cities, </w:t>
      </w:r>
      <w:proofErr w:type="spellStart"/>
      <w:r>
        <w:rPr>
          <w:sz w:val="28"/>
          <w:szCs w:val="28"/>
        </w:rPr>
        <w:t>Glocal</w:t>
      </w:r>
      <w:proofErr w:type="spellEnd"/>
      <w:r>
        <w:rPr>
          <w:sz w:val="28"/>
          <w:szCs w:val="28"/>
        </w:rPr>
        <w:t xml:space="preserve"> States’,</w:t>
      </w:r>
      <w:r w:rsidRPr="0038362B">
        <w:t xml:space="preserve"> </w:t>
      </w:r>
      <w:r w:rsidRPr="0038362B">
        <w:rPr>
          <w:sz w:val="28"/>
          <w:szCs w:val="28"/>
        </w:rPr>
        <w:t xml:space="preserve">Review of International Political Economy 5:1 </w:t>
      </w:r>
      <w:proofErr w:type="gramStart"/>
      <w:r w:rsidRPr="0038362B">
        <w:rPr>
          <w:sz w:val="28"/>
          <w:szCs w:val="28"/>
        </w:rPr>
        <w:t>Spring</w:t>
      </w:r>
      <w:proofErr w:type="gramEnd"/>
      <w:r w:rsidRPr="0038362B">
        <w:rPr>
          <w:sz w:val="28"/>
          <w:szCs w:val="28"/>
        </w:rPr>
        <w:t xml:space="preserve"> 1998: 1–37</w:t>
      </w:r>
    </w:p>
    <w:p w14:paraId="10E47822" w14:textId="39AF5728" w:rsidR="00B72DBB" w:rsidRDefault="00B72DBB" w:rsidP="007F7E59">
      <w:pPr>
        <w:rPr>
          <w:sz w:val="28"/>
          <w:szCs w:val="28"/>
        </w:rPr>
      </w:pPr>
      <w:r>
        <w:rPr>
          <w:sz w:val="28"/>
          <w:szCs w:val="28"/>
        </w:rPr>
        <w:t xml:space="preserve">Centre for Cities (2015) </w:t>
      </w:r>
      <w:proofErr w:type="gramStart"/>
      <w:r>
        <w:rPr>
          <w:sz w:val="28"/>
          <w:szCs w:val="28"/>
        </w:rPr>
        <w:t>‘</w:t>
      </w:r>
      <w:r w:rsidR="00BA1D59" w:rsidRPr="00BA1D59">
        <w:rPr>
          <w:sz w:val="28"/>
          <w:szCs w:val="28"/>
        </w:rPr>
        <w:t xml:space="preserve"> ‘Cities</w:t>
      </w:r>
      <w:proofErr w:type="gramEnd"/>
      <w:r w:rsidR="00BA1D59" w:rsidRPr="00BA1D59">
        <w:rPr>
          <w:sz w:val="28"/>
          <w:szCs w:val="28"/>
        </w:rPr>
        <w:t xml:space="preserve"> O</w:t>
      </w:r>
      <w:r w:rsidR="00BA1D59">
        <w:rPr>
          <w:sz w:val="28"/>
          <w:szCs w:val="28"/>
        </w:rPr>
        <w:t>utlook 2015’, Centre for Cities</w:t>
      </w:r>
      <w:r w:rsidR="00BA1D59" w:rsidRPr="00BA1D59">
        <w:rPr>
          <w:sz w:val="28"/>
          <w:szCs w:val="28"/>
        </w:rPr>
        <w:t xml:space="preserve"> </w:t>
      </w:r>
    </w:p>
    <w:p w14:paraId="19D1E4CB" w14:textId="2B048118" w:rsidR="00DC2ADA" w:rsidRPr="002B6914" w:rsidRDefault="00DC2ADA" w:rsidP="007F7E59">
      <w:pPr>
        <w:rPr>
          <w:sz w:val="28"/>
          <w:szCs w:val="28"/>
        </w:rPr>
      </w:pPr>
      <w:r>
        <w:rPr>
          <w:sz w:val="28"/>
          <w:szCs w:val="28"/>
        </w:rPr>
        <w:t xml:space="preserve">Centre for Cities (2015) ‘Northern Powerhouse factsheet: </w:t>
      </w:r>
      <w:r w:rsidRPr="00DC2ADA">
        <w:rPr>
          <w:sz w:val="28"/>
          <w:szCs w:val="28"/>
        </w:rPr>
        <w:t xml:space="preserve">Key figures on the city regions in the Northern </w:t>
      </w:r>
      <w:r>
        <w:rPr>
          <w:sz w:val="28"/>
          <w:szCs w:val="28"/>
        </w:rPr>
        <w:t>Powerhouse’ June 2015, Centre for Cities</w:t>
      </w:r>
    </w:p>
    <w:p w14:paraId="591D0929" w14:textId="284989C1" w:rsidR="00273F69" w:rsidRDefault="00B00E61" w:rsidP="001445DD">
      <w:pPr>
        <w:jc w:val="both"/>
        <w:rPr>
          <w:sz w:val="28"/>
          <w:szCs w:val="28"/>
        </w:rPr>
      </w:pPr>
      <w:r>
        <w:rPr>
          <w:sz w:val="28"/>
          <w:szCs w:val="28"/>
        </w:rPr>
        <w:t>Centre for Local Economic Strategies [CLES] (2015</w:t>
      </w:r>
      <w:r w:rsidR="0069608B">
        <w:rPr>
          <w:sz w:val="28"/>
          <w:szCs w:val="28"/>
        </w:rPr>
        <w:t>a</w:t>
      </w:r>
      <w:r>
        <w:rPr>
          <w:sz w:val="28"/>
          <w:szCs w:val="28"/>
        </w:rPr>
        <w:t xml:space="preserve">) ‘Building a new Local Economy: Lessons from the United States’, CLES, </w:t>
      </w:r>
    </w:p>
    <w:p w14:paraId="4574C2BF" w14:textId="52FD94B4" w:rsidR="007A10B6" w:rsidRDefault="007A10B6" w:rsidP="001445DD">
      <w:pPr>
        <w:jc w:val="both"/>
        <w:rPr>
          <w:sz w:val="28"/>
          <w:szCs w:val="28"/>
        </w:rPr>
      </w:pPr>
      <w:r>
        <w:rPr>
          <w:sz w:val="28"/>
          <w:szCs w:val="28"/>
        </w:rPr>
        <w:t xml:space="preserve"> ‘</w:t>
      </w:r>
      <w:r w:rsidR="00273F69" w:rsidRPr="00273F69">
        <w:rPr>
          <w:sz w:val="28"/>
          <w:szCs w:val="28"/>
        </w:rPr>
        <w:t>Centre for Local Economic Strategies [CLES</w:t>
      </w:r>
      <w:proofErr w:type="gramStart"/>
      <w:r w:rsidR="00273F69" w:rsidRPr="00273F69">
        <w:rPr>
          <w:sz w:val="28"/>
          <w:szCs w:val="28"/>
        </w:rPr>
        <w:t>](</w:t>
      </w:r>
      <w:proofErr w:type="gramEnd"/>
      <w:r w:rsidR="00273F69" w:rsidRPr="00273F69">
        <w:rPr>
          <w:sz w:val="28"/>
          <w:szCs w:val="28"/>
        </w:rPr>
        <w:t>2015b)</w:t>
      </w:r>
      <w:r w:rsidR="00BE0ADC">
        <w:rPr>
          <w:sz w:val="28"/>
          <w:szCs w:val="28"/>
        </w:rPr>
        <w:t xml:space="preserve"> </w:t>
      </w:r>
      <w:r w:rsidR="00273F69" w:rsidRPr="00273F69">
        <w:rPr>
          <w:sz w:val="28"/>
          <w:szCs w:val="28"/>
        </w:rPr>
        <w:t>’Creating a Good Local Economy: The Role of Anchor Institutions’, CLES</w:t>
      </w:r>
    </w:p>
    <w:p w14:paraId="41A69A51" w14:textId="77777777" w:rsidR="001445DD" w:rsidRDefault="001445DD" w:rsidP="001445DD">
      <w:pPr>
        <w:jc w:val="both"/>
        <w:rPr>
          <w:sz w:val="28"/>
          <w:szCs w:val="28"/>
        </w:rPr>
      </w:pPr>
      <w:r w:rsidRPr="00F25158">
        <w:rPr>
          <w:sz w:val="28"/>
          <w:szCs w:val="28"/>
        </w:rPr>
        <w:t xml:space="preserve">City Growth Commission (2015) </w:t>
      </w:r>
      <w:proofErr w:type="spellStart"/>
      <w:r w:rsidRPr="00F25158">
        <w:rPr>
          <w:sz w:val="28"/>
          <w:szCs w:val="28"/>
        </w:rPr>
        <w:t>Devo</w:t>
      </w:r>
      <w:proofErr w:type="spellEnd"/>
      <w:r w:rsidRPr="00F25158">
        <w:rPr>
          <w:sz w:val="28"/>
          <w:szCs w:val="28"/>
        </w:rPr>
        <w:t>-Met: Charting a Path Ahead, London, City Growth Commission.</w:t>
      </w:r>
    </w:p>
    <w:p w14:paraId="43DDCDAF" w14:textId="0573DD07" w:rsidR="007721DC" w:rsidRDefault="007721DC" w:rsidP="001445DD">
      <w:pPr>
        <w:jc w:val="both"/>
        <w:rPr>
          <w:sz w:val="28"/>
          <w:szCs w:val="28"/>
        </w:rPr>
      </w:pPr>
      <w:r w:rsidRPr="007721DC">
        <w:rPr>
          <w:sz w:val="28"/>
          <w:szCs w:val="28"/>
        </w:rPr>
        <w:t>Clarke E. and Williams M. (2014) ‘Delivering Change: Supporting links between universities and high-growth firms in cities’, Centre for Cities</w:t>
      </w:r>
    </w:p>
    <w:p w14:paraId="2F7AFF27" w14:textId="77777777" w:rsidR="001445DD" w:rsidRDefault="001445DD" w:rsidP="001445DD">
      <w:pPr>
        <w:jc w:val="both"/>
        <w:rPr>
          <w:sz w:val="28"/>
          <w:szCs w:val="28"/>
        </w:rPr>
      </w:pPr>
      <w:r>
        <w:rPr>
          <w:sz w:val="28"/>
          <w:szCs w:val="28"/>
        </w:rPr>
        <w:t xml:space="preserve">Cox E. and Hunter J. (2015) ‘FULL STEAM AHEAD: BUSINESS ATTITUDES TOWARDS </w:t>
      </w:r>
      <w:r w:rsidRPr="00DA7581">
        <w:rPr>
          <w:sz w:val="28"/>
          <w:szCs w:val="28"/>
        </w:rPr>
        <w:t>THE NORTHERN POWERHOUSE</w:t>
      </w:r>
      <w:r>
        <w:rPr>
          <w:sz w:val="28"/>
          <w:szCs w:val="28"/>
        </w:rPr>
        <w:t xml:space="preserve">’ Institute for Public Policy Research (IPPR) North, available at </w:t>
      </w:r>
      <w:hyperlink r:id="rId7" w:history="1">
        <w:r w:rsidRPr="00ED4C6E">
          <w:rPr>
            <w:rStyle w:val="Hyperlink"/>
            <w:sz w:val="28"/>
            <w:szCs w:val="28"/>
          </w:rPr>
          <w:t>http://www.ippr.org/files/publications/pdf/full-steam-ahead_Jun2015.pdf?noredirect=1</w:t>
        </w:r>
      </w:hyperlink>
      <w:r>
        <w:rPr>
          <w:sz w:val="28"/>
          <w:szCs w:val="28"/>
        </w:rPr>
        <w:t xml:space="preserve"> , accessed 22 August 2015</w:t>
      </w:r>
    </w:p>
    <w:p w14:paraId="160D6841" w14:textId="19008E5A" w:rsidR="007F7E59" w:rsidRDefault="007F7E59" w:rsidP="007F7E59">
      <w:pPr>
        <w:rPr>
          <w:sz w:val="28"/>
          <w:szCs w:val="28"/>
        </w:rPr>
      </w:pPr>
      <w:r w:rsidRPr="007F7E59">
        <w:rPr>
          <w:sz w:val="28"/>
          <w:szCs w:val="28"/>
        </w:rPr>
        <w:t xml:space="preserve">Cox E. (2013) ‘Core Cities Plus: Findings from the Northern Economic Futures Commission’ in ‘Keys to the City: Unlocking Urban Economies </w:t>
      </w:r>
      <w:proofErr w:type="gramStart"/>
      <w:r w:rsidRPr="007F7E59">
        <w:rPr>
          <w:sz w:val="28"/>
          <w:szCs w:val="28"/>
        </w:rPr>
        <w:t>Through</w:t>
      </w:r>
      <w:proofErr w:type="gramEnd"/>
      <w:r w:rsidRPr="007F7E59">
        <w:rPr>
          <w:sz w:val="28"/>
          <w:szCs w:val="28"/>
        </w:rPr>
        <w:t xml:space="preserve"> Devolution’, Core Cities pp 80-85.</w:t>
      </w:r>
    </w:p>
    <w:p w14:paraId="61C70A06" w14:textId="77777777" w:rsidR="00652075" w:rsidRDefault="00652075" w:rsidP="006B2A9B">
      <w:pPr>
        <w:contextualSpacing/>
        <w:rPr>
          <w:sz w:val="28"/>
          <w:szCs w:val="28"/>
        </w:rPr>
      </w:pPr>
    </w:p>
    <w:p w14:paraId="1DC0AC57" w14:textId="72E1E365" w:rsidR="00652075" w:rsidRPr="00652075" w:rsidRDefault="00652075" w:rsidP="00652075">
      <w:pPr>
        <w:jc w:val="both"/>
        <w:rPr>
          <w:sz w:val="28"/>
          <w:szCs w:val="28"/>
        </w:rPr>
      </w:pPr>
      <w:proofErr w:type="spellStart"/>
      <w:r>
        <w:rPr>
          <w:sz w:val="28"/>
          <w:szCs w:val="28"/>
        </w:rPr>
        <w:t>Deas</w:t>
      </w:r>
      <w:proofErr w:type="spellEnd"/>
      <w:r>
        <w:rPr>
          <w:sz w:val="28"/>
          <w:szCs w:val="28"/>
        </w:rPr>
        <w:t xml:space="preserve"> I. (2015) ‘</w:t>
      </w:r>
      <w:proofErr w:type="gramStart"/>
      <w:r w:rsidRPr="00652075">
        <w:rPr>
          <w:sz w:val="28"/>
          <w:szCs w:val="28"/>
        </w:rPr>
        <w:t>The</w:t>
      </w:r>
      <w:proofErr w:type="gramEnd"/>
      <w:r w:rsidRPr="00652075">
        <w:rPr>
          <w:sz w:val="28"/>
          <w:szCs w:val="28"/>
        </w:rPr>
        <w:t xml:space="preserve"> search for territorial fixes in subnational governance: City-regions and the disputed emergence of post-political consensus in Manchester, England</w:t>
      </w:r>
      <w:r>
        <w:rPr>
          <w:sz w:val="28"/>
          <w:szCs w:val="28"/>
        </w:rPr>
        <w:t>’</w:t>
      </w:r>
      <w:r w:rsidR="00F22DD0">
        <w:rPr>
          <w:sz w:val="28"/>
          <w:szCs w:val="28"/>
        </w:rPr>
        <w:t>, Urban Studies,</w:t>
      </w:r>
      <w:r w:rsidR="00F22DD0" w:rsidRPr="00F22DD0">
        <w:rPr>
          <w:sz w:val="28"/>
          <w:szCs w:val="28"/>
        </w:rPr>
        <w:t xml:space="preserve"> Vol. 51(11) 2285–2314</w:t>
      </w:r>
    </w:p>
    <w:p w14:paraId="68455EBD" w14:textId="77777777" w:rsidR="00652075" w:rsidRDefault="00652075" w:rsidP="006B2A9B">
      <w:pPr>
        <w:contextualSpacing/>
        <w:rPr>
          <w:sz w:val="28"/>
          <w:szCs w:val="28"/>
        </w:rPr>
      </w:pPr>
    </w:p>
    <w:p w14:paraId="4DF5391A" w14:textId="77777777" w:rsidR="00652075" w:rsidRDefault="00652075" w:rsidP="006B2A9B">
      <w:pPr>
        <w:contextualSpacing/>
        <w:rPr>
          <w:sz w:val="28"/>
          <w:szCs w:val="28"/>
        </w:rPr>
      </w:pPr>
    </w:p>
    <w:p w14:paraId="287D6408" w14:textId="48505C64" w:rsidR="006B2A9B" w:rsidRPr="006B2A9B" w:rsidRDefault="006B2A9B" w:rsidP="006B2A9B">
      <w:pPr>
        <w:contextualSpacing/>
        <w:rPr>
          <w:sz w:val="28"/>
          <w:szCs w:val="28"/>
        </w:rPr>
      </w:pPr>
      <w:proofErr w:type="spellStart"/>
      <w:r w:rsidRPr="006B2A9B">
        <w:rPr>
          <w:sz w:val="28"/>
          <w:szCs w:val="28"/>
        </w:rPr>
        <w:t>Dubb</w:t>
      </w:r>
      <w:proofErr w:type="spellEnd"/>
      <w:r w:rsidRPr="006B2A9B">
        <w:rPr>
          <w:sz w:val="28"/>
          <w:szCs w:val="28"/>
        </w:rPr>
        <w:t xml:space="preserve"> S. and Howard T. (2012), ‘Leveraging Anchor Institutions for Local Job Creation and Wealth Building’</w:t>
      </w:r>
      <w:proofErr w:type="gramStart"/>
      <w:r w:rsidRPr="006B2A9B">
        <w:rPr>
          <w:sz w:val="28"/>
          <w:szCs w:val="28"/>
        </w:rPr>
        <w:t>,  Job</w:t>
      </w:r>
      <w:proofErr w:type="gramEnd"/>
      <w:r w:rsidRPr="006B2A9B">
        <w:rPr>
          <w:sz w:val="28"/>
          <w:szCs w:val="28"/>
        </w:rPr>
        <w:t xml:space="preserve"> Creation: Entrepreneurship Approach, Big Ideas for Jobs, Institute for Research on </w:t>
      </w:r>
      <w:proofErr w:type="spellStart"/>
      <w:r w:rsidRPr="006B2A9B">
        <w:rPr>
          <w:sz w:val="28"/>
          <w:szCs w:val="28"/>
        </w:rPr>
        <w:t>Labor</w:t>
      </w:r>
      <w:proofErr w:type="spellEnd"/>
      <w:r w:rsidRPr="006B2A9B">
        <w:rPr>
          <w:sz w:val="28"/>
          <w:szCs w:val="28"/>
        </w:rPr>
        <w:t xml:space="preserve"> and Employment at the University of California, Berkeley,</w:t>
      </w:r>
    </w:p>
    <w:p w14:paraId="3B417059" w14:textId="77777777" w:rsidR="00BA5FE9" w:rsidRDefault="00BA5FE9" w:rsidP="001445DD">
      <w:pPr>
        <w:jc w:val="both"/>
        <w:rPr>
          <w:sz w:val="28"/>
          <w:szCs w:val="28"/>
        </w:rPr>
      </w:pPr>
    </w:p>
    <w:p w14:paraId="1CCBED56" w14:textId="6D29A337" w:rsidR="006B2A9B" w:rsidRDefault="001445DD" w:rsidP="001445DD">
      <w:pPr>
        <w:jc w:val="both"/>
        <w:rPr>
          <w:sz w:val="28"/>
          <w:szCs w:val="28"/>
        </w:rPr>
      </w:pPr>
      <w:proofErr w:type="spellStart"/>
      <w:r w:rsidRPr="001012F2">
        <w:rPr>
          <w:sz w:val="28"/>
          <w:szCs w:val="28"/>
        </w:rPr>
        <w:t>Dubb</w:t>
      </w:r>
      <w:proofErr w:type="spellEnd"/>
      <w:r>
        <w:rPr>
          <w:sz w:val="28"/>
          <w:szCs w:val="28"/>
        </w:rPr>
        <w:t xml:space="preserve"> S.</w:t>
      </w:r>
      <w:r w:rsidRPr="001012F2">
        <w:rPr>
          <w:sz w:val="28"/>
          <w:szCs w:val="28"/>
        </w:rPr>
        <w:t>,</w:t>
      </w:r>
      <w:r>
        <w:rPr>
          <w:sz w:val="28"/>
          <w:szCs w:val="28"/>
        </w:rPr>
        <w:t xml:space="preserve"> McKinley S., and Howard T, </w:t>
      </w:r>
      <w:r w:rsidRPr="001012F2">
        <w:rPr>
          <w:sz w:val="28"/>
          <w:szCs w:val="28"/>
        </w:rPr>
        <w:t>Ferris</w:t>
      </w:r>
      <w:r>
        <w:rPr>
          <w:sz w:val="28"/>
          <w:szCs w:val="28"/>
        </w:rPr>
        <w:t xml:space="preserve"> D. and </w:t>
      </w:r>
      <w:proofErr w:type="spellStart"/>
      <w:r w:rsidRPr="001012F2">
        <w:rPr>
          <w:sz w:val="28"/>
          <w:szCs w:val="28"/>
        </w:rPr>
        <w:t>Serang</w:t>
      </w:r>
      <w:proofErr w:type="spellEnd"/>
      <w:r>
        <w:rPr>
          <w:sz w:val="28"/>
          <w:szCs w:val="28"/>
        </w:rPr>
        <w:t xml:space="preserve"> F. [</w:t>
      </w:r>
      <w:proofErr w:type="spellStart"/>
      <w:r>
        <w:rPr>
          <w:sz w:val="28"/>
          <w:szCs w:val="28"/>
        </w:rPr>
        <w:t>Dubb</w:t>
      </w:r>
      <w:proofErr w:type="spellEnd"/>
      <w:r>
        <w:rPr>
          <w:sz w:val="28"/>
          <w:szCs w:val="28"/>
        </w:rPr>
        <w:t xml:space="preserve"> et al](2013) ‘Achieving the Anchor Promise:</w:t>
      </w:r>
      <w:r w:rsidRPr="001012F2">
        <w:t xml:space="preserve"> </w:t>
      </w:r>
      <w:r w:rsidRPr="001012F2">
        <w:rPr>
          <w:sz w:val="28"/>
          <w:szCs w:val="28"/>
        </w:rPr>
        <w:t>Im</w:t>
      </w:r>
      <w:r>
        <w:rPr>
          <w:sz w:val="28"/>
          <w:szCs w:val="28"/>
        </w:rPr>
        <w:t xml:space="preserve">proving Outcomes for Low-Income </w:t>
      </w:r>
      <w:r w:rsidRPr="001012F2">
        <w:rPr>
          <w:sz w:val="28"/>
          <w:szCs w:val="28"/>
        </w:rPr>
        <w:t>Children, Families and Communities</w:t>
      </w:r>
      <w:r>
        <w:rPr>
          <w:sz w:val="28"/>
          <w:szCs w:val="28"/>
        </w:rPr>
        <w:t xml:space="preserve"> ’, </w:t>
      </w:r>
      <w:r w:rsidRPr="005E5396">
        <w:rPr>
          <w:sz w:val="28"/>
          <w:szCs w:val="28"/>
        </w:rPr>
        <w:t>A Report Submitted to The Annie E. Casey Foundation</w:t>
      </w:r>
      <w:r>
        <w:rPr>
          <w:sz w:val="28"/>
          <w:szCs w:val="28"/>
        </w:rPr>
        <w:t xml:space="preserve">, </w:t>
      </w:r>
      <w:r w:rsidRPr="005E5396">
        <w:rPr>
          <w:sz w:val="28"/>
          <w:szCs w:val="28"/>
        </w:rPr>
        <w:t>The Democracy Collaborative at the University of Maryland</w:t>
      </w:r>
      <w:r>
        <w:rPr>
          <w:sz w:val="28"/>
          <w:szCs w:val="28"/>
        </w:rPr>
        <w:t>.</w:t>
      </w:r>
    </w:p>
    <w:p w14:paraId="693164D5" w14:textId="3421308F" w:rsidR="004B3BCD" w:rsidRDefault="004B3BCD" w:rsidP="00995343">
      <w:pPr>
        <w:widowControl w:val="0"/>
        <w:autoSpaceDE w:val="0"/>
        <w:autoSpaceDN w:val="0"/>
        <w:adjustRightInd w:val="0"/>
        <w:spacing w:after="240" w:line="240" w:lineRule="auto"/>
        <w:jc w:val="both"/>
        <w:rPr>
          <w:sz w:val="28"/>
          <w:szCs w:val="28"/>
        </w:rPr>
      </w:pPr>
      <w:proofErr w:type="spellStart"/>
      <w:r w:rsidRPr="00DC70A0">
        <w:rPr>
          <w:sz w:val="28"/>
          <w:szCs w:val="28"/>
        </w:rPr>
        <w:t>Dubb</w:t>
      </w:r>
      <w:proofErr w:type="spellEnd"/>
      <w:r w:rsidRPr="00DC70A0">
        <w:rPr>
          <w:sz w:val="28"/>
          <w:szCs w:val="28"/>
        </w:rPr>
        <w:t xml:space="preserve"> S. McKinley S. and Howard T. (2013b)’The Anchor Dashboard: Aligning Institutional Practice to mee</w:t>
      </w:r>
      <w:r w:rsidR="008152CC">
        <w:rPr>
          <w:sz w:val="28"/>
          <w:szCs w:val="28"/>
        </w:rPr>
        <w:t xml:space="preserve">t Low-income Community Needs’, </w:t>
      </w:r>
      <w:r w:rsidRPr="00DC70A0">
        <w:rPr>
          <w:sz w:val="28"/>
          <w:szCs w:val="28"/>
        </w:rPr>
        <w:t>The Democracy Collaborative, University of Maryland</w:t>
      </w:r>
    </w:p>
    <w:p w14:paraId="7465DD80" w14:textId="77777777" w:rsidR="008152CC" w:rsidRPr="008152CC" w:rsidRDefault="008152CC" w:rsidP="008152CC">
      <w:pPr>
        <w:contextualSpacing/>
        <w:jc w:val="both"/>
        <w:rPr>
          <w:sz w:val="28"/>
          <w:szCs w:val="28"/>
        </w:rPr>
      </w:pPr>
      <w:proofErr w:type="spellStart"/>
      <w:r w:rsidRPr="008152CC">
        <w:rPr>
          <w:sz w:val="28"/>
          <w:szCs w:val="28"/>
        </w:rPr>
        <w:t>Ehlenz</w:t>
      </w:r>
      <w:proofErr w:type="spellEnd"/>
      <w:r w:rsidRPr="008152CC">
        <w:rPr>
          <w:sz w:val="28"/>
          <w:szCs w:val="28"/>
        </w:rPr>
        <w:t xml:space="preserve"> M. M. and Birch E. L. with </w:t>
      </w:r>
      <w:proofErr w:type="spellStart"/>
      <w:r w:rsidRPr="008152CC">
        <w:rPr>
          <w:sz w:val="28"/>
          <w:szCs w:val="28"/>
        </w:rPr>
        <w:t>Agness</w:t>
      </w:r>
      <w:proofErr w:type="spellEnd"/>
      <w:r w:rsidRPr="008152CC">
        <w:rPr>
          <w:sz w:val="28"/>
          <w:szCs w:val="28"/>
        </w:rPr>
        <w:t xml:space="preserve"> B. (2014) ‘The Power of </w:t>
      </w:r>
      <w:proofErr w:type="spellStart"/>
      <w:r w:rsidRPr="008152CC">
        <w:rPr>
          <w:sz w:val="28"/>
          <w:szCs w:val="28"/>
        </w:rPr>
        <w:t>Eds</w:t>
      </w:r>
      <w:proofErr w:type="spellEnd"/>
      <w:r w:rsidRPr="008152CC">
        <w:rPr>
          <w:sz w:val="28"/>
          <w:szCs w:val="28"/>
        </w:rPr>
        <w:t xml:space="preserve"> and Meds, Urban Universities Investing in Neighbourhood Revitalization and Innovation Districts’, Penn Institute for Urban Research, pp 1-50, at p1.</w:t>
      </w:r>
    </w:p>
    <w:p w14:paraId="7990AD95" w14:textId="77777777" w:rsidR="00D82F44" w:rsidRDefault="00D82F44" w:rsidP="00D82F44">
      <w:pPr>
        <w:contextualSpacing/>
        <w:rPr>
          <w:iCs/>
        </w:rPr>
      </w:pPr>
    </w:p>
    <w:p w14:paraId="23C5E28B" w14:textId="77777777" w:rsidR="00D82F44" w:rsidRPr="00D82F44" w:rsidRDefault="00D82F44" w:rsidP="00D82F44">
      <w:pPr>
        <w:contextualSpacing/>
        <w:jc w:val="both"/>
        <w:rPr>
          <w:sz w:val="28"/>
          <w:szCs w:val="28"/>
        </w:rPr>
      </w:pPr>
      <w:r w:rsidRPr="00D82F44">
        <w:rPr>
          <w:sz w:val="28"/>
          <w:szCs w:val="28"/>
        </w:rPr>
        <w:t xml:space="preserve">Fulbright-Anderson K., </w:t>
      </w:r>
      <w:proofErr w:type="spellStart"/>
      <w:r w:rsidRPr="00D82F44">
        <w:rPr>
          <w:sz w:val="28"/>
          <w:szCs w:val="28"/>
        </w:rPr>
        <w:t>Auspos</w:t>
      </w:r>
      <w:proofErr w:type="spellEnd"/>
      <w:r w:rsidRPr="00D82F44">
        <w:rPr>
          <w:sz w:val="28"/>
          <w:szCs w:val="28"/>
        </w:rPr>
        <w:t xml:space="preserve"> P. and Anderson A.(2001) ‘Community Involvement in Partnerships with Educational Institutions, Medical Centres and Utility Companies’, </w:t>
      </w:r>
      <w:proofErr w:type="spellStart"/>
      <w:r w:rsidRPr="00D82F44">
        <w:rPr>
          <w:sz w:val="28"/>
          <w:szCs w:val="28"/>
        </w:rPr>
        <w:t>Apsen</w:t>
      </w:r>
      <w:proofErr w:type="spellEnd"/>
      <w:r w:rsidRPr="00D82F44">
        <w:rPr>
          <w:sz w:val="28"/>
          <w:szCs w:val="28"/>
        </w:rPr>
        <w:t xml:space="preserve"> Institute Roundtable on Comprehensive Community Initiatives for the Annie E. Casey Foundation, at p1.</w:t>
      </w:r>
    </w:p>
    <w:p w14:paraId="072B50C2" w14:textId="77777777" w:rsidR="00D82F44" w:rsidRDefault="00D82F44" w:rsidP="00995343">
      <w:pPr>
        <w:widowControl w:val="0"/>
        <w:autoSpaceDE w:val="0"/>
        <w:autoSpaceDN w:val="0"/>
        <w:adjustRightInd w:val="0"/>
        <w:spacing w:after="240" w:line="240" w:lineRule="auto"/>
        <w:jc w:val="both"/>
        <w:rPr>
          <w:sz w:val="28"/>
          <w:szCs w:val="28"/>
        </w:rPr>
      </w:pPr>
    </w:p>
    <w:p w14:paraId="0A0B4E17" w14:textId="77777777" w:rsidR="001445DD" w:rsidRDefault="001445DD" w:rsidP="001445DD">
      <w:pPr>
        <w:jc w:val="both"/>
        <w:rPr>
          <w:sz w:val="28"/>
          <w:szCs w:val="28"/>
        </w:rPr>
      </w:pPr>
      <w:r w:rsidRPr="003A5B40">
        <w:rPr>
          <w:sz w:val="28"/>
          <w:szCs w:val="28"/>
        </w:rPr>
        <w:t xml:space="preserve">Gardiner, B., Martin, R.L. and Tyler, P. (2013) </w:t>
      </w:r>
      <w:r>
        <w:rPr>
          <w:sz w:val="28"/>
          <w:szCs w:val="28"/>
        </w:rPr>
        <w:t>‘</w:t>
      </w:r>
      <w:r w:rsidRPr="003A5B40">
        <w:rPr>
          <w:sz w:val="28"/>
          <w:szCs w:val="28"/>
        </w:rPr>
        <w:t>Spatially unbalanced growth in the British economy</w:t>
      </w:r>
      <w:r>
        <w:rPr>
          <w:sz w:val="28"/>
          <w:szCs w:val="28"/>
        </w:rPr>
        <w:t>’</w:t>
      </w:r>
      <w:r w:rsidRPr="003A5B40">
        <w:rPr>
          <w:sz w:val="28"/>
          <w:szCs w:val="28"/>
        </w:rPr>
        <w:t>, Journal of Economic Geography, 13, pp. 889-928.</w:t>
      </w:r>
    </w:p>
    <w:p w14:paraId="7CE19A10" w14:textId="27ED8C14" w:rsidR="00995343" w:rsidRDefault="00995343" w:rsidP="001445DD">
      <w:pPr>
        <w:jc w:val="both"/>
        <w:rPr>
          <w:sz w:val="28"/>
          <w:szCs w:val="28"/>
        </w:rPr>
      </w:pPr>
      <w:r w:rsidRPr="00C2009F">
        <w:rPr>
          <w:sz w:val="28"/>
          <w:szCs w:val="28"/>
        </w:rPr>
        <w:t>Gold J. and Devins D</w:t>
      </w:r>
      <w:proofErr w:type="gramStart"/>
      <w:r w:rsidRPr="00C2009F">
        <w:rPr>
          <w:sz w:val="28"/>
          <w:szCs w:val="28"/>
        </w:rPr>
        <w:t>.(</w:t>
      </w:r>
      <w:proofErr w:type="gramEnd"/>
      <w:r w:rsidRPr="00C2009F">
        <w:rPr>
          <w:sz w:val="28"/>
          <w:szCs w:val="28"/>
        </w:rPr>
        <w:t>2015) Poverty and Prosperity research project ongoing , JRF</w:t>
      </w:r>
    </w:p>
    <w:p w14:paraId="13BC3B76" w14:textId="0D60834B" w:rsidR="00851295" w:rsidRDefault="00851295" w:rsidP="001445DD">
      <w:pPr>
        <w:jc w:val="both"/>
        <w:rPr>
          <w:sz w:val="28"/>
          <w:szCs w:val="28"/>
        </w:rPr>
      </w:pPr>
      <w:r>
        <w:rPr>
          <w:sz w:val="28"/>
          <w:szCs w:val="28"/>
        </w:rPr>
        <w:t>Greater Manchester Combined Authority [GMCA] (2015)</w:t>
      </w:r>
      <w:r w:rsidR="008B3F23">
        <w:rPr>
          <w:sz w:val="28"/>
          <w:szCs w:val="28"/>
        </w:rPr>
        <w:t xml:space="preserve"> ‘</w:t>
      </w:r>
      <w:r w:rsidR="00643D6C">
        <w:rPr>
          <w:sz w:val="28"/>
          <w:szCs w:val="28"/>
        </w:rPr>
        <w:t xml:space="preserve">Greater Manchester City Deal’, </w:t>
      </w:r>
      <w:r w:rsidR="008B3F23">
        <w:rPr>
          <w:sz w:val="28"/>
          <w:szCs w:val="28"/>
        </w:rPr>
        <w:t>GMCA</w:t>
      </w:r>
    </w:p>
    <w:p w14:paraId="4A9993A3" w14:textId="1F5676BF" w:rsidR="00643D6C" w:rsidRDefault="00643D6C" w:rsidP="001445DD">
      <w:pPr>
        <w:jc w:val="both"/>
        <w:rPr>
          <w:sz w:val="28"/>
          <w:szCs w:val="28"/>
        </w:rPr>
      </w:pPr>
      <w:r w:rsidRPr="00643D6C">
        <w:rPr>
          <w:sz w:val="28"/>
          <w:szCs w:val="28"/>
        </w:rPr>
        <w:lastRenderedPageBreak/>
        <w:t>HM Treasury and GMCA (2014) ‘Greater Manchester Agreement: devolution to the GMCA &amp; transition to a directly elected mayor’, HM Treasury and GMCA</w:t>
      </w:r>
    </w:p>
    <w:p w14:paraId="0F103090" w14:textId="276ACE3C" w:rsidR="000758D9" w:rsidRPr="007144A7" w:rsidRDefault="000758D9" w:rsidP="001445DD">
      <w:pPr>
        <w:jc w:val="both"/>
        <w:rPr>
          <w:sz w:val="28"/>
          <w:szCs w:val="28"/>
        </w:rPr>
      </w:pPr>
      <w:r w:rsidRPr="000758D9">
        <w:rPr>
          <w:sz w:val="28"/>
          <w:szCs w:val="28"/>
        </w:rPr>
        <w:t xml:space="preserve">Hahn A. with </w:t>
      </w:r>
      <w:proofErr w:type="spellStart"/>
      <w:r w:rsidRPr="000758D9">
        <w:rPr>
          <w:sz w:val="28"/>
          <w:szCs w:val="28"/>
        </w:rPr>
        <w:t>Coonerty</w:t>
      </w:r>
      <w:proofErr w:type="spellEnd"/>
      <w:r w:rsidRPr="000758D9">
        <w:rPr>
          <w:sz w:val="28"/>
          <w:szCs w:val="28"/>
        </w:rPr>
        <w:t xml:space="preserve"> C. and </w:t>
      </w:r>
      <w:proofErr w:type="spellStart"/>
      <w:r w:rsidRPr="000758D9">
        <w:rPr>
          <w:sz w:val="28"/>
          <w:szCs w:val="28"/>
        </w:rPr>
        <w:t>Peaslee</w:t>
      </w:r>
      <w:proofErr w:type="spellEnd"/>
      <w:r w:rsidRPr="000758D9">
        <w:rPr>
          <w:sz w:val="28"/>
          <w:szCs w:val="28"/>
        </w:rPr>
        <w:t xml:space="preserve"> L. (2003) ‘Colleges and Universities as Economic Anchors: Profiles of Promising Practices’, Brandeis University, Heller Graduate School of Social Policy and Management, Institute for Sustainable Development/</w:t>
      </w:r>
      <w:proofErr w:type="spellStart"/>
      <w:r w:rsidRPr="000758D9">
        <w:rPr>
          <w:sz w:val="28"/>
          <w:szCs w:val="28"/>
        </w:rPr>
        <w:t>Center</w:t>
      </w:r>
      <w:proofErr w:type="spellEnd"/>
      <w:r w:rsidRPr="000758D9">
        <w:rPr>
          <w:sz w:val="28"/>
          <w:szCs w:val="28"/>
        </w:rPr>
        <w:t xml:space="preserve"> for Youth and Communities and POLICYLINK</w:t>
      </w:r>
    </w:p>
    <w:p w14:paraId="6EBF72EA" w14:textId="77777777" w:rsidR="001445DD" w:rsidRDefault="001445DD" w:rsidP="001445DD">
      <w:pPr>
        <w:jc w:val="both"/>
        <w:rPr>
          <w:sz w:val="28"/>
          <w:szCs w:val="28"/>
        </w:rPr>
      </w:pPr>
      <w:r>
        <w:rPr>
          <w:sz w:val="28"/>
          <w:szCs w:val="28"/>
        </w:rPr>
        <w:t>Harrison B. (2015) ‘</w:t>
      </w:r>
      <w:r w:rsidRPr="007942CC">
        <w:rPr>
          <w:sz w:val="28"/>
          <w:szCs w:val="28"/>
        </w:rPr>
        <w:t>City regions have five months to secure a significant devolution deal</w:t>
      </w:r>
      <w:r>
        <w:rPr>
          <w:sz w:val="28"/>
          <w:szCs w:val="28"/>
        </w:rPr>
        <w:t xml:space="preserve">’, Centre for Cities, 8 July 2015, </w:t>
      </w:r>
      <w:r w:rsidRPr="007942CC">
        <w:rPr>
          <w:sz w:val="28"/>
          <w:szCs w:val="28"/>
        </w:rPr>
        <w:t>available</w:t>
      </w:r>
      <w:r>
        <w:rPr>
          <w:sz w:val="28"/>
          <w:szCs w:val="28"/>
        </w:rPr>
        <w:t xml:space="preserve"> at </w:t>
      </w:r>
      <w:hyperlink r:id="rId8" w:history="1">
        <w:r w:rsidRPr="00ED4C6E">
          <w:rPr>
            <w:rStyle w:val="Hyperlink"/>
            <w:sz w:val="28"/>
            <w:szCs w:val="28"/>
          </w:rPr>
          <w:t>http://www.centreforcities.org/blog/city-regions-have-five-months-to-secure-a-significant-devolution-deal/</w:t>
        </w:r>
      </w:hyperlink>
      <w:r>
        <w:rPr>
          <w:sz w:val="28"/>
          <w:szCs w:val="28"/>
        </w:rPr>
        <w:t xml:space="preserve"> , accessed 22 August 2015.</w:t>
      </w:r>
    </w:p>
    <w:p w14:paraId="0F719477" w14:textId="65A6B8FE" w:rsidR="00780589" w:rsidRDefault="00780589" w:rsidP="00780589">
      <w:pPr>
        <w:rPr>
          <w:sz w:val="28"/>
          <w:szCs w:val="28"/>
        </w:rPr>
      </w:pPr>
      <w:r w:rsidRPr="00780589">
        <w:rPr>
          <w:sz w:val="28"/>
          <w:szCs w:val="28"/>
        </w:rPr>
        <w:t>Harrison J. (2012) ‘Life after Regions? The Evolution of city-regionalism in England’, Regional Studies, 46:9, 1243-1259.</w:t>
      </w:r>
    </w:p>
    <w:p w14:paraId="41A85B71" w14:textId="0098964C" w:rsidR="001445DD" w:rsidRDefault="001445DD" w:rsidP="001445DD">
      <w:pPr>
        <w:jc w:val="both"/>
        <w:rPr>
          <w:sz w:val="28"/>
          <w:szCs w:val="28"/>
        </w:rPr>
      </w:pPr>
      <w:r>
        <w:rPr>
          <w:sz w:val="28"/>
          <w:szCs w:val="28"/>
        </w:rPr>
        <w:t xml:space="preserve">HM Government (2010) ‘Local Growth: Realising Every Place’s Potential’, HM Government White Paper’, 28 October 2010, </w:t>
      </w:r>
      <w:hyperlink r:id="rId9" w:history="1">
        <w:r w:rsidRPr="00ED4C6E">
          <w:rPr>
            <w:rStyle w:val="Hyperlink"/>
            <w:sz w:val="28"/>
            <w:szCs w:val="28"/>
          </w:rPr>
          <w:t>https://www.gov.uk/government/uploads/system/uploads/attachment_data/file/32076/cm7961-local-growth-white-paper.pdf</w:t>
        </w:r>
      </w:hyperlink>
      <w:r w:rsidR="00554F42">
        <w:rPr>
          <w:sz w:val="28"/>
          <w:szCs w:val="28"/>
        </w:rPr>
        <w:t xml:space="preserve"> </w:t>
      </w:r>
      <w:r>
        <w:rPr>
          <w:sz w:val="28"/>
          <w:szCs w:val="28"/>
        </w:rPr>
        <w:t>accessed 22 August 2015.</w:t>
      </w:r>
    </w:p>
    <w:p w14:paraId="1D6089C2" w14:textId="56DC4A19" w:rsidR="006E0E83" w:rsidRDefault="006E0E83" w:rsidP="00F82CB2">
      <w:pPr>
        <w:widowControl w:val="0"/>
        <w:autoSpaceDE w:val="0"/>
        <w:autoSpaceDN w:val="0"/>
        <w:adjustRightInd w:val="0"/>
        <w:spacing w:after="240" w:line="240" w:lineRule="auto"/>
        <w:rPr>
          <w:sz w:val="28"/>
          <w:szCs w:val="28"/>
        </w:rPr>
      </w:pPr>
      <w:r w:rsidRPr="00E06880">
        <w:rPr>
          <w:sz w:val="28"/>
          <w:szCs w:val="28"/>
        </w:rPr>
        <w:t>Holden J. and Harding A. (2015) ‘</w:t>
      </w:r>
      <w:r w:rsidR="000C0695" w:rsidRPr="00E06880">
        <w:rPr>
          <w:sz w:val="28"/>
          <w:szCs w:val="28"/>
        </w:rPr>
        <w:t xml:space="preserve">Using </w:t>
      </w:r>
      <w:r w:rsidRPr="00E06880">
        <w:rPr>
          <w:sz w:val="28"/>
          <w:szCs w:val="28"/>
        </w:rPr>
        <w:t>evidence: Greater Manc</w:t>
      </w:r>
      <w:r w:rsidR="00064088" w:rsidRPr="00E06880">
        <w:rPr>
          <w:sz w:val="28"/>
          <w:szCs w:val="28"/>
        </w:rPr>
        <w:t>hester Case Study - August 2015’,</w:t>
      </w:r>
      <w:r w:rsidRPr="00E06880">
        <w:rPr>
          <w:sz w:val="28"/>
          <w:szCs w:val="28"/>
        </w:rPr>
        <w:t xml:space="preserve"> What Works Centre for Local Economic Growth</w:t>
      </w:r>
      <w:r w:rsidR="00064088" w:rsidRPr="00E06880">
        <w:rPr>
          <w:sz w:val="28"/>
          <w:szCs w:val="28"/>
        </w:rPr>
        <w:t>,</w:t>
      </w:r>
      <w:r w:rsidR="00F82CB2">
        <w:rPr>
          <w:sz w:val="28"/>
          <w:szCs w:val="28"/>
        </w:rPr>
        <w:t xml:space="preserve"> New Economy, Liverpool University</w:t>
      </w:r>
    </w:p>
    <w:p w14:paraId="72C8CF32" w14:textId="77777777" w:rsidR="001445DD" w:rsidRDefault="001445DD" w:rsidP="001445DD">
      <w:pPr>
        <w:jc w:val="both"/>
        <w:rPr>
          <w:sz w:val="28"/>
          <w:szCs w:val="28"/>
        </w:rPr>
      </w:pPr>
      <w:r>
        <w:rPr>
          <w:sz w:val="28"/>
          <w:szCs w:val="28"/>
        </w:rPr>
        <w:t xml:space="preserve">House of Lords and House of Commons (2015) ‘Cities and Local Devolution Bill’, </w:t>
      </w:r>
      <w:r w:rsidRPr="00FC2BA7">
        <w:rPr>
          <w:sz w:val="28"/>
          <w:szCs w:val="28"/>
        </w:rPr>
        <w:t>THE STATIONERY OFFICE LIMITED</w:t>
      </w:r>
      <w:r>
        <w:rPr>
          <w:sz w:val="28"/>
          <w:szCs w:val="28"/>
        </w:rPr>
        <w:t xml:space="preserve">, </w:t>
      </w:r>
      <w:r w:rsidRPr="00A61B3D">
        <w:rPr>
          <w:sz w:val="28"/>
          <w:szCs w:val="28"/>
        </w:rPr>
        <w:t>Parliament UK</w:t>
      </w:r>
      <w:r w:rsidRPr="00FC2BA7">
        <w:t xml:space="preserve"> </w:t>
      </w:r>
      <w:r>
        <w:rPr>
          <w:sz w:val="28"/>
          <w:szCs w:val="28"/>
        </w:rPr>
        <w:t xml:space="preserve">available at </w:t>
      </w:r>
      <w:hyperlink r:id="rId10" w:history="1">
        <w:r w:rsidRPr="00ED4C6E">
          <w:rPr>
            <w:rStyle w:val="Hyperlink"/>
            <w:sz w:val="28"/>
            <w:szCs w:val="28"/>
          </w:rPr>
          <w:t>http://services.parliament.uk/bills/2015-16/citiesandlocalgovernmentdevolution.html</w:t>
        </w:r>
      </w:hyperlink>
      <w:r>
        <w:rPr>
          <w:sz w:val="28"/>
          <w:szCs w:val="28"/>
        </w:rPr>
        <w:t>, accessed 22 August 2015.</w:t>
      </w:r>
    </w:p>
    <w:p w14:paraId="1CC1A681" w14:textId="77777777" w:rsidR="001445DD" w:rsidRDefault="001445DD" w:rsidP="001445DD">
      <w:pPr>
        <w:jc w:val="both"/>
        <w:rPr>
          <w:sz w:val="28"/>
          <w:szCs w:val="28"/>
        </w:rPr>
      </w:pPr>
      <w:r>
        <w:rPr>
          <w:sz w:val="28"/>
          <w:szCs w:val="28"/>
        </w:rPr>
        <w:t xml:space="preserve">ICIC (2011) INNER CITY INSIGHTS: ANCHOR INSTITUTIONS AND URBAN ECONOMIC DEVELOPMENT: </w:t>
      </w:r>
      <w:r w:rsidRPr="00E30160">
        <w:rPr>
          <w:sz w:val="28"/>
          <w:szCs w:val="28"/>
        </w:rPr>
        <w:t>FROM COMMUNITY BENEFIT TO SHARED VALUE</w:t>
      </w:r>
      <w:r>
        <w:rPr>
          <w:sz w:val="28"/>
          <w:szCs w:val="28"/>
        </w:rPr>
        <w:t xml:space="preserve">’, </w:t>
      </w:r>
      <w:proofErr w:type="spellStart"/>
      <w:r>
        <w:rPr>
          <w:sz w:val="28"/>
          <w:szCs w:val="28"/>
        </w:rPr>
        <w:t>Vol</w:t>
      </w:r>
      <w:proofErr w:type="spellEnd"/>
      <w:r>
        <w:rPr>
          <w:sz w:val="28"/>
          <w:szCs w:val="28"/>
        </w:rPr>
        <w:t xml:space="preserve"> 1 Issue 2, Initiative for a Competitive City (ICIC), available at </w:t>
      </w:r>
      <w:r w:rsidRPr="00DE31F2">
        <w:rPr>
          <w:sz w:val="28"/>
          <w:szCs w:val="28"/>
        </w:rPr>
        <w:t>http://www.icic.org/ee_uploads/publications/ICIC_RESEARCH_anchor_institutions_</w:t>
      </w:r>
      <w:proofErr w:type="gramStart"/>
      <w:r w:rsidRPr="00DE31F2">
        <w:rPr>
          <w:sz w:val="28"/>
          <w:szCs w:val="28"/>
        </w:rPr>
        <w:t>r2.pdf</w:t>
      </w:r>
      <w:r>
        <w:rPr>
          <w:sz w:val="28"/>
          <w:szCs w:val="28"/>
        </w:rPr>
        <w:t xml:space="preserve"> ,</w:t>
      </w:r>
      <w:proofErr w:type="gramEnd"/>
      <w:r>
        <w:rPr>
          <w:sz w:val="28"/>
          <w:szCs w:val="28"/>
        </w:rPr>
        <w:t xml:space="preserve"> accessed 22 August 2015.</w:t>
      </w:r>
    </w:p>
    <w:p w14:paraId="0EFDBD2C" w14:textId="60675FA2" w:rsidR="00AE0029" w:rsidRDefault="00AE0029" w:rsidP="009B3383">
      <w:pPr>
        <w:widowControl w:val="0"/>
        <w:autoSpaceDE w:val="0"/>
        <w:autoSpaceDN w:val="0"/>
        <w:adjustRightInd w:val="0"/>
        <w:spacing w:after="240" w:line="240" w:lineRule="auto"/>
        <w:jc w:val="both"/>
        <w:rPr>
          <w:sz w:val="28"/>
          <w:szCs w:val="28"/>
        </w:rPr>
      </w:pPr>
      <w:r w:rsidRPr="00AE0029">
        <w:rPr>
          <w:sz w:val="28"/>
          <w:szCs w:val="28"/>
        </w:rPr>
        <w:lastRenderedPageBreak/>
        <w:t>Initiative for a Competitive Inner City [ICC] (2011) ‘Creating Shared Value: Anchors and the Inner City’, Initiative for a Competitive Inner City, pp1-16</w:t>
      </w:r>
    </w:p>
    <w:p w14:paraId="20714591" w14:textId="77777777" w:rsidR="001E625C" w:rsidRPr="001E625C" w:rsidRDefault="001E625C" w:rsidP="001E625C">
      <w:pPr>
        <w:rPr>
          <w:sz w:val="28"/>
          <w:szCs w:val="28"/>
        </w:rPr>
      </w:pPr>
      <w:r w:rsidRPr="001E625C">
        <w:rPr>
          <w:sz w:val="28"/>
          <w:szCs w:val="28"/>
        </w:rPr>
        <w:t>Jones C. (2015) ‘On Capital, Space and the World System: A Response to Ron Martin’, Vol.3, No.3, 273-293, Routledge, Taylor &amp; Francis Group, Regional Studies Association</w:t>
      </w:r>
    </w:p>
    <w:p w14:paraId="4C1D67B9" w14:textId="77777777" w:rsidR="001445DD" w:rsidRDefault="001445DD" w:rsidP="001445DD">
      <w:pPr>
        <w:jc w:val="both"/>
        <w:rPr>
          <w:sz w:val="28"/>
          <w:szCs w:val="28"/>
        </w:rPr>
      </w:pPr>
      <w:proofErr w:type="spellStart"/>
      <w:r>
        <w:rPr>
          <w:sz w:val="28"/>
          <w:szCs w:val="28"/>
        </w:rPr>
        <w:t>Jupp</w:t>
      </w:r>
      <w:proofErr w:type="spellEnd"/>
      <w:r>
        <w:rPr>
          <w:sz w:val="28"/>
          <w:szCs w:val="28"/>
        </w:rPr>
        <w:t xml:space="preserve"> A. (2015) ‘How is the Northern Powerhouse viewed by other cities?</w:t>
      </w:r>
      <w:proofErr w:type="gramStart"/>
      <w:r>
        <w:rPr>
          <w:sz w:val="28"/>
          <w:szCs w:val="28"/>
        </w:rPr>
        <w:t>’,</w:t>
      </w:r>
      <w:proofErr w:type="gramEnd"/>
      <w:r>
        <w:rPr>
          <w:sz w:val="28"/>
          <w:szCs w:val="28"/>
        </w:rPr>
        <w:t xml:space="preserve"> Manchester Evening News, a</w:t>
      </w:r>
      <w:r w:rsidRPr="007F6E78">
        <w:rPr>
          <w:sz w:val="28"/>
          <w:szCs w:val="28"/>
        </w:rPr>
        <w:t>vailable at http://www.manchestereveningnews.co.uk/business/business-news/how-northern-powerhouse-viewed-cities-9892475, accessed 20 August 2015</w:t>
      </w:r>
    </w:p>
    <w:p w14:paraId="1F20FB47" w14:textId="77777777" w:rsidR="001445DD" w:rsidRDefault="001445DD" w:rsidP="001445DD">
      <w:pPr>
        <w:jc w:val="both"/>
        <w:rPr>
          <w:sz w:val="28"/>
          <w:szCs w:val="28"/>
        </w:rPr>
      </w:pPr>
      <w:r w:rsidRPr="001B048D">
        <w:rPr>
          <w:sz w:val="28"/>
          <w:szCs w:val="28"/>
        </w:rPr>
        <w:t xml:space="preserve">Martin, R., Pike A., Tyler P., and Gardiner B. [Martin et al] (2015) ‘Spatially re-balancing the UK Economy: the need for a new policy model’, Regional Studies Association, available </w:t>
      </w:r>
      <w:proofErr w:type="gramStart"/>
      <w:r w:rsidRPr="001B048D">
        <w:rPr>
          <w:sz w:val="28"/>
          <w:szCs w:val="28"/>
        </w:rPr>
        <w:t>at  http</w:t>
      </w:r>
      <w:proofErr w:type="gramEnd"/>
      <w:r w:rsidRPr="001B048D">
        <w:rPr>
          <w:sz w:val="28"/>
          <w:szCs w:val="28"/>
        </w:rPr>
        <w:t>://www.regionalstudies.org/uploads/documents/SRTUKE_v16_PRINT.pdf, accessed 22 August 2015</w:t>
      </w:r>
    </w:p>
    <w:p w14:paraId="5C397DF1" w14:textId="49B60B1E" w:rsidR="00BE3270" w:rsidRDefault="00BE3270" w:rsidP="001445DD">
      <w:pPr>
        <w:jc w:val="both"/>
        <w:rPr>
          <w:sz w:val="28"/>
          <w:szCs w:val="28"/>
        </w:rPr>
      </w:pPr>
      <w:r w:rsidRPr="00BE3270">
        <w:rPr>
          <w:sz w:val="28"/>
          <w:szCs w:val="28"/>
        </w:rPr>
        <w:t>Martin R.</w:t>
      </w:r>
      <w:r w:rsidR="00874542">
        <w:rPr>
          <w:sz w:val="28"/>
          <w:szCs w:val="28"/>
        </w:rPr>
        <w:t xml:space="preserve"> </w:t>
      </w:r>
      <w:r w:rsidRPr="00BE3270">
        <w:rPr>
          <w:sz w:val="28"/>
          <w:szCs w:val="28"/>
        </w:rPr>
        <w:t xml:space="preserve">and </w:t>
      </w:r>
      <w:proofErr w:type="spellStart"/>
      <w:r w:rsidRPr="00BE3270">
        <w:rPr>
          <w:sz w:val="28"/>
          <w:szCs w:val="28"/>
        </w:rPr>
        <w:t>Sunley</w:t>
      </w:r>
      <w:proofErr w:type="spellEnd"/>
      <w:r w:rsidRPr="00BE3270">
        <w:rPr>
          <w:sz w:val="28"/>
          <w:szCs w:val="28"/>
        </w:rPr>
        <w:t xml:space="preserve"> P. (2015) ‘Towards a Developmental Turn in Evolutionary Economic Geography?’, Regional Studies, Vol. 49, No. 5, 712-732, Routledge ,Taylor &amp; Francis Group, Regional Studies Association</w:t>
      </w:r>
    </w:p>
    <w:p w14:paraId="79119257" w14:textId="77777777" w:rsidR="001445DD" w:rsidRDefault="001445DD" w:rsidP="001445DD">
      <w:pPr>
        <w:jc w:val="both"/>
        <w:rPr>
          <w:sz w:val="28"/>
          <w:szCs w:val="28"/>
        </w:rPr>
      </w:pPr>
      <w:r>
        <w:rPr>
          <w:sz w:val="28"/>
          <w:szCs w:val="28"/>
        </w:rPr>
        <w:t xml:space="preserve">Martin R. and </w:t>
      </w:r>
      <w:proofErr w:type="spellStart"/>
      <w:r>
        <w:rPr>
          <w:sz w:val="28"/>
          <w:szCs w:val="28"/>
        </w:rPr>
        <w:t>Simmie</w:t>
      </w:r>
      <w:proofErr w:type="spellEnd"/>
      <w:r>
        <w:rPr>
          <w:sz w:val="28"/>
          <w:szCs w:val="28"/>
        </w:rPr>
        <w:t xml:space="preserve"> J. (2008) ‘Path dependence and local innovation systems in city-regions’, Innovation Management, Policy and Practice, 10, pp. 183-196.</w:t>
      </w:r>
    </w:p>
    <w:p w14:paraId="1EC1D018" w14:textId="77777777" w:rsidR="00CC3B9D" w:rsidRPr="00CC3B9D" w:rsidRDefault="00CC3B9D" w:rsidP="00C60493">
      <w:pPr>
        <w:contextualSpacing/>
        <w:rPr>
          <w:sz w:val="28"/>
          <w:szCs w:val="28"/>
        </w:rPr>
      </w:pPr>
      <w:r w:rsidRPr="00CC3B9D">
        <w:rPr>
          <w:sz w:val="28"/>
          <w:szCs w:val="28"/>
        </w:rPr>
        <w:t>Martin R. L., Tyler P. and Gardiner B. (2014) ‘</w:t>
      </w:r>
      <w:proofErr w:type="gramStart"/>
      <w:r w:rsidRPr="00CC3B9D">
        <w:rPr>
          <w:sz w:val="28"/>
          <w:szCs w:val="28"/>
        </w:rPr>
        <w:t>The</w:t>
      </w:r>
      <w:proofErr w:type="gramEnd"/>
      <w:r w:rsidRPr="00CC3B9D">
        <w:rPr>
          <w:sz w:val="28"/>
          <w:szCs w:val="28"/>
        </w:rPr>
        <w:t xml:space="preserve"> evolving economic performance of UK cities: city growth patterns, 1981 to 2011’ (WP4), Future of Cities: Working paper, Foresight, Government Office for Science, available at </w:t>
      </w:r>
      <w:hyperlink r:id="rId11" w:history="1">
        <w:r w:rsidRPr="00CC3B9D">
          <w:rPr>
            <w:sz w:val="28"/>
            <w:szCs w:val="28"/>
          </w:rPr>
          <w:t>https://www.gov.uk/government/publications/future-cities-evolving-economic-performance-of-uk-cities</w:t>
        </w:r>
      </w:hyperlink>
    </w:p>
    <w:p w14:paraId="26859778" w14:textId="77777777" w:rsidR="00C60493" w:rsidRDefault="00C60493" w:rsidP="001445DD">
      <w:pPr>
        <w:jc w:val="both"/>
        <w:rPr>
          <w:sz w:val="28"/>
          <w:szCs w:val="28"/>
        </w:rPr>
      </w:pPr>
    </w:p>
    <w:p w14:paraId="38F1F595" w14:textId="3567309E" w:rsidR="00FE27A3" w:rsidRDefault="00191890" w:rsidP="001445DD">
      <w:pPr>
        <w:jc w:val="both"/>
        <w:rPr>
          <w:sz w:val="28"/>
          <w:szCs w:val="28"/>
        </w:rPr>
      </w:pPr>
      <w:proofErr w:type="spellStart"/>
      <w:r w:rsidRPr="00191890">
        <w:rPr>
          <w:sz w:val="28"/>
          <w:szCs w:val="28"/>
        </w:rPr>
        <w:t>Maurrasse</w:t>
      </w:r>
      <w:proofErr w:type="spellEnd"/>
      <w:r w:rsidRPr="00191890">
        <w:rPr>
          <w:sz w:val="28"/>
          <w:szCs w:val="28"/>
        </w:rPr>
        <w:t xml:space="preserve"> D. (2007) City Anchors: Leveraging Anchor Institutions for Urban Success, CEOs for Cities: Chicago, IL</w:t>
      </w:r>
    </w:p>
    <w:p w14:paraId="3227FA55" w14:textId="77777777" w:rsidR="001445DD" w:rsidRDefault="001445DD" w:rsidP="001445DD">
      <w:pPr>
        <w:jc w:val="both"/>
        <w:rPr>
          <w:sz w:val="28"/>
          <w:szCs w:val="28"/>
        </w:rPr>
      </w:pPr>
      <w:proofErr w:type="spellStart"/>
      <w:r>
        <w:rPr>
          <w:sz w:val="28"/>
          <w:szCs w:val="28"/>
        </w:rPr>
        <w:lastRenderedPageBreak/>
        <w:t>McLoughlin</w:t>
      </w:r>
      <w:proofErr w:type="spellEnd"/>
      <w:r>
        <w:rPr>
          <w:sz w:val="28"/>
          <w:szCs w:val="28"/>
        </w:rPr>
        <w:t xml:space="preserve"> P. and O’Neill (2015) ‘Blueprint for the Northern Powerhouse’</w:t>
      </w:r>
      <w:r>
        <w:t xml:space="preserve">, </w:t>
      </w:r>
      <w:r>
        <w:rPr>
          <w:sz w:val="28"/>
          <w:szCs w:val="28"/>
        </w:rPr>
        <w:t xml:space="preserve">Department for Transport and </w:t>
      </w:r>
      <w:r w:rsidRPr="00AC7C13">
        <w:rPr>
          <w:sz w:val="28"/>
          <w:szCs w:val="28"/>
        </w:rPr>
        <w:t>HM Treasury</w:t>
      </w:r>
      <w:r>
        <w:rPr>
          <w:sz w:val="28"/>
          <w:szCs w:val="28"/>
        </w:rPr>
        <w:t xml:space="preserve">, available at </w:t>
      </w:r>
      <w:hyperlink r:id="rId12" w:history="1">
        <w:r w:rsidRPr="00ED4C6E">
          <w:rPr>
            <w:rStyle w:val="Hyperlink"/>
            <w:sz w:val="28"/>
            <w:szCs w:val="28"/>
          </w:rPr>
          <w:t>https://www.gov.uk/government/news/government-boost-for-northern-powerhouse</w:t>
        </w:r>
      </w:hyperlink>
      <w:r>
        <w:rPr>
          <w:sz w:val="28"/>
          <w:szCs w:val="28"/>
        </w:rPr>
        <w:t xml:space="preserve"> , accessed 22 August 2015.</w:t>
      </w:r>
    </w:p>
    <w:p w14:paraId="52C0EEEB" w14:textId="3A3E6C0F" w:rsidR="00FE27A3" w:rsidRDefault="00FE27A3" w:rsidP="00B953AF">
      <w:pPr>
        <w:contextualSpacing/>
        <w:rPr>
          <w:sz w:val="28"/>
          <w:szCs w:val="28"/>
        </w:rPr>
      </w:pPr>
      <w:r w:rsidRPr="00FE27A3">
        <w:rPr>
          <w:sz w:val="28"/>
          <w:szCs w:val="28"/>
        </w:rPr>
        <w:t xml:space="preserve">McClure C. R, Mandel L. H., Saunders J., </w:t>
      </w:r>
      <w:proofErr w:type="spellStart"/>
      <w:r w:rsidRPr="00FE27A3">
        <w:rPr>
          <w:sz w:val="28"/>
          <w:szCs w:val="28"/>
        </w:rPr>
        <w:t>Alemanne</w:t>
      </w:r>
      <w:proofErr w:type="spellEnd"/>
      <w:r w:rsidRPr="00FE27A3">
        <w:rPr>
          <w:sz w:val="28"/>
          <w:szCs w:val="28"/>
        </w:rPr>
        <w:t xml:space="preserve"> M. D., Spears L. I. and Bishop B. W. (2012)  ‘Ubiquitous Middle Mile Project: Broadband Needs Assessment, Diagnostics and Benchmarking of Selected Anchor Institutions: Final Report’ for North Florida Broadband Authority (NFBA), The Florida State University, Information Use Management &amp; Policy Institute, 2012, pp 1-83.</w:t>
      </w:r>
    </w:p>
    <w:p w14:paraId="07C44DF3" w14:textId="77777777" w:rsidR="00B953AF" w:rsidRDefault="00B953AF" w:rsidP="00B953AF">
      <w:pPr>
        <w:contextualSpacing/>
        <w:rPr>
          <w:sz w:val="28"/>
          <w:szCs w:val="28"/>
        </w:rPr>
      </w:pPr>
    </w:p>
    <w:p w14:paraId="0996DA24" w14:textId="21DE9B49" w:rsidR="00C048CE" w:rsidRDefault="00C048CE" w:rsidP="00B31902">
      <w:pPr>
        <w:widowControl w:val="0"/>
        <w:autoSpaceDE w:val="0"/>
        <w:autoSpaceDN w:val="0"/>
        <w:adjustRightInd w:val="0"/>
        <w:spacing w:after="240" w:line="240" w:lineRule="auto"/>
        <w:jc w:val="both"/>
        <w:rPr>
          <w:sz w:val="28"/>
          <w:szCs w:val="28"/>
        </w:rPr>
      </w:pPr>
      <w:proofErr w:type="spellStart"/>
      <w:r w:rsidRPr="00C048CE">
        <w:rPr>
          <w:sz w:val="28"/>
          <w:szCs w:val="28"/>
        </w:rPr>
        <w:t>McInroy</w:t>
      </w:r>
      <w:proofErr w:type="spellEnd"/>
      <w:r w:rsidRPr="00C048CE">
        <w:rPr>
          <w:sz w:val="28"/>
          <w:szCs w:val="28"/>
        </w:rPr>
        <w:t xml:space="preserve"> N. and Jackson M.; and Paul Hackett (</w:t>
      </w:r>
      <w:proofErr w:type="spellStart"/>
      <w:r w:rsidRPr="00C048CE">
        <w:rPr>
          <w:sz w:val="28"/>
          <w:szCs w:val="28"/>
        </w:rPr>
        <w:t>ed</w:t>
      </w:r>
      <w:proofErr w:type="spellEnd"/>
      <w:r w:rsidRPr="00C048CE">
        <w:rPr>
          <w:sz w:val="28"/>
          <w:szCs w:val="28"/>
        </w:rPr>
        <w:t>) (2015) ‘The local double dividend: securing</w:t>
      </w:r>
      <w:r w:rsidR="00AE08CE">
        <w:rPr>
          <w:sz w:val="28"/>
          <w:szCs w:val="28"/>
        </w:rPr>
        <w:t xml:space="preserve"> economic and social success’, </w:t>
      </w:r>
      <w:r w:rsidRPr="00C048CE">
        <w:rPr>
          <w:sz w:val="28"/>
          <w:szCs w:val="28"/>
        </w:rPr>
        <w:t>Smith Institute ‘policy in the making’ discussion paper, The Centre for Local Economic Strategies (CLES), pp 1-19.</w:t>
      </w:r>
    </w:p>
    <w:p w14:paraId="57BBDD6A" w14:textId="31BCC641" w:rsidR="00CA7C9B" w:rsidRDefault="00CA7C9B" w:rsidP="00CA7C9B">
      <w:pPr>
        <w:contextualSpacing/>
        <w:rPr>
          <w:sz w:val="28"/>
          <w:szCs w:val="28"/>
        </w:rPr>
      </w:pPr>
      <w:proofErr w:type="spellStart"/>
      <w:r w:rsidRPr="00CA7C9B">
        <w:rPr>
          <w:sz w:val="28"/>
          <w:szCs w:val="28"/>
        </w:rPr>
        <w:t>McInroy</w:t>
      </w:r>
      <w:proofErr w:type="spellEnd"/>
      <w:r w:rsidRPr="00CA7C9B">
        <w:rPr>
          <w:sz w:val="28"/>
          <w:szCs w:val="28"/>
        </w:rPr>
        <w:t xml:space="preserve">, N. and </w:t>
      </w:r>
      <w:proofErr w:type="spellStart"/>
      <w:r w:rsidRPr="00CA7C9B">
        <w:rPr>
          <w:sz w:val="28"/>
          <w:szCs w:val="28"/>
        </w:rPr>
        <w:t>Longlands</w:t>
      </w:r>
      <w:proofErr w:type="spellEnd"/>
      <w:r w:rsidRPr="00CA7C9B">
        <w:rPr>
          <w:sz w:val="28"/>
          <w:szCs w:val="28"/>
        </w:rPr>
        <w:t>, S. (2011) Productive Local Economies Creating Resilient Places, Manchester: Centre for Local Economic Strategies</w:t>
      </w:r>
    </w:p>
    <w:p w14:paraId="320E6EE6" w14:textId="77777777" w:rsidR="00CA7C9B" w:rsidRDefault="00CA7C9B" w:rsidP="00CA7C9B">
      <w:pPr>
        <w:contextualSpacing/>
        <w:rPr>
          <w:sz w:val="28"/>
          <w:szCs w:val="28"/>
        </w:rPr>
      </w:pPr>
    </w:p>
    <w:p w14:paraId="4C2ED035" w14:textId="77777777" w:rsidR="00295F41" w:rsidRDefault="008036D3" w:rsidP="001445DD">
      <w:pPr>
        <w:contextualSpacing/>
        <w:jc w:val="both"/>
        <w:rPr>
          <w:sz w:val="28"/>
          <w:szCs w:val="28"/>
        </w:rPr>
      </w:pPr>
      <w:proofErr w:type="spellStart"/>
      <w:r w:rsidRPr="008036D3">
        <w:rPr>
          <w:sz w:val="28"/>
          <w:szCs w:val="28"/>
        </w:rPr>
        <w:t>Mosavi</w:t>
      </w:r>
      <w:proofErr w:type="spellEnd"/>
      <w:r w:rsidRPr="008036D3">
        <w:rPr>
          <w:sz w:val="28"/>
          <w:szCs w:val="28"/>
        </w:rPr>
        <w:t xml:space="preserve"> S. (2015) ‘UKECES explains: What is an anchor institution?</w:t>
      </w:r>
      <w:proofErr w:type="gramStart"/>
      <w:r w:rsidRPr="008036D3">
        <w:rPr>
          <w:sz w:val="28"/>
          <w:szCs w:val="28"/>
        </w:rPr>
        <w:t>’,</w:t>
      </w:r>
      <w:proofErr w:type="gramEnd"/>
      <w:r w:rsidRPr="008036D3">
        <w:rPr>
          <w:sz w:val="28"/>
          <w:szCs w:val="28"/>
        </w:rPr>
        <w:t xml:space="preserve"> UKCES, available at </w:t>
      </w:r>
      <w:hyperlink r:id="rId13" w:history="1">
        <w:r w:rsidRPr="008036D3">
          <w:rPr>
            <w:sz w:val="28"/>
            <w:szCs w:val="28"/>
          </w:rPr>
          <w:t>https://ukces.blog.gov.uk/2015/03/19/ukces-explains-what-is-an-anchor-institution/</w:t>
        </w:r>
      </w:hyperlink>
      <w:r w:rsidRPr="008036D3">
        <w:rPr>
          <w:sz w:val="28"/>
          <w:szCs w:val="28"/>
        </w:rPr>
        <w:t>, accessed 3rd May 2015.</w:t>
      </w:r>
    </w:p>
    <w:p w14:paraId="15D85300" w14:textId="77777777" w:rsidR="00295F41" w:rsidRDefault="00295F41" w:rsidP="001445DD">
      <w:pPr>
        <w:contextualSpacing/>
        <w:jc w:val="both"/>
        <w:rPr>
          <w:sz w:val="28"/>
          <w:szCs w:val="28"/>
        </w:rPr>
      </w:pPr>
    </w:p>
    <w:p w14:paraId="42BB69EB" w14:textId="3AF64C42" w:rsidR="001445DD" w:rsidRDefault="001445DD" w:rsidP="001445DD">
      <w:pPr>
        <w:contextualSpacing/>
        <w:jc w:val="both"/>
        <w:rPr>
          <w:sz w:val="28"/>
          <w:szCs w:val="28"/>
        </w:rPr>
      </w:pPr>
      <w:r w:rsidRPr="00BA1B89">
        <w:rPr>
          <w:sz w:val="28"/>
          <w:szCs w:val="28"/>
        </w:rPr>
        <w:t>N</w:t>
      </w:r>
      <w:r>
        <w:rPr>
          <w:sz w:val="28"/>
          <w:szCs w:val="28"/>
        </w:rPr>
        <w:t xml:space="preserve">ational Audit </w:t>
      </w:r>
      <w:r w:rsidRPr="00BA1B89">
        <w:rPr>
          <w:sz w:val="28"/>
          <w:szCs w:val="28"/>
        </w:rPr>
        <w:t>O</w:t>
      </w:r>
      <w:r>
        <w:rPr>
          <w:sz w:val="28"/>
          <w:szCs w:val="28"/>
        </w:rPr>
        <w:t>ffice [NAO]</w:t>
      </w:r>
      <w:r w:rsidRPr="00BA1B89">
        <w:rPr>
          <w:sz w:val="28"/>
          <w:szCs w:val="28"/>
        </w:rPr>
        <w:t xml:space="preserve"> (2014) Funding and Structures for Local Economic Growth, NAO: London</w:t>
      </w:r>
    </w:p>
    <w:p w14:paraId="1C5218D5" w14:textId="2A48A514" w:rsidR="00F15D13" w:rsidRDefault="00F15D13" w:rsidP="001445DD">
      <w:pPr>
        <w:jc w:val="both"/>
        <w:rPr>
          <w:sz w:val="28"/>
          <w:szCs w:val="28"/>
        </w:rPr>
      </w:pPr>
      <w:r w:rsidRPr="00F15D13">
        <w:rPr>
          <w:sz w:val="28"/>
          <w:szCs w:val="28"/>
        </w:rPr>
        <w:t>Netter Centre for Community Partnerships (2008) ‘Anchor Institutions Toolkit: A guide for neighbourhood revitalisation’, University of Pennsylvania: Philadelphia</w:t>
      </w:r>
    </w:p>
    <w:p w14:paraId="7FC3765E" w14:textId="5B7D58AC" w:rsidR="00DB5EE7" w:rsidRDefault="00DB5EE7" w:rsidP="001445DD">
      <w:pPr>
        <w:jc w:val="both"/>
        <w:rPr>
          <w:sz w:val="28"/>
          <w:szCs w:val="28"/>
        </w:rPr>
      </w:pPr>
      <w:r w:rsidRPr="00DB5EE7">
        <w:rPr>
          <w:sz w:val="28"/>
          <w:szCs w:val="28"/>
        </w:rPr>
        <w:t>Organisation for Economic Co-operation and Development OECD (2009) ‘Investing for Growth: Building Innovative Regions’ Background Report Meeting of the Territorial Development Policy Committee (TDPC) at Ministerial Level 31 March 2009 OECD</w:t>
      </w:r>
    </w:p>
    <w:p w14:paraId="6C37EF42" w14:textId="1FF8402F" w:rsidR="00504492" w:rsidRDefault="00266A7C" w:rsidP="001445DD">
      <w:pPr>
        <w:jc w:val="both"/>
        <w:rPr>
          <w:sz w:val="28"/>
          <w:szCs w:val="28"/>
        </w:rPr>
      </w:pPr>
      <w:r w:rsidRPr="00266A7C">
        <w:rPr>
          <w:sz w:val="28"/>
          <w:szCs w:val="28"/>
        </w:rPr>
        <w:t xml:space="preserve">Organisation for Economic Cooperation and Development [OECD] (2012) ‘Promoting growth in all Regions’, Paris, OECD available at </w:t>
      </w:r>
      <w:hyperlink r:id="rId14" w:history="1">
        <w:r w:rsidRPr="00266A7C">
          <w:rPr>
            <w:sz w:val="28"/>
            <w:szCs w:val="28"/>
          </w:rPr>
          <w:t>http://www.oecd.org/site/govrdpc/50138839.pdf</w:t>
        </w:r>
      </w:hyperlink>
      <w:r w:rsidR="00B355A0">
        <w:rPr>
          <w:sz w:val="28"/>
          <w:szCs w:val="28"/>
        </w:rPr>
        <w:t>. Accessed 22 September 20</w:t>
      </w:r>
      <w:r w:rsidRPr="00266A7C">
        <w:rPr>
          <w:sz w:val="28"/>
          <w:szCs w:val="28"/>
        </w:rPr>
        <w:t>15</w:t>
      </w:r>
    </w:p>
    <w:p w14:paraId="015E70E1" w14:textId="2ABC7E3B" w:rsidR="00504492" w:rsidRDefault="00504492" w:rsidP="001445DD">
      <w:pPr>
        <w:jc w:val="both"/>
        <w:rPr>
          <w:sz w:val="28"/>
          <w:szCs w:val="28"/>
        </w:rPr>
      </w:pPr>
      <w:r w:rsidRPr="00504492">
        <w:rPr>
          <w:sz w:val="28"/>
          <w:szCs w:val="28"/>
        </w:rPr>
        <w:t>Organisation for Economic Cooperation and Development (OECD) identified in its report on ‘Pr</w:t>
      </w:r>
      <w:r>
        <w:rPr>
          <w:sz w:val="28"/>
          <w:szCs w:val="28"/>
        </w:rPr>
        <w:t xml:space="preserve">omoting Growth in all Regions’ (in OECD 2012, p 25, in </w:t>
      </w:r>
      <w:proofErr w:type="spellStart"/>
      <w:r>
        <w:rPr>
          <w:sz w:val="28"/>
          <w:szCs w:val="28"/>
        </w:rPr>
        <w:t>Tomaney</w:t>
      </w:r>
      <w:proofErr w:type="spellEnd"/>
      <w:r>
        <w:rPr>
          <w:sz w:val="28"/>
          <w:szCs w:val="28"/>
        </w:rPr>
        <w:t xml:space="preserve"> 2014). </w:t>
      </w:r>
    </w:p>
    <w:p w14:paraId="2ADB2A73" w14:textId="2800F7B4" w:rsidR="001445DD" w:rsidRDefault="001445DD" w:rsidP="001445DD">
      <w:pPr>
        <w:jc w:val="both"/>
        <w:rPr>
          <w:sz w:val="28"/>
          <w:szCs w:val="28"/>
        </w:rPr>
      </w:pPr>
      <w:r w:rsidRPr="00620255">
        <w:rPr>
          <w:sz w:val="28"/>
          <w:szCs w:val="28"/>
        </w:rPr>
        <w:t xml:space="preserve">Osborne </w:t>
      </w:r>
      <w:r>
        <w:rPr>
          <w:sz w:val="28"/>
          <w:szCs w:val="28"/>
        </w:rPr>
        <w:t>G. (2014) ‘</w:t>
      </w:r>
      <w:r w:rsidRPr="00620255">
        <w:rPr>
          <w:sz w:val="28"/>
          <w:szCs w:val="28"/>
        </w:rPr>
        <w:t>We need a Northern powerhouse'</w:t>
      </w:r>
      <w:r>
        <w:rPr>
          <w:sz w:val="28"/>
          <w:szCs w:val="28"/>
        </w:rPr>
        <w:t xml:space="preserve">, speech, 23 June 2014 at </w:t>
      </w:r>
      <w:r w:rsidRPr="00620255">
        <w:rPr>
          <w:sz w:val="28"/>
          <w:szCs w:val="28"/>
        </w:rPr>
        <w:t>Museum of Science and Industry, Manchester</w:t>
      </w:r>
      <w:r>
        <w:rPr>
          <w:sz w:val="28"/>
          <w:szCs w:val="28"/>
        </w:rPr>
        <w:t xml:space="preserve">, available at </w:t>
      </w:r>
      <w:hyperlink r:id="rId15" w:history="1">
        <w:r w:rsidRPr="00ED4C6E">
          <w:rPr>
            <w:rStyle w:val="Hyperlink"/>
            <w:sz w:val="28"/>
            <w:szCs w:val="28"/>
          </w:rPr>
          <w:t>https://www.gov.uk/government/speeches/chancellor-we-need-a-northern-powerhouse</w:t>
        </w:r>
      </w:hyperlink>
      <w:r>
        <w:rPr>
          <w:sz w:val="28"/>
          <w:szCs w:val="28"/>
        </w:rPr>
        <w:t>, Treasury, accessed 22 August 2015.</w:t>
      </w:r>
    </w:p>
    <w:p w14:paraId="742849C0" w14:textId="6E44FD3E" w:rsidR="002B54A0" w:rsidRDefault="002B54A0" w:rsidP="001445DD">
      <w:pPr>
        <w:jc w:val="both"/>
        <w:rPr>
          <w:sz w:val="28"/>
          <w:szCs w:val="28"/>
        </w:rPr>
      </w:pPr>
      <w:r w:rsidRPr="002B54A0">
        <w:rPr>
          <w:sz w:val="28"/>
          <w:szCs w:val="28"/>
        </w:rPr>
        <w:t xml:space="preserve">Parkinson M. (2013a) ‘In an Age of Austerity, Why invest Beyond London’, in our Core Cities?’ in ‘Keys to the City: Unlocking Urban Economies </w:t>
      </w:r>
      <w:proofErr w:type="gramStart"/>
      <w:r w:rsidRPr="002B54A0">
        <w:rPr>
          <w:sz w:val="28"/>
          <w:szCs w:val="28"/>
        </w:rPr>
        <w:t>Through</w:t>
      </w:r>
      <w:proofErr w:type="gramEnd"/>
      <w:r w:rsidRPr="002B54A0">
        <w:rPr>
          <w:sz w:val="28"/>
          <w:szCs w:val="28"/>
        </w:rPr>
        <w:t xml:space="preserve"> Devolution’, Core Cities pp 18-23.Parkinson (2013b) ‘No Cities, no civilisation: no successful cities, no successful nations’, Core Cities and Manchester City Council </w:t>
      </w:r>
    </w:p>
    <w:p w14:paraId="66720D6D" w14:textId="3EF4FA4D" w:rsidR="00882943" w:rsidRDefault="00882943" w:rsidP="006D0529">
      <w:pPr>
        <w:rPr>
          <w:sz w:val="28"/>
          <w:szCs w:val="28"/>
        </w:rPr>
      </w:pPr>
      <w:r w:rsidRPr="00882943">
        <w:rPr>
          <w:sz w:val="28"/>
          <w:szCs w:val="28"/>
        </w:rPr>
        <w:t xml:space="preserve">Parkinson M. et al (2013c) Second Tier Cities in Europe: In an age of Austerity, Why Invest </w:t>
      </w:r>
      <w:proofErr w:type="gramStart"/>
      <w:r w:rsidRPr="00882943">
        <w:rPr>
          <w:sz w:val="28"/>
          <w:szCs w:val="28"/>
        </w:rPr>
        <w:t>Beyond</w:t>
      </w:r>
      <w:proofErr w:type="gramEnd"/>
      <w:r w:rsidRPr="00882943">
        <w:rPr>
          <w:sz w:val="28"/>
          <w:szCs w:val="28"/>
        </w:rPr>
        <w:t xml:space="preserve"> the Capitals?’ Epson, European Union and Liverpool John </w:t>
      </w:r>
      <w:proofErr w:type="spellStart"/>
      <w:r w:rsidRPr="00882943">
        <w:rPr>
          <w:sz w:val="28"/>
          <w:szCs w:val="28"/>
        </w:rPr>
        <w:t>Moores</w:t>
      </w:r>
      <w:proofErr w:type="spellEnd"/>
      <w:r w:rsidRPr="00882943">
        <w:rPr>
          <w:sz w:val="28"/>
          <w:szCs w:val="28"/>
        </w:rPr>
        <w:t xml:space="preserve"> University</w:t>
      </w:r>
    </w:p>
    <w:p w14:paraId="34F83B98" w14:textId="77777777" w:rsidR="001445DD" w:rsidRDefault="001445DD" w:rsidP="001445DD">
      <w:pPr>
        <w:jc w:val="both"/>
        <w:rPr>
          <w:sz w:val="28"/>
          <w:szCs w:val="28"/>
        </w:rPr>
      </w:pPr>
      <w:r w:rsidRPr="005640D7">
        <w:rPr>
          <w:sz w:val="28"/>
          <w:szCs w:val="28"/>
        </w:rPr>
        <w:t xml:space="preserve">Parliament UK (2014) Devolution in England: The Case for Local Government, Communities and Local Government Committee. http://www.publications.parliament. </w:t>
      </w:r>
      <w:proofErr w:type="spellStart"/>
      <w:proofErr w:type="gramStart"/>
      <w:r w:rsidRPr="005640D7">
        <w:rPr>
          <w:sz w:val="28"/>
          <w:szCs w:val="28"/>
        </w:rPr>
        <w:t>uk</w:t>
      </w:r>
      <w:proofErr w:type="spellEnd"/>
      <w:r w:rsidRPr="005640D7">
        <w:rPr>
          <w:sz w:val="28"/>
          <w:szCs w:val="28"/>
        </w:rPr>
        <w:t>/pa/cm201415/</w:t>
      </w:r>
      <w:proofErr w:type="spellStart"/>
      <w:r w:rsidRPr="005640D7">
        <w:rPr>
          <w:sz w:val="28"/>
          <w:szCs w:val="28"/>
        </w:rPr>
        <w:t>cmselect</w:t>
      </w:r>
      <w:proofErr w:type="spellEnd"/>
      <w:proofErr w:type="gramEnd"/>
      <w:r w:rsidRPr="005640D7">
        <w:rPr>
          <w:sz w:val="28"/>
          <w:szCs w:val="28"/>
        </w:rPr>
        <w:t xml:space="preserve">/ </w:t>
      </w:r>
      <w:proofErr w:type="spellStart"/>
      <w:r w:rsidRPr="005640D7">
        <w:rPr>
          <w:sz w:val="28"/>
          <w:szCs w:val="28"/>
        </w:rPr>
        <w:t>cmcomloc</w:t>
      </w:r>
      <w:proofErr w:type="spellEnd"/>
      <w:r w:rsidRPr="005640D7">
        <w:rPr>
          <w:sz w:val="28"/>
          <w:szCs w:val="28"/>
        </w:rPr>
        <w:t>/503/50305.htm#note31</w:t>
      </w:r>
    </w:p>
    <w:p w14:paraId="29D84196" w14:textId="4E2E04D2" w:rsidR="0075540D" w:rsidRDefault="0075540D" w:rsidP="00446959">
      <w:pPr>
        <w:widowControl w:val="0"/>
        <w:autoSpaceDE w:val="0"/>
        <w:autoSpaceDN w:val="0"/>
        <w:adjustRightInd w:val="0"/>
        <w:spacing w:after="240" w:line="240" w:lineRule="auto"/>
        <w:jc w:val="both"/>
        <w:rPr>
          <w:sz w:val="28"/>
          <w:szCs w:val="28"/>
        </w:rPr>
      </w:pPr>
      <w:r w:rsidRPr="0075540D">
        <w:rPr>
          <w:sz w:val="28"/>
          <w:szCs w:val="28"/>
        </w:rPr>
        <w:t>Penn Institute for Urban Research (</w:t>
      </w:r>
      <w:proofErr w:type="spellStart"/>
      <w:r w:rsidRPr="0075540D">
        <w:rPr>
          <w:sz w:val="28"/>
          <w:szCs w:val="28"/>
        </w:rPr>
        <w:t>nd</w:t>
      </w:r>
      <w:proofErr w:type="spellEnd"/>
      <w:r w:rsidRPr="0075540D">
        <w:rPr>
          <w:sz w:val="28"/>
          <w:szCs w:val="28"/>
        </w:rPr>
        <w:t>) ‘Anchor Institutions and their role in Metropolitan Change, White Paper on Penn IUR Initiatives on Anchor Institutions’, available at penniur.upenn.edu/uploads/media/anchor-institutions-and-their-role-in-metropolitan-change.pdf accessed on 03/05/15.</w:t>
      </w:r>
    </w:p>
    <w:p w14:paraId="32130A70" w14:textId="77777777" w:rsidR="001445DD" w:rsidRDefault="001445DD" w:rsidP="001445DD">
      <w:pPr>
        <w:jc w:val="both"/>
        <w:rPr>
          <w:sz w:val="28"/>
          <w:szCs w:val="28"/>
        </w:rPr>
      </w:pPr>
      <w:proofErr w:type="spellStart"/>
      <w:r>
        <w:rPr>
          <w:sz w:val="28"/>
          <w:szCs w:val="28"/>
        </w:rPr>
        <w:t>Pidd</w:t>
      </w:r>
      <w:proofErr w:type="spellEnd"/>
      <w:r>
        <w:rPr>
          <w:sz w:val="28"/>
          <w:szCs w:val="28"/>
        </w:rPr>
        <w:t xml:space="preserve"> H. (2015) ‘</w:t>
      </w:r>
      <w:r w:rsidRPr="00344215">
        <w:rPr>
          <w:sz w:val="28"/>
          <w:szCs w:val="28"/>
        </w:rPr>
        <w:t>Manchester the clear focus of George Osborne's 'northern powerhouse'</w:t>
      </w:r>
      <w:r>
        <w:rPr>
          <w:sz w:val="28"/>
          <w:szCs w:val="28"/>
        </w:rPr>
        <w:t>, The Guardian, available at</w:t>
      </w:r>
      <w:r w:rsidRPr="00344215">
        <w:rPr>
          <w:sz w:val="28"/>
          <w:szCs w:val="28"/>
        </w:rPr>
        <w:t xml:space="preserve"> </w:t>
      </w:r>
      <w:hyperlink r:id="rId16" w:history="1">
        <w:r w:rsidRPr="00ED4C6E">
          <w:rPr>
            <w:rStyle w:val="Hyperlink"/>
            <w:sz w:val="28"/>
            <w:szCs w:val="28"/>
          </w:rPr>
          <w:t>http://www.theguardian.com/uk-news/2015/jul/08/manchester-the-clear-focus-of-george-osbornes-northern-powerhouse</w:t>
        </w:r>
      </w:hyperlink>
      <w:r>
        <w:rPr>
          <w:sz w:val="28"/>
          <w:szCs w:val="28"/>
        </w:rPr>
        <w:t xml:space="preserve"> , accessed 22 August 2015.</w:t>
      </w:r>
    </w:p>
    <w:p w14:paraId="1F844AD3" w14:textId="77777777" w:rsidR="001445DD" w:rsidRDefault="001445DD" w:rsidP="001445DD">
      <w:pPr>
        <w:jc w:val="both"/>
        <w:rPr>
          <w:sz w:val="28"/>
          <w:szCs w:val="28"/>
        </w:rPr>
      </w:pPr>
      <w:r>
        <w:rPr>
          <w:sz w:val="28"/>
          <w:szCs w:val="28"/>
        </w:rPr>
        <w:t xml:space="preserve">Porter, M. </w:t>
      </w:r>
      <w:r w:rsidRPr="00914719">
        <w:rPr>
          <w:sz w:val="28"/>
          <w:szCs w:val="28"/>
        </w:rPr>
        <w:t xml:space="preserve">E. </w:t>
      </w:r>
      <w:r>
        <w:rPr>
          <w:sz w:val="28"/>
          <w:szCs w:val="28"/>
        </w:rPr>
        <w:t>(2010) ‘</w:t>
      </w:r>
      <w:r w:rsidRPr="00914719">
        <w:rPr>
          <w:sz w:val="28"/>
          <w:szCs w:val="28"/>
        </w:rPr>
        <w:t>Anchor Institutions and Urban Economic Development: From Community Benefit to Shared Value</w:t>
      </w:r>
      <w:r>
        <w:rPr>
          <w:sz w:val="28"/>
          <w:szCs w:val="28"/>
        </w:rPr>
        <w:t>,’</w:t>
      </w:r>
      <w:r w:rsidRPr="00914719">
        <w:rPr>
          <w:sz w:val="28"/>
          <w:szCs w:val="28"/>
        </w:rPr>
        <w:t xml:space="preserve"> Inner City </w:t>
      </w:r>
      <w:r w:rsidRPr="00914719">
        <w:rPr>
          <w:sz w:val="28"/>
          <w:szCs w:val="28"/>
        </w:rPr>
        <w:lastRenderedPageBreak/>
        <w:t xml:space="preserve">Economic Summit, Initiative for a Competitive Inner City, San </w:t>
      </w:r>
      <w:r>
        <w:rPr>
          <w:sz w:val="28"/>
          <w:szCs w:val="28"/>
        </w:rPr>
        <w:t>Francisco, CA, October 26, 2010, available at</w:t>
      </w:r>
      <w:r w:rsidRPr="00914719">
        <w:rPr>
          <w:sz w:val="28"/>
          <w:szCs w:val="28"/>
        </w:rPr>
        <w:t xml:space="preserve"> </w:t>
      </w:r>
      <w:hyperlink r:id="rId17" w:history="1">
        <w:r w:rsidRPr="00ED4C6E">
          <w:rPr>
            <w:rStyle w:val="Hyperlink"/>
            <w:sz w:val="28"/>
            <w:szCs w:val="28"/>
          </w:rPr>
          <w:t>http://www.hbs.edu/faculty/Publication%20Files/2010-1026_ICEF_ANCHORS_MEP_13ec3cb4-bc71-4d2a-8832-e8880bced5f3.pdf</w:t>
        </w:r>
      </w:hyperlink>
      <w:r>
        <w:rPr>
          <w:sz w:val="28"/>
          <w:szCs w:val="28"/>
        </w:rPr>
        <w:t xml:space="preserve"> , accessed 22 August 2015.</w:t>
      </w:r>
    </w:p>
    <w:p w14:paraId="2C41EDCD" w14:textId="4D1B066F" w:rsidR="00DB6193" w:rsidRDefault="001445DD" w:rsidP="0063666A">
      <w:pPr>
        <w:jc w:val="both"/>
        <w:rPr>
          <w:sz w:val="28"/>
          <w:szCs w:val="28"/>
        </w:rPr>
      </w:pPr>
      <w:r w:rsidRPr="00A02825">
        <w:rPr>
          <w:sz w:val="28"/>
          <w:szCs w:val="28"/>
        </w:rPr>
        <w:t xml:space="preserve">Porter, </w:t>
      </w:r>
      <w:r>
        <w:rPr>
          <w:sz w:val="28"/>
          <w:szCs w:val="28"/>
        </w:rPr>
        <w:t xml:space="preserve">M. E., and </w:t>
      </w:r>
      <w:r w:rsidRPr="00A02825">
        <w:rPr>
          <w:sz w:val="28"/>
          <w:szCs w:val="28"/>
        </w:rPr>
        <w:t>Kramer</w:t>
      </w:r>
      <w:r>
        <w:rPr>
          <w:sz w:val="28"/>
          <w:szCs w:val="28"/>
        </w:rPr>
        <w:t xml:space="preserve"> M. R. </w:t>
      </w:r>
      <w:r w:rsidRPr="00A02825">
        <w:rPr>
          <w:sz w:val="28"/>
          <w:szCs w:val="28"/>
        </w:rPr>
        <w:t xml:space="preserve"> </w:t>
      </w:r>
      <w:r>
        <w:rPr>
          <w:sz w:val="28"/>
          <w:szCs w:val="28"/>
        </w:rPr>
        <w:t xml:space="preserve">(2011) ‘Creating Shared Value’, </w:t>
      </w:r>
      <w:r w:rsidRPr="00A02825">
        <w:rPr>
          <w:sz w:val="28"/>
          <w:szCs w:val="28"/>
        </w:rPr>
        <w:t>Harvard Business Revi</w:t>
      </w:r>
      <w:r w:rsidR="00DB6193">
        <w:rPr>
          <w:sz w:val="28"/>
          <w:szCs w:val="28"/>
        </w:rPr>
        <w:t>ew, January-February 2011, pp 62-</w:t>
      </w:r>
      <w:r w:rsidRPr="00A02825">
        <w:rPr>
          <w:sz w:val="28"/>
          <w:szCs w:val="28"/>
        </w:rPr>
        <w:t xml:space="preserve"> </w:t>
      </w:r>
      <w:r w:rsidR="00DB6193">
        <w:rPr>
          <w:sz w:val="28"/>
          <w:szCs w:val="28"/>
        </w:rPr>
        <w:t>77 at p</w:t>
      </w:r>
      <w:r w:rsidRPr="00A02825">
        <w:rPr>
          <w:sz w:val="28"/>
          <w:szCs w:val="28"/>
        </w:rPr>
        <w:t>64, 66</w:t>
      </w:r>
      <w:r w:rsidR="00DB6193">
        <w:rPr>
          <w:sz w:val="28"/>
          <w:szCs w:val="28"/>
        </w:rPr>
        <w:t>, Sage</w:t>
      </w:r>
    </w:p>
    <w:p w14:paraId="2E19C4B0" w14:textId="77777777" w:rsidR="001445DD" w:rsidRDefault="001445DD" w:rsidP="001445DD">
      <w:pPr>
        <w:jc w:val="both"/>
        <w:rPr>
          <w:sz w:val="28"/>
          <w:szCs w:val="28"/>
        </w:rPr>
      </w:pPr>
      <w:r>
        <w:rPr>
          <w:sz w:val="28"/>
          <w:szCs w:val="28"/>
        </w:rPr>
        <w:t xml:space="preserve">RSA (2014) ‘Unleashing Metro Growth, Final Recommendations of the City Growth Commission’, October 2014, RSA, available at </w:t>
      </w:r>
      <w:hyperlink r:id="rId18" w:history="1">
        <w:r w:rsidRPr="00ED4C6E">
          <w:rPr>
            <w:rStyle w:val="Hyperlink"/>
            <w:sz w:val="28"/>
            <w:szCs w:val="28"/>
          </w:rPr>
          <w:t>http://www.citygrowthcommission.com/wp-content/uploads/2014/10/City-Growth-Commission-Final-Report.pdf</w:t>
        </w:r>
      </w:hyperlink>
      <w:r>
        <w:rPr>
          <w:sz w:val="28"/>
          <w:szCs w:val="28"/>
        </w:rPr>
        <w:t>, accessed 22 August 2015.</w:t>
      </w:r>
    </w:p>
    <w:p w14:paraId="186E896A" w14:textId="6F17F5DD" w:rsidR="00B812F3" w:rsidRDefault="00B812F3" w:rsidP="001445DD">
      <w:pPr>
        <w:jc w:val="both"/>
        <w:rPr>
          <w:sz w:val="28"/>
          <w:szCs w:val="28"/>
        </w:rPr>
      </w:pPr>
      <w:r>
        <w:rPr>
          <w:sz w:val="28"/>
          <w:szCs w:val="28"/>
        </w:rPr>
        <w:t>RSA (2015) ‘Community Capital: The Value of Connected Communities’</w:t>
      </w:r>
      <w:r w:rsidR="001E5BC5">
        <w:rPr>
          <w:sz w:val="28"/>
          <w:szCs w:val="28"/>
        </w:rPr>
        <w:t xml:space="preserve">, RSA, </w:t>
      </w:r>
      <w:proofErr w:type="gramStart"/>
      <w:r w:rsidR="001E5BC5">
        <w:rPr>
          <w:sz w:val="28"/>
          <w:szCs w:val="28"/>
        </w:rPr>
        <w:t>October</w:t>
      </w:r>
      <w:proofErr w:type="gramEnd"/>
      <w:r>
        <w:rPr>
          <w:sz w:val="28"/>
          <w:szCs w:val="28"/>
        </w:rPr>
        <w:t xml:space="preserve"> 2015.</w:t>
      </w:r>
    </w:p>
    <w:p w14:paraId="2D9B5B45" w14:textId="77777777" w:rsidR="001445DD" w:rsidRDefault="001445DD" w:rsidP="001445DD">
      <w:pPr>
        <w:jc w:val="both"/>
        <w:rPr>
          <w:sz w:val="28"/>
          <w:szCs w:val="28"/>
        </w:rPr>
      </w:pPr>
      <w:proofErr w:type="spellStart"/>
      <w:r>
        <w:rPr>
          <w:sz w:val="28"/>
          <w:szCs w:val="28"/>
        </w:rPr>
        <w:t>Sandford</w:t>
      </w:r>
      <w:proofErr w:type="spellEnd"/>
      <w:r>
        <w:rPr>
          <w:sz w:val="28"/>
          <w:szCs w:val="28"/>
        </w:rPr>
        <w:t xml:space="preserve"> M. (2015) ‘Combined Authorities’, Briefing paper, 06649, 24 June 2015, House of Commons Library.</w:t>
      </w:r>
    </w:p>
    <w:p w14:paraId="3C093CE9" w14:textId="77777777" w:rsidR="001445DD" w:rsidRDefault="001445DD" w:rsidP="001445DD">
      <w:pPr>
        <w:jc w:val="both"/>
        <w:rPr>
          <w:sz w:val="28"/>
          <w:szCs w:val="28"/>
        </w:rPr>
      </w:pPr>
      <w:proofErr w:type="spellStart"/>
      <w:r>
        <w:rPr>
          <w:sz w:val="28"/>
          <w:szCs w:val="28"/>
        </w:rPr>
        <w:t>Serang</w:t>
      </w:r>
      <w:proofErr w:type="spellEnd"/>
      <w:r>
        <w:rPr>
          <w:sz w:val="28"/>
          <w:szCs w:val="28"/>
        </w:rPr>
        <w:t xml:space="preserve"> F. Thompson J. P and Howard T. (2013) ‘The Anchor Mission: Leveraging the Power of Anchor </w:t>
      </w:r>
      <w:r w:rsidRPr="00AB23B9">
        <w:rPr>
          <w:sz w:val="28"/>
          <w:szCs w:val="28"/>
        </w:rPr>
        <w:t>Institutions to Build Community Wealth</w:t>
      </w:r>
      <w:r>
        <w:rPr>
          <w:sz w:val="28"/>
          <w:szCs w:val="28"/>
        </w:rPr>
        <w:t xml:space="preserve">’ </w:t>
      </w:r>
      <w:proofErr w:type="gramStart"/>
      <w:r w:rsidRPr="003D4979">
        <w:rPr>
          <w:sz w:val="28"/>
          <w:szCs w:val="28"/>
        </w:rPr>
        <w:t>The</w:t>
      </w:r>
      <w:proofErr w:type="gramEnd"/>
      <w:r w:rsidRPr="003D4979">
        <w:rPr>
          <w:sz w:val="28"/>
          <w:szCs w:val="28"/>
        </w:rPr>
        <w:t xml:space="preserve"> Democracy Collaborative</w:t>
      </w:r>
      <w:r>
        <w:rPr>
          <w:sz w:val="28"/>
          <w:szCs w:val="28"/>
        </w:rPr>
        <w:t xml:space="preserve">, Massachusetts Institute of Technology and University of Maryland, available at </w:t>
      </w:r>
      <w:hyperlink r:id="rId19" w:history="1">
        <w:r w:rsidRPr="00ED4C6E">
          <w:rPr>
            <w:rStyle w:val="Hyperlink"/>
            <w:sz w:val="28"/>
            <w:szCs w:val="28"/>
          </w:rPr>
          <w:t>http://community-wealth.org/sites/clone.community-wealth.org/files/downloads/UH-composite-online.pdf</w:t>
        </w:r>
      </w:hyperlink>
      <w:r>
        <w:rPr>
          <w:sz w:val="28"/>
          <w:szCs w:val="28"/>
        </w:rPr>
        <w:t>, accessed 22 August 2015.</w:t>
      </w:r>
    </w:p>
    <w:p w14:paraId="03FD6A6C" w14:textId="2BE8604A" w:rsidR="00FF074F" w:rsidRDefault="00E93BBC" w:rsidP="001445DD">
      <w:pPr>
        <w:jc w:val="both"/>
        <w:rPr>
          <w:sz w:val="28"/>
          <w:szCs w:val="28"/>
        </w:rPr>
      </w:pPr>
      <w:proofErr w:type="spellStart"/>
      <w:r w:rsidRPr="00E93BBC">
        <w:rPr>
          <w:sz w:val="28"/>
          <w:szCs w:val="28"/>
        </w:rPr>
        <w:t>Smallbone</w:t>
      </w:r>
      <w:proofErr w:type="spellEnd"/>
      <w:r w:rsidRPr="00E93BBC">
        <w:rPr>
          <w:sz w:val="28"/>
          <w:szCs w:val="28"/>
        </w:rPr>
        <w:t xml:space="preserve"> D., </w:t>
      </w:r>
      <w:proofErr w:type="spellStart"/>
      <w:r w:rsidRPr="00E93BBC">
        <w:rPr>
          <w:sz w:val="28"/>
          <w:szCs w:val="28"/>
        </w:rPr>
        <w:t>Kitching</w:t>
      </w:r>
      <w:proofErr w:type="spellEnd"/>
      <w:r w:rsidRPr="00E93BBC">
        <w:rPr>
          <w:sz w:val="28"/>
          <w:szCs w:val="28"/>
        </w:rPr>
        <w:t xml:space="preserve"> J., Blackburn R.(2015) ’Anchor Institutions and small firms in the UK: A review of the literature on anchor institutions and their role in developing management and leadership skills in small firms’, UK Commission on Employment and Skills, (UKCES) at p vii.</w:t>
      </w:r>
    </w:p>
    <w:p w14:paraId="5733258D" w14:textId="58449AE9" w:rsidR="006D0529" w:rsidRDefault="006D0529" w:rsidP="006D0529">
      <w:pPr>
        <w:rPr>
          <w:sz w:val="28"/>
          <w:szCs w:val="28"/>
        </w:rPr>
      </w:pPr>
      <w:r w:rsidRPr="00882943">
        <w:rPr>
          <w:sz w:val="28"/>
          <w:szCs w:val="28"/>
        </w:rPr>
        <w:t xml:space="preserve">Social Mobility &amp; Child Poverty Commission (2014) ‘State of the Nation 2014: Social Mobility and Child Poverty in Great Britain’ Report Summary, October 2014, </w:t>
      </w:r>
    </w:p>
    <w:p w14:paraId="3D868B22" w14:textId="77777777" w:rsidR="00A4677D" w:rsidRPr="00A4677D" w:rsidRDefault="00A4677D" w:rsidP="00E1223D">
      <w:pPr>
        <w:contextualSpacing/>
        <w:jc w:val="both"/>
        <w:rPr>
          <w:sz w:val="28"/>
          <w:szCs w:val="28"/>
        </w:rPr>
      </w:pPr>
      <w:proofErr w:type="spellStart"/>
      <w:r w:rsidRPr="00A4677D">
        <w:rPr>
          <w:sz w:val="28"/>
          <w:szCs w:val="28"/>
        </w:rPr>
        <w:lastRenderedPageBreak/>
        <w:t>Stasch</w:t>
      </w:r>
      <w:proofErr w:type="spellEnd"/>
      <w:r w:rsidRPr="00A4677D">
        <w:rPr>
          <w:sz w:val="28"/>
          <w:szCs w:val="28"/>
        </w:rPr>
        <w:t xml:space="preserve"> J. (2014) ‘Economic Development: Chicago Anchors for a Strong Economy (CASE)’, Plan for Economic Growth and jobs, presentation at </w:t>
      </w:r>
      <w:proofErr w:type="spellStart"/>
      <w:r w:rsidRPr="00A4677D">
        <w:rPr>
          <w:sz w:val="28"/>
          <w:szCs w:val="28"/>
        </w:rPr>
        <w:t>Marga</w:t>
      </w:r>
      <w:proofErr w:type="spellEnd"/>
      <w:r w:rsidRPr="00A4677D">
        <w:rPr>
          <w:sz w:val="28"/>
          <w:szCs w:val="28"/>
        </w:rPr>
        <w:t xml:space="preserve"> conference 2015, 17-18th November 2014, AITF Annual Conference, Chicago</w:t>
      </w:r>
    </w:p>
    <w:p w14:paraId="563800E1" w14:textId="77777777" w:rsidR="00A4677D" w:rsidRDefault="00A4677D" w:rsidP="001445DD">
      <w:pPr>
        <w:jc w:val="both"/>
        <w:rPr>
          <w:sz w:val="28"/>
          <w:szCs w:val="28"/>
        </w:rPr>
      </w:pPr>
    </w:p>
    <w:p w14:paraId="0C7C00ED" w14:textId="77777777" w:rsidR="0029035A" w:rsidRPr="0029035A" w:rsidRDefault="0029035A" w:rsidP="0029035A">
      <w:pPr>
        <w:contextualSpacing/>
        <w:jc w:val="both"/>
        <w:rPr>
          <w:sz w:val="28"/>
          <w:szCs w:val="28"/>
        </w:rPr>
      </w:pPr>
      <w:r w:rsidRPr="0029035A">
        <w:rPr>
          <w:sz w:val="28"/>
          <w:szCs w:val="28"/>
        </w:rPr>
        <w:t xml:space="preserve">Taylor H. L. Jr. and </w:t>
      </w:r>
      <w:proofErr w:type="spellStart"/>
      <w:r w:rsidRPr="0029035A">
        <w:rPr>
          <w:sz w:val="28"/>
          <w:szCs w:val="28"/>
        </w:rPr>
        <w:t>Luter</w:t>
      </w:r>
      <w:proofErr w:type="spellEnd"/>
      <w:r w:rsidRPr="0029035A">
        <w:rPr>
          <w:sz w:val="28"/>
          <w:szCs w:val="28"/>
        </w:rPr>
        <w:t xml:space="preserve"> G. (2013) ‘Anchor Institutions: An Interpretive Review Essay’, Anchor Institutions Task Force, </w:t>
      </w:r>
      <w:proofErr w:type="spellStart"/>
      <w:r w:rsidRPr="0029035A">
        <w:rPr>
          <w:sz w:val="28"/>
          <w:szCs w:val="28"/>
        </w:rPr>
        <w:t>Marga</w:t>
      </w:r>
      <w:proofErr w:type="spellEnd"/>
      <w:r w:rsidRPr="0029035A">
        <w:rPr>
          <w:sz w:val="28"/>
          <w:szCs w:val="28"/>
        </w:rPr>
        <w:t>.</w:t>
      </w:r>
    </w:p>
    <w:p w14:paraId="23E46824" w14:textId="77777777" w:rsidR="0029035A" w:rsidRDefault="0029035A" w:rsidP="001445DD">
      <w:pPr>
        <w:jc w:val="both"/>
        <w:rPr>
          <w:sz w:val="28"/>
          <w:szCs w:val="28"/>
        </w:rPr>
      </w:pPr>
    </w:p>
    <w:p w14:paraId="16C21CFA" w14:textId="78735790" w:rsidR="006A6828" w:rsidRDefault="006A6828" w:rsidP="006A6828">
      <w:pPr>
        <w:widowControl w:val="0"/>
        <w:autoSpaceDE w:val="0"/>
        <w:autoSpaceDN w:val="0"/>
        <w:adjustRightInd w:val="0"/>
        <w:spacing w:after="240" w:line="240" w:lineRule="auto"/>
        <w:jc w:val="both"/>
        <w:rPr>
          <w:sz w:val="28"/>
          <w:szCs w:val="28"/>
        </w:rPr>
      </w:pPr>
      <w:r w:rsidRPr="006A6828">
        <w:rPr>
          <w:sz w:val="28"/>
          <w:szCs w:val="28"/>
        </w:rPr>
        <w:t>The Work Foundation (2010) ‘Anchoring Growth: the Role of Anchoring Institutions in the regeneration of UK cities’, The Work Foundation</w:t>
      </w:r>
      <w:r w:rsidR="00BF633B">
        <w:rPr>
          <w:sz w:val="28"/>
          <w:szCs w:val="28"/>
        </w:rPr>
        <w:t>, pp</w:t>
      </w:r>
      <w:r w:rsidR="00D46013">
        <w:rPr>
          <w:sz w:val="28"/>
          <w:szCs w:val="28"/>
        </w:rPr>
        <w:t xml:space="preserve"> </w:t>
      </w:r>
      <w:r w:rsidR="00BF633B">
        <w:rPr>
          <w:sz w:val="28"/>
          <w:szCs w:val="28"/>
        </w:rPr>
        <w:t>1-28</w:t>
      </w:r>
    </w:p>
    <w:p w14:paraId="181BE1EF" w14:textId="13A3FDE1" w:rsidR="00331851" w:rsidRDefault="00331851" w:rsidP="006A6828">
      <w:pPr>
        <w:widowControl w:val="0"/>
        <w:autoSpaceDE w:val="0"/>
        <w:autoSpaceDN w:val="0"/>
        <w:adjustRightInd w:val="0"/>
        <w:spacing w:after="240" w:line="240" w:lineRule="auto"/>
        <w:jc w:val="both"/>
        <w:rPr>
          <w:sz w:val="28"/>
          <w:szCs w:val="28"/>
        </w:rPr>
      </w:pPr>
      <w:proofErr w:type="spellStart"/>
      <w:r w:rsidRPr="00331851">
        <w:rPr>
          <w:sz w:val="28"/>
          <w:szCs w:val="28"/>
        </w:rPr>
        <w:t>Tomaney</w:t>
      </w:r>
      <w:proofErr w:type="spellEnd"/>
      <w:r w:rsidRPr="00331851">
        <w:rPr>
          <w:sz w:val="28"/>
          <w:szCs w:val="28"/>
        </w:rPr>
        <w:t xml:space="preserve"> J. (2014) ‘Region and Place I: Institutions’, Progress in Human Geography, Vol. 38, No. 1, pp 131-140 Sage </w:t>
      </w:r>
    </w:p>
    <w:p w14:paraId="49727E20" w14:textId="77777777" w:rsidR="001445DD" w:rsidRDefault="001445DD" w:rsidP="001445DD">
      <w:pPr>
        <w:jc w:val="both"/>
        <w:rPr>
          <w:sz w:val="28"/>
          <w:szCs w:val="28"/>
        </w:rPr>
      </w:pPr>
      <w:r w:rsidRPr="00B26BCC">
        <w:rPr>
          <w:sz w:val="28"/>
          <w:szCs w:val="28"/>
        </w:rPr>
        <w:t xml:space="preserve">UK Commission for Employment and Skills (2011) Rebalancing the Economy </w:t>
      </w:r>
      <w:proofErr w:type="spellStart"/>
      <w:r w:rsidRPr="00B26BCC">
        <w:rPr>
          <w:sz w:val="28"/>
          <w:szCs w:val="28"/>
        </w:rPr>
        <w:t>Sectorally</w:t>
      </w:r>
      <w:proofErr w:type="spellEnd"/>
      <w:r w:rsidRPr="00B26BCC">
        <w:rPr>
          <w:sz w:val="28"/>
          <w:szCs w:val="28"/>
        </w:rPr>
        <w:t xml:space="preserve"> and Spatially: An Evidence Review, UKCES: </w:t>
      </w:r>
      <w:proofErr w:type="spellStart"/>
      <w:r w:rsidRPr="00B26BCC">
        <w:rPr>
          <w:sz w:val="28"/>
          <w:szCs w:val="28"/>
        </w:rPr>
        <w:t>Wath</w:t>
      </w:r>
      <w:proofErr w:type="spellEnd"/>
      <w:r w:rsidRPr="00B26BCC">
        <w:rPr>
          <w:sz w:val="28"/>
          <w:szCs w:val="28"/>
        </w:rPr>
        <w:t>-upon-</w:t>
      </w:r>
      <w:proofErr w:type="spellStart"/>
      <w:r w:rsidRPr="00B26BCC">
        <w:rPr>
          <w:sz w:val="28"/>
          <w:szCs w:val="28"/>
        </w:rPr>
        <w:t>Dearne</w:t>
      </w:r>
      <w:proofErr w:type="spellEnd"/>
      <w:r w:rsidRPr="00B26BCC">
        <w:rPr>
          <w:sz w:val="28"/>
          <w:szCs w:val="28"/>
        </w:rPr>
        <w:t>.</w:t>
      </w:r>
    </w:p>
    <w:p w14:paraId="485D7667" w14:textId="77777777" w:rsidR="001445DD" w:rsidRDefault="001445DD" w:rsidP="001445DD">
      <w:pPr>
        <w:jc w:val="both"/>
        <w:rPr>
          <w:sz w:val="28"/>
          <w:szCs w:val="28"/>
        </w:rPr>
      </w:pPr>
      <w:r>
        <w:rPr>
          <w:sz w:val="28"/>
          <w:szCs w:val="28"/>
        </w:rPr>
        <w:t>United Nations (2010) ‘Keeping the promise:</w:t>
      </w:r>
      <w:r w:rsidRPr="0088630A">
        <w:rPr>
          <w:sz w:val="28"/>
          <w:szCs w:val="28"/>
        </w:rPr>
        <w:t xml:space="preserve"> a forward-looking review to promot</w:t>
      </w:r>
      <w:r>
        <w:rPr>
          <w:sz w:val="28"/>
          <w:szCs w:val="28"/>
        </w:rPr>
        <w:t xml:space="preserve">e </w:t>
      </w:r>
      <w:r w:rsidRPr="0088630A">
        <w:rPr>
          <w:sz w:val="28"/>
          <w:szCs w:val="28"/>
        </w:rPr>
        <w:t>an agreed action a</w:t>
      </w:r>
      <w:r>
        <w:rPr>
          <w:sz w:val="28"/>
          <w:szCs w:val="28"/>
        </w:rPr>
        <w:t xml:space="preserve">genda to achieve the Millennium </w:t>
      </w:r>
      <w:r w:rsidRPr="0088630A">
        <w:rPr>
          <w:sz w:val="28"/>
          <w:szCs w:val="28"/>
        </w:rPr>
        <w:t>Development Goals by 2015</w:t>
      </w:r>
      <w:r>
        <w:rPr>
          <w:sz w:val="28"/>
          <w:szCs w:val="28"/>
        </w:rPr>
        <w:t xml:space="preserve">’, United Nations, available at </w:t>
      </w:r>
      <w:hyperlink r:id="rId20" w:history="1">
        <w:r w:rsidRPr="00ED4C6E">
          <w:rPr>
            <w:rStyle w:val="Hyperlink"/>
            <w:sz w:val="28"/>
            <w:szCs w:val="28"/>
          </w:rPr>
          <w:t>http://www.un.org/ga/search/view_doc.asp?symbol=A/64/665</w:t>
        </w:r>
      </w:hyperlink>
      <w:r>
        <w:rPr>
          <w:sz w:val="28"/>
          <w:szCs w:val="28"/>
        </w:rPr>
        <w:t xml:space="preserve"> , accessed 22 August 2015.</w:t>
      </w:r>
    </w:p>
    <w:p w14:paraId="44943305" w14:textId="77777777" w:rsidR="001445DD" w:rsidRDefault="001445DD" w:rsidP="001445DD">
      <w:pPr>
        <w:jc w:val="both"/>
        <w:rPr>
          <w:sz w:val="28"/>
          <w:szCs w:val="28"/>
        </w:rPr>
      </w:pPr>
      <w:r>
        <w:rPr>
          <w:sz w:val="28"/>
          <w:szCs w:val="28"/>
        </w:rPr>
        <w:t>United Nations (2015) ‘</w:t>
      </w:r>
      <w:r w:rsidRPr="003938A2">
        <w:rPr>
          <w:sz w:val="28"/>
          <w:szCs w:val="28"/>
        </w:rPr>
        <w:t>The Mill</w:t>
      </w:r>
      <w:r>
        <w:rPr>
          <w:sz w:val="28"/>
          <w:szCs w:val="28"/>
        </w:rPr>
        <w:t xml:space="preserve">ennium Development Goals Report </w:t>
      </w:r>
      <w:r w:rsidRPr="003938A2">
        <w:rPr>
          <w:sz w:val="28"/>
          <w:szCs w:val="28"/>
        </w:rPr>
        <w:t>2</w:t>
      </w:r>
      <w:r>
        <w:rPr>
          <w:sz w:val="28"/>
          <w:szCs w:val="28"/>
        </w:rPr>
        <w:t>0</w:t>
      </w:r>
      <w:r w:rsidRPr="003938A2">
        <w:rPr>
          <w:sz w:val="28"/>
          <w:szCs w:val="28"/>
        </w:rPr>
        <w:t>15</w:t>
      </w:r>
      <w:r>
        <w:rPr>
          <w:sz w:val="28"/>
          <w:szCs w:val="28"/>
        </w:rPr>
        <w:t xml:space="preserve">’, United Nations, New York, available at </w:t>
      </w:r>
      <w:hyperlink r:id="rId21" w:history="1">
        <w:r w:rsidRPr="00ED4C6E">
          <w:rPr>
            <w:rStyle w:val="Hyperlink"/>
            <w:sz w:val="28"/>
            <w:szCs w:val="28"/>
          </w:rPr>
          <w:t>http://www.un.org/millenniumgoals/2015_MDG_Report/pdf/MDG%202015%20rev%20(July%201).pdf</w:t>
        </w:r>
      </w:hyperlink>
      <w:r>
        <w:rPr>
          <w:sz w:val="28"/>
          <w:szCs w:val="28"/>
        </w:rPr>
        <w:t>, accessed 22 August 2015.</w:t>
      </w:r>
    </w:p>
    <w:p w14:paraId="0D2D43D3" w14:textId="427AFEE7" w:rsidR="00FC15DC" w:rsidRPr="00FC15DC" w:rsidRDefault="00FC15DC" w:rsidP="00FC15DC">
      <w:pPr>
        <w:contextualSpacing/>
        <w:jc w:val="both"/>
        <w:rPr>
          <w:sz w:val="28"/>
          <w:szCs w:val="28"/>
        </w:rPr>
      </w:pPr>
      <w:r w:rsidRPr="00FC15DC">
        <w:rPr>
          <w:sz w:val="28"/>
          <w:szCs w:val="28"/>
        </w:rPr>
        <w:t>Witty A.</w:t>
      </w:r>
      <w:r w:rsidR="006C4C3F">
        <w:rPr>
          <w:sz w:val="28"/>
          <w:szCs w:val="28"/>
        </w:rPr>
        <w:t xml:space="preserve"> </w:t>
      </w:r>
      <w:r w:rsidRPr="00FC15DC">
        <w:rPr>
          <w:sz w:val="28"/>
          <w:szCs w:val="28"/>
        </w:rPr>
        <w:t xml:space="preserve">(2013) ‘Encouraging a British Invention Revolution: Sir Andrew </w:t>
      </w:r>
      <w:proofErr w:type="spellStart"/>
      <w:r w:rsidRPr="00FC15DC">
        <w:rPr>
          <w:sz w:val="28"/>
          <w:szCs w:val="28"/>
        </w:rPr>
        <w:t>Witty’s</w:t>
      </w:r>
      <w:proofErr w:type="spellEnd"/>
      <w:r w:rsidRPr="00FC15DC">
        <w:rPr>
          <w:sz w:val="28"/>
          <w:szCs w:val="28"/>
        </w:rPr>
        <w:t xml:space="preserve"> Review of Universities and Growth, Final Report and Recommendations’, BIS, 13/1241 </w:t>
      </w:r>
    </w:p>
    <w:p w14:paraId="1C8F9CD8" w14:textId="77777777" w:rsidR="00FC15DC" w:rsidRPr="00FC15DC" w:rsidRDefault="00FC15DC" w:rsidP="00FC15DC">
      <w:pPr>
        <w:ind w:left="360"/>
        <w:contextualSpacing/>
        <w:jc w:val="both"/>
        <w:rPr>
          <w:sz w:val="28"/>
          <w:szCs w:val="28"/>
        </w:rPr>
      </w:pPr>
    </w:p>
    <w:p w14:paraId="04762C59" w14:textId="77777777" w:rsidR="001445DD" w:rsidRPr="00FC15DC" w:rsidRDefault="001445DD" w:rsidP="00FC15DC">
      <w:pPr>
        <w:jc w:val="both"/>
        <w:rPr>
          <w:sz w:val="28"/>
          <w:szCs w:val="28"/>
        </w:rPr>
      </w:pPr>
    </w:p>
    <w:p w14:paraId="5FECC8D6" w14:textId="77777777" w:rsidR="001445DD" w:rsidRPr="003E3752" w:rsidRDefault="001445DD" w:rsidP="00B93A6E">
      <w:pPr>
        <w:contextualSpacing/>
        <w:rPr>
          <w:iCs/>
        </w:rPr>
      </w:pPr>
    </w:p>
    <w:p w14:paraId="011AC7F2" w14:textId="77777777" w:rsidR="001445DD" w:rsidRPr="003E3752" w:rsidRDefault="001445DD" w:rsidP="001445DD">
      <w:pPr>
        <w:ind w:left="360"/>
        <w:contextualSpacing/>
        <w:rPr>
          <w:iCs/>
        </w:rPr>
      </w:pPr>
    </w:p>
    <w:p w14:paraId="1121BFC4" w14:textId="56C66D96" w:rsidR="00BA4812" w:rsidRDefault="00BA4812"/>
    <w:sectPr w:rsidR="00BA4812" w:rsidSect="004F77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NeueLTStd-L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757B"/>
    <w:multiLevelType w:val="hybridMultilevel"/>
    <w:tmpl w:val="821E4AF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36869"/>
    <w:multiLevelType w:val="hybridMultilevel"/>
    <w:tmpl w:val="559E1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A9"/>
    <w:rsid w:val="00003726"/>
    <w:rsid w:val="00017830"/>
    <w:rsid w:val="0002264D"/>
    <w:rsid w:val="00024070"/>
    <w:rsid w:val="00024E4F"/>
    <w:rsid w:val="000306D8"/>
    <w:rsid w:val="00033B71"/>
    <w:rsid w:val="00035E0F"/>
    <w:rsid w:val="00042505"/>
    <w:rsid w:val="000614F8"/>
    <w:rsid w:val="00064088"/>
    <w:rsid w:val="0007576A"/>
    <w:rsid w:val="000758D9"/>
    <w:rsid w:val="00077931"/>
    <w:rsid w:val="000853F5"/>
    <w:rsid w:val="000856D1"/>
    <w:rsid w:val="00086053"/>
    <w:rsid w:val="000906AF"/>
    <w:rsid w:val="00095771"/>
    <w:rsid w:val="000A5707"/>
    <w:rsid w:val="000B150F"/>
    <w:rsid w:val="000C0695"/>
    <w:rsid w:val="000C69E2"/>
    <w:rsid w:val="000D2232"/>
    <w:rsid w:val="000D47B7"/>
    <w:rsid w:val="000E3312"/>
    <w:rsid w:val="000E6DA5"/>
    <w:rsid w:val="000F3AB7"/>
    <w:rsid w:val="000F4520"/>
    <w:rsid w:val="000F5167"/>
    <w:rsid w:val="00101049"/>
    <w:rsid w:val="00105186"/>
    <w:rsid w:val="00107D63"/>
    <w:rsid w:val="00111072"/>
    <w:rsid w:val="00117188"/>
    <w:rsid w:val="00117B98"/>
    <w:rsid w:val="00135D0F"/>
    <w:rsid w:val="00136C92"/>
    <w:rsid w:val="001445DD"/>
    <w:rsid w:val="0014534A"/>
    <w:rsid w:val="00152834"/>
    <w:rsid w:val="00154F20"/>
    <w:rsid w:val="001552F0"/>
    <w:rsid w:val="00155B1A"/>
    <w:rsid w:val="00156B72"/>
    <w:rsid w:val="00160614"/>
    <w:rsid w:val="00161366"/>
    <w:rsid w:val="0017144B"/>
    <w:rsid w:val="00175E60"/>
    <w:rsid w:val="00176E36"/>
    <w:rsid w:val="001778DA"/>
    <w:rsid w:val="00182CBA"/>
    <w:rsid w:val="001837C9"/>
    <w:rsid w:val="00191890"/>
    <w:rsid w:val="001951E2"/>
    <w:rsid w:val="00196FB3"/>
    <w:rsid w:val="001A77BD"/>
    <w:rsid w:val="001B7E4E"/>
    <w:rsid w:val="001C0646"/>
    <w:rsid w:val="001C09E6"/>
    <w:rsid w:val="001C2E91"/>
    <w:rsid w:val="001C43F4"/>
    <w:rsid w:val="001C5974"/>
    <w:rsid w:val="001C59B4"/>
    <w:rsid w:val="001D033F"/>
    <w:rsid w:val="001D1249"/>
    <w:rsid w:val="001D2E04"/>
    <w:rsid w:val="001D3436"/>
    <w:rsid w:val="001D68D3"/>
    <w:rsid w:val="001E5BC5"/>
    <w:rsid w:val="001E625C"/>
    <w:rsid w:val="001F6424"/>
    <w:rsid w:val="002032F9"/>
    <w:rsid w:val="002101E1"/>
    <w:rsid w:val="002165C6"/>
    <w:rsid w:val="002176ED"/>
    <w:rsid w:val="00224322"/>
    <w:rsid w:val="00227010"/>
    <w:rsid w:val="0023058D"/>
    <w:rsid w:val="00230894"/>
    <w:rsid w:val="002331F8"/>
    <w:rsid w:val="00237718"/>
    <w:rsid w:val="0024334E"/>
    <w:rsid w:val="00247194"/>
    <w:rsid w:val="00250191"/>
    <w:rsid w:val="002563EC"/>
    <w:rsid w:val="00260FF6"/>
    <w:rsid w:val="00266A7C"/>
    <w:rsid w:val="00267046"/>
    <w:rsid w:val="00273A4F"/>
    <w:rsid w:val="00273F69"/>
    <w:rsid w:val="00281992"/>
    <w:rsid w:val="00282587"/>
    <w:rsid w:val="00284785"/>
    <w:rsid w:val="0029035A"/>
    <w:rsid w:val="002952C3"/>
    <w:rsid w:val="00295F41"/>
    <w:rsid w:val="00297778"/>
    <w:rsid w:val="002A17E1"/>
    <w:rsid w:val="002A3FF3"/>
    <w:rsid w:val="002B54A0"/>
    <w:rsid w:val="002B5ADA"/>
    <w:rsid w:val="002B6914"/>
    <w:rsid w:val="002B71B3"/>
    <w:rsid w:val="002C13A3"/>
    <w:rsid w:val="002C2293"/>
    <w:rsid w:val="002D1478"/>
    <w:rsid w:val="002D3AEF"/>
    <w:rsid w:val="002E223F"/>
    <w:rsid w:val="002E246E"/>
    <w:rsid w:val="002F1589"/>
    <w:rsid w:val="002F31E0"/>
    <w:rsid w:val="002F6872"/>
    <w:rsid w:val="00300C76"/>
    <w:rsid w:val="00313249"/>
    <w:rsid w:val="0031414E"/>
    <w:rsid w:val="00316276"/>
    <w:rsid w:val="00325FC1"/>
    <w:rsid w:val="0033104B"/>
    <w:rsid w:val="00331851"/>
    <w:rsid w:val="00336EF0"/>
    <w:rsid w:val="00341286"/>
    <w:rsid w:val="0034549A"/>
    <w:rsid w:val="003471AE"/>
    <w:rsid w:val="00347DB5"/>
    <w:rsid w:val="003503C3"/>
    <w:rsid w:val="003529E1"/>
    <w:rsid w:val="003530C2"/>
    <w:rsid w:val="0035610F"/>
    <w:rsid w:val="0036074E"/>
    <w:rsid w:val="00371949"/>
    <w:rsid w:val="003769F9"/>
    <w:rsid w:val="0038362B"/>
    <w:rsid w:val="003951B2"/>
    <w:rsid w:val="003962C9"/>
    <w:rsid w:val="00397CEB"/>
    <w:rsid w:val="003A6BAB"/>
    <w:rsid w:val="003A787E"/>
    <w:rsid w:val="003B5211"/>
    <w:rsid w:val="003B543C"/>
    <w:rsid w:val="003E713D"/>
    <w:rsid w:val="003F152E"/>
    <w:rsid w:val="003F1FCD"/>
    <w:rsid w:val="003F222B"/>
    <w:rsid w:val="004125B4"/>
    <w:rsid w:val="00414E5F"/>
    <w:rsid w:val="004172C6"/>
    <w:rsid w:val="004222B6"/>
    <w:rsid w:val="004272E1"/>
    <w:rsid w:val="00427BFB"/>
    <w:rsid w:val="00436DDD"/>
    <w:rsid w:val="00440F97"/>
    <w:rsid w:val="00443877"/>
    <w:rsid w:val="00444123"/>
    <w:rsid w:val="00446959"/>
    <w:rsid w:val="00453243"/>
    <w:rsid w:val="00453FDE"/>
    <w:rsid w:val="00465F92"/>
    <w:rsid w:val="00477299"/>
    <w:rsid w:val="00495B1A"/>
    <w:rsid w:val="004B3BCD"/>
    <w:rsid w:val="004B3CDC"/>
    <w:rsid w:val="004B5170"/>
    <w:rsid w:val="004B5DD0"/>
    <w:rsid w:val="004C77FD"/>
    <w:rsid w:val="004D52F4"/>
    <w:rsid w:val="004D7483"/>
    <w:rsid w:val="004D7D6E"/>
    <w:rsid w:val="004E4309"/>
    <w:rsid w:val="004E50F0"/>
    <w:rsid w:val="004F28A9"/>
    <w:rsid w:val="004F6F23"/>
    <w:rsid w:val="004F7778"/>
    <w:rsid w:val="005009C8"/>
    <w:rsid w:val="00502984"/>
    <w:rsid w:val="00504492"/>
    <w:rsid w:val="00521577"/>
    <w:rsid w:val="005224FD"/>
    <w:rsid w:val="00525A73"/>
    <w:rsid w:val="0053508D"/>
    <w:rsid w:val="00537F90"/>
    <w:rsid w:val="00541686"/>
    <w:rsid w:val="00542098"/>
    <w:rsid w:val="0055371C"/>
    <w:rsid w:val="00554F42"/>
    <w:rsid w:val="0055690D"/>
    <w:rsid w:val="00564825"/>
    <w:rsid w:val="00565D89"/>
    <w:rsid w:val="00577F7D"/>
    <w:rsid w:val="0058217E"/>
    <w:rsid w:val="00582C6C"/>
    <w:rsid w:val="005859D8"/>
    <w:rsid w:val="0059211B"/>
    <w:rsid w:val="00597E50"/>
    <w:rsid w:val="005A321A"/>
    <w:rsid w:val="005A3F93"/>
    <w:rsid w:val="005A5E6C"/>
    <w:rsid w:val="005A7067"/>
    <w:rsid w:val="005B1FB9"/>
    <w:rsid w:val="005B2DAF"/>
    <w:rsid w:val="005B667F"/>
    <w:rsid w:val="005D47F3"/>
    <w:rsid w:val="005D5DBB"/>
    <w:rsid w:val="005E3310"/>
    <w:rsid w:val="005E33B0"/>
    <w:rsid w:val="005E7BBE"/>
    <w:rsid w:val="005F790E"/>
    <w:rsid w:val="006008E8"/>
    <w:rsid w:val="00607DDD"/>
    <w:rsid w:val="00613341"/>
    <w:rsid w:val="006136DF"/>
    <w:rsid w:val="00613CD2"/>
    <w:rsid w:val="006157A9"/>
    <w:rsid w:val="00626B3D"/>
    <w:rsid w:val="00631067"/>
    <w:rsid w:val="006322E1"/>
    <w:rsid w:val="0063666A"/>
    <w:rsid w:val="00643D6C"/>
    <w:rsid w:val="00644FED"/>
    <w:rsid w:val="006458A7"/>
    <w:rsid w:val="006475E7"/>
    <w:rsid w:val="00652075"/>
    <w:rsid w:val="00667422"/>
    <w:rsid w:val="0066779D"/>
    <w:rsid w:val="0067445E"/>
    <w:rsid w:val="006810FC"/>
    <w:rsid w:val="0068143D"/>
    <w:rsid w:val="00687C2E"/>
    <w:rsid w:val="00695B2B"/>
    <w:rsid w:val="0069608B"/>
    <w:rsid w:val="00697AE4"/>
    <w:rsid w:val="006A2A56"/>
    <w:rsid w:val="006A4CD0"/>
    <w:rsid w:val="006A6828"/>
    <w:rsid w:val="006A7595"/>
    <w:rsid w:val="006B1836"/>
    <w:rsid w:val="006B2A9B"/>
    <w:rsid w:val="006C4C3F"/>
    <w:rsid w:val="006D0529"/>
    <w:rsid w:val="006D2494"/>
    <w:rsid w:val="006E0E83"/>
    <w:rsid w:val="006E3311"/>
    <w:rsid w:val="006E590A"/>
    <w:rsid w:val="006E5D04"/>
    <w:rsid w:val="006F099F"/>
    <w:rsid w:val="006F15B2"/>
    <w:rsid w:val="006F1A8A"/>
    <w:rsid w:val="006F2D6B"/>
    <w:rsid w:val="006F5927"/>
    <w:rsid w:val="00707FA2"/>
    <w:rsid w:val="007143B7"/>
    <w:rsid w:val="00723724"/>
    <w:rsid w:val="00724264"/>
    <w:rsid w:val="00725F53"/>
    <w:rsid w:val="00726B66"/>
    <w:rsid w:val="00727379"/>
    <w:rsid w:val="007302DE"/>
    <w:rsid w:val="00740A41"/>
    <w:rsid w:val="00740E45"/>
    <w:rsid w:val="007468E7"/>
    <w:rsid w:val="0075129B"/>
    <w:rsid w:val="00752B58"/>
    <w:rsid w:val="0075540D"/>
    <w:rsid w:val="007630CD"/>
    <w:rsid w:val="00765D3D"/>
    <w:rsid w:val="007721DC"/>
    <w:rsid w:val="00776E40"/>
    <w:rsid w:val="00780589"/>
    <w:rsid w:val="00786605"/>
    <w:rsid w:val="00787979"/>
    <w:rsid w:val="007920C9"/>
    <w:rsid w:val="00797E4E"/>
    <w:rsid w:val="007A10B6"/>
    <w:rsid w:val="007B2D40"/>
    <w:rsid w:val="007B2D9A"/>
    <w:rsid w:val="007B46B1"/>
    <w:rsid w:val="007B4B65"/>
    <w:rsid w:val="007C1DF7"/>
    <w:rsid w:val="007C227F"/>
    <w:rsid w:val="007C5407"/>
    <w:rsid w:val="007D534E"/>
    <w:rsid w:val="007E1550"/>
    <w:rsid w:val="007E2607"/>
    <w:rsid w:val="007E612F"/>
    <w:rsid w:val="007E7D14"/>
    <w:rsid w:val="007F3210"/>
    <w:rsid w:val="007F7E59"/>
    <w:rsid w:val="008036D3"/>
    <w:rsid w:val="00803E1B"/>
    <w:rsid w:val="00806C70"/>
    <w:rsid w:val="00806F5B"/>
    <w:rsid w:val="008108D9"/>
    <w:rsid w:val="00814527"/>
    <w:rsid w:val="00814708"/>
    <w:rsid w:val="008152CC"/>
    <w:rsid w:val="0083299D"/>
    <w:rsid w:val="0083466E"/>
    <w:rsid w:val="008351C9"/>
    <w:rsid w:val="00841208"/>
    <w:rsid w:val="008448E6"/>
    <w:rsid w:val="00851295"/>
    <w:rsid w:val="0087271E"/>
    <w:rsid w:val="00874542"/>
    <w:rsid w:val="008754BC"/>
    <w:rsid w:val="008779A1"/>
    <w:rsid w:val="00882943"/>
    <w:rsid w:val="00883CA6"/>
    <w:rsid w:val="00883F54"/>
    <w:rsid w:val="00883FEB"/>
    <w:rsid w:val="00893B2E"/>
    <w:rsid w:val="008A3675"/>
    <w:rsid w:val="008A482B"/>
    <w:rsid w:val="008A5AD9"/>
    <w:rsid w:val="008B079D"/>
    <w:rsid w:val="008B0E29"/>
    <w:rsid w:val="008B3F23"/>
    <w:rsid w:val="008B5DED"/>
    <w:rsid w:val="008C02BB"/>
    <w:rsid w:val="008C19A0"/>
    <w:rsid w:val="008C4FB2"/>
    <w:rsid w:val="008F0B45"/>
    <w:rsid w:val="008F57AD"/>
    <w:rsid w:val="00901251"/>
    <w:rsid w:val="00910C07"/>
    <w:rsid w:val="00915CED"/>
    <w:rsid w:val="00915F20"/>
    <w:rsid w:val="00917434"/>
    <w:rsid w:val="009176CC"/>
    <w:rsid w:val="00923590"/>
    <w:rsid w:val="00925A5D"/>
    <w:rsid w:val="009344E4"/>
    <w:rsid w:val="00935653"/>
    <w:rsid w:val="00942942"/>
    <w:rsid w:val="00943220"/>
    <w:rsid w:val="00946020"/>
    <w:rsid w:val="009475DA"/>
    <w:rsid w:val="009558CD"/>
    <w:rsid w:val="00956363"/>
    <w:rsid w:val="0096021F"/>
    <w:rsid w:val="00960EF1"/>
    <w:rsid w:val="0096517C"/>
    <w:rsid w:val="0096562E"/>
    <w:rsid w:val="00972B19"/>
    <w:rsid w:val="00973470"/>
    <w:rsid w:val="00976688"/>
    <w:rsid w:val="00992ADB"/>
    <w:rsid w:val="00995343"/>
    <w:rsid w:val="009A0A0D"/>
    <w:rsid w:val="009A573F"/>
    <w:rsid w:val="009A7C17"/>
    <w:rsid w:val="009B02BE"/>
    <w:rsid w:val="009B0BB8"/>
    <w:rsid w:val="009B3383"/>
    <w:rsid w:val="009B58CA"/>
    <w:rsid w:val="009B6958"/>
    <w:rsid w:val="009C0C97"/>
    <w:rsid w:val="009C0D3A"/>
    <w:rsid w:val="009C3E18"/>
    <w:rsid w:val="009C6F64"/>
    <w:rsid w:val="009D1733"/>
    <w:rsid w:val="009D5064"/>
    <w:rsid w:val="009E32F3"/>
    <w:rsid w:val="009E42F6"/>
    <w:rsid w:val="009F612D"/>
    <w:rsid w:val="00A036D6"/>
    <w:rsid w:val="00A03B26"/>
    <w:rsid w:val="00A04058"/>
    <w:rsid w:val="00A0532B"/>
    <w:rsid w:val="00A11E3C"/>
    <w:rsid w:val="00A134B9"/>
    <w:rsid w:val="00A142EE"/>
    <w:rsid w:val="00A17A27"/>
    <w:rsid w:val="00A23BB0"/>
    <w:rsid w:val="00A24376"/>
    <w:rsid w:val="00A326B0"/>
    <w:rsid w:val="00A37D14"/>
    <w:rsid w:val="00A41BB2"/>
    <w:rsid w:val="00A43C5D"/>
    <w:rsid w:val="00A4677D"/>
    <w:rsid w:val="00A50872"/>
    <w:rsid w:val="00A5253C"/>
    <w:rsid w:val="00A54BF4"/>
    <w:rsid w:val="00A723EE"/>
    <w:rsid w:val="00A777DE"/>
    <w:rsid w:val="00A808E2"/>
    <w:rsid w:val="00A8549F"/>
    <w:rsid w:val="00A9603B"/>
    <w:rsid w:val="00A97ADA"/>
    <w:rsid w:val="00AA1B39"/>
    <w:rsid w:val="00AA23FA"/>
    <w:rsid w:val="00AA5423"/>
    <w:rsid w:val="00AB1107"/>
    <w:rsid w:val="00AB1759"/>
    <w:rsid w:val="00AC40FF"/>
    <w:rsid w:val="00AD0A06"/>
    <w:rsid w:val="00AE0029"/>
    <w:rsid w:val="00AE08CE"/>
    <w:rsid w:val="00AE2768"/>
    <w:rsid w:val="00AE4CF4"/>
    <w:rsid w:val="00AF0342"/>
    <w:rsid w:val="00AF05F3"/>
    <w:rsid w:val="00AF1546"/>
    <w:rsid w:val="00AF24B7"/>
    <w:rsid w:val="00AF3196"/>
    <w:rsid w:val="00AF5562"/>
    <w:rsid w:val="00AF5584"/>
    <w:rsid w:val="00B00E61"/>
    <w:rsid w:val="00B03C4F"/>
    <w:rsid w:val="00B05058"/>
    <w:rsid w:val="00B10929"/>
    <w:rsid w:val="00B12CAA"/>
    <w:rsid w:val="00B12EFE"/>
    <w:rsid w:val="00B14B94"/>
    <w:rsid w:val="00B223E5"/>
    <w:rsid w:val="00B24550"/>
    <w:rsid w:val="00B30D42"/>
    <w:rsid w:val="00B31902"/>
    <w:rsid w:val="00B355A0"/>
    <w:rsid w:val="00B3618B"/>
    <w:rsid w:val="00B42FFE"/>
    <w:rsid w:val="00B47A5A"/>
    <w:rsid w:val="00B64814"/>
    <w:rsid w:val="00B67116"/>
    <w:rsid w:val="00B67B97"/>
    <w:rsid w:val="00B71189"/>
    <w:rsid w:val="00B726CF"/>
    <w:rsid w:val="00B72DBB"/>
    <w:rsid w:val="00B812F3"/>
    <w:rsid w:val="00B81D3C"/>
    <w:rsid w:val="00B86C91"/>
    <w:rsid w:val="00B93A6E"/>
    <w:rsid w:val="00B953AF"/>
    <w:rsid w:val="00B95A14"/>
    <w:rsid w:val="00B95D62"/>
    <w:rsid w:val="00BA1D59"/>
    <w:rsid w:val="00BA2CD1"/>
    <w:rsid w:val="00BA4812"/>
    <w:rsid w:val="00BA5FE9"/>
    <w:rsid w:val="00BA6D42"/>
    <w:rsid w:val="00BB139B"/>
    <w:rsid w:val="00BB6367"/>
    <w:rsid w:val="00BB6BF8"/>
    <w:rsid w:val="00BC2F1A"/>
    <w:rsid w:val="00BC40E3"/>
    <w:rsid w:val="00BC5F62"/>
    <w:rsid w:val="00BD01FA"/>
    <w:rsid w:val="00BD1A96"/>
    <w:rsid w:val="00BD391D"/>
    <w:rsid w:val="00BD7483"/>
    <w:rsid w:val="00BE04C3"/>
    <w:rsid w:val="00BE0691"/>
    <w:rsid w:val="00BE0829"/>
    <w:rsid w:val="00BE0ADC"/>
    <w:rsid w:val="00BE220A"/>
    <w:rsid w:val="00BE3270"/>
    <w:rsid w:val="00BE50C7"/>
    <w:rsid w:val="00BF30DF"/>
    <w:rsid w:val="00BF633B"/>
    <w:rsid w:val="00BF75E7"/>
    <w:rsid w:val="00C0042B"/>
    <w:rsid w:val="00C048CE"/>
    <w:rsid w:val="00C057BD"/>
    <w:rsid w:val="00C11473"/>
    <w:rsid w:val="00C2009F"/>
    <w:rsid w:val="00C203A3"/>
    <w:rsid w:val="00C22C40"/>
    <w:rsid w:val="00C22C59"/>
    <w:rsid w:val="00C2327C"/>
    <w:rsid w:val="00C34A94"/>
    <w:rsid w:val="00C37614"/>
    <w:rsid w:val="00C3780E"/>
    <w:rsid w:val="00C41815"/>
    <w:rsid w:val="00C431E1"/>
    <w:rsid w:val="00C43C8B"/>
    <w:rsid w:val="00C51263"/>
    <w:rsid w:val="00C538DA"/>
    <w:rsid w:val="00C563EE"/>
    <w:rsid w:val="00C60493"/>
    <w:rsid w:val="00C63D0A"/>
    <w:rsid w:val="00C650C6"/>
    <w:rsid w:val="00C6648D"/>
    <w:rsid w:val="00C67D79"/>
    <w:rsid w:val="00C84A4B"/>
    <w:rsid w:val="00C90245"/>
    <w:rsid w:val="00C9322A"/>
    <w:rsid w:val="00C9608B"/>
    <w:rsid w:val="00CA75F5"/>
    <w:rsid w:val="00CA7C9B"/>
    <w:rsid w:val="00CB0D17"/>
    <w:rsid w:val="00CB3C1D"/>
    <w:rsid w:val="00CB6B50"/>
    <w:rsid w:val="00CC0349"/>
    <w:rsid w:val="00CC3B9D"/>
    <w:rsid w:val="00CC47DC"/>
    <w:rsid w:val="00CD5A0A"/>
    <w:rsid w:val="00CD74F4"/>
    <w:rsid w:val="00CE6461"/>
    <w:rsid w:val="00CE6976"/>
    <w:rsid w:val="00CF0218"/>
    <w:rsid w:val="00CF087E"/>
    <w:rsid w:val="00CF5BB9"/>
    <w:rsid w:val="00D10808"/>
    <w:rsid w:val="00D10BEE"/>
    <w:rsid w:val="00D10D04"/>
    <w:rsid w:val="00D17A47"/>
    <w:rsid w:val="00D2175F"/>
    <w:rsid w:val="00D26339"/>
    <w:rsid w:val="00D27BEA"/>
    <w:rsid w:val="00D46013"/>
    <w:rsid w:val="00D52E96"/>
    <w:rsid w:val="00D55612"/>
    <w:rsid w:val="00D56085"/>
    <w:rsid w:val="00D75563"/>
    <w:rsid w:val="00D81616"/>
    <w:rsid w:val="00D82F44"/>
    <w:rsid w:val="00D8302C"/>
    <w:rsid w:val="00DA2A1F"/>
    <w:rsid w:val="00DA2FF5"/>
    <w:rsid w:val="00DA7D02"/>
    <w:rsid w:val="00DB04E8"/>
    <w:rsid w:val="00DB07DF"/>
    <w:rsid w:val="00DB5EE7"/>
    <w:rsid w:val="00DB6193"/>
    <w:rsid w:val="00DC1AF6"/>
    <w:rsid w:val="00DC2ADA"/>
    <w:rsid w:val="00DC70A0"/>
    <w:rsid w:val="00DD5DF0"/>
    <w:rsid w:val="00DE10E5"/>
    <w:rsid w:val="00DE1991"/>
    <w:rsid w:val="00DE33FA"/>
    <w:rsid w:val="00DF288B"/>
    <w:rsid w:val="00DF5980"/>
    <w:rsid w:val="00DF721F"/>
    <w:rsid w:val="00E00A2D"/>
    <w:rsid w:val="00E0214D"/>
    <w:rsid w:val="00E04947"/>
    <w:rsid w:val="00E06448"/>
    <w:rsid w:val="00E066BE"/>
    <w:rsid w:val="00E06880"/>
    <w:rsid w:val="00E1223D"/>
    <w:rsid w:val="00E153D6"/>
    <w:rsid w:val="00E341AD"/>
    <w:rsid w:val="00E418C2"/>
    <w:rsid w:val="00E53D72"/>
    <w:rsid w:val="00E679C3"/>
    <w:rsid w:val="00E71BDC"/>
    <w:rsid w:val="00E731A6"/>
    <w:rsid w:val="00E74A7C"/>
    <w:rsid w:val="00E76495"/>
    <w:rsid w:val="00E9322E"/>
    <w:rsid w:val="00E93BBC"/>
    <w:rsid w:val="00E943C5"/>
    <w:rsid w:val="00E978FD"/>
    <w:rsid w:val="00EA161C"/>
    <w:rsid w:val="00EA3A0D"/>
    <w:rsid w:val="00EA6FBE"/>
    <w:rsid w:val="00EC2344"/>
    <w:rsid w:val="00EC4479"/>
    <w:rsid w:val="00EC65A2"/>
    <w:rsid w:val="00ED1987"/>
    <w:rsid w:val="00ED37C7"/>
    <w:rsid w:val="00ED6E60"/>
    <w:rsid w:val="00EE1005"/>
    <w:rsid w:val="00EE2DFF"/>
    <w:rsid w:val="00EE6EDF"/>
    <w:rsid w:val="00EF1127"/>
    <w:rsid w:val="00EF45CF"/>
    <w:rsid w:val="00F00CA7"/>
    <w:rsid w:val="00F050C2"/>
    <w:rsid w:val="00F071DB"/>
    <w:rsid w:val="00F1058E"/>
    <w:rsid w:val="00F13264"/>
    <w:rsid w:val="00F14D3C"/>
    <w:rsid w:val="00F15D13"/>
    <w:rsid w:val="00F211EC"/>
    <w:rsid w:val="00F22DD0"/>
    <w:rsid w:val="00F25758"/>
    <w:rsid w:val="00F33E19"/>
    <w:rsid w:val="00F40D2A"/>
    <w:rsid w:val="00F454EB"/>
    <w:rsid w:val="00F4640B"/>
    <w:rsid w:val="00F50544"/>
    <w:rsid w:val="00F53E6F"/>
    <w:rsid w:val="00F54F04"/>
    <w:rsid w:val="00F56B4F"/>
    <w:rsid w:val="00F62920"/>
    <w:rsid w:val="00F82A5E"/>
    <w:rsid w:val="00F82CB2"/>
    <w:rsid w:val="00F85527"/>
    <w:rsid w:val="00F94EEA"/>
    <w:rsid w:val="00F96010"/>
    <w:rsid w:val="00FA0DE8"/>
    <w:rsid w:val="00FA16D5"/>
    <w:rsid w:val="00FA2C05"/>
    <w:rsid w:val="00FA3346"/>
    <w:rsid w:val="00FB05BC"/>
    <w:rsid w:val="00FB5564"/>
    <w:rsid w:val="00FC15DC"/>
    <w:rsid w:val="00FC70F6"/>
    <w:rsid w:val="00FC711D"/>
    <w:rsid w:val="00FD3D9A"/>
    <w:rsid w:val="00FE27A3"/>
    <w:rsid w:val="00FE7F03"/>
    <w:rsid w:val="00FF074F"/>
    <w:rsid w:val="00FF3D18"/>
    <w:rsid w:val="00FF4CB6"/>
    <w:rsid w:val="00FF5EFC"/>
    <w:rsid w:val="00FF5FCC"/>
    <w:rsid w:val="00FF6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F9659"/>
  <w14:defaultImageDpi w14:val="300"/>
  <w15:docId w15:val="{0A93B248-28DA-4DBB-9756-C83B84A3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7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23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7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forcities.org/blog/city-regions-have-five-months-to-secure-a-significant-devolution-deal/" TargetMode="External"/><Relationship Id="rId13" Type="http://schemas.openxmlformats.org/officeDocument/2006/relationships/hyperlink" Target="https://ukces.blog.gov.uk/2015/03/19/ukces-explains-what-is-an-anchor-institution/" TargetMode="External"/><Relationship Id="rId18" Type="http://schemas.openxmlformats.org/officeDocument/2006/relationships/hyperlink" Target="http://www.citygrowthcommission.com/wp-content/uploads/2014/10/City-Growth-Commission-Final-Report.pdf" TargetMode="External"/><Relationship Id="rId3" Type="http://schemas.openxmlformats.org/officeDocument/2006/relationships/settings" Target="settings.xml"/><Relationship Id="rId21" Type="http://schemas.openxmlformats.org/officeDocument/2006/relationships/hyperlink" Target="http://www.un.org/millenniumgoals/2015_MDG_Report/pdf/MDG%202015%20rev%20(July%201).pdf" TargetMode="External"/><Relationship Id="rId7" Type="http://schemas.openxmlformats.org/officeDocument/2006/relationships/hyperlink" Target="http://www.ippr.org/files/publications/pdf/full-steam-ahead_Jun2015.pdf?noredirect=1" TargetMode="External"/><Relationship Id="rId12" Type="http://schemas.openxmlformats.org/officeDocument/2006/relationships/hyperlink" Target="https://www.gov.uk/government/news/government-boost-for-northern-powerhouse" TargetMode="External"/><Relationship Id="rId17" Type="http://schemas.openxmlformats.org/officeDocument/2006/relationships/hyperlink" Target="http://www.hbs.edu/faculty/Publication%20Files/2010-1026_ICEF_ANCHORS_MEP_13ec3cb4-bc71-4d2a-8832-e8880bced5f3.pdf" TargetMode="External"/><Relationship Id="rId2" Type="http://schemas.openxmlformats.org/officeDocument/2006/relationships/styles" Target="styles.xml"/><Relationship Id="rId16" Type="http://schemas.openxmlformats.org/officeDocument/2006/relationships/hyperlink" Target="http://www.theguardian.com/uk-news/2015/jul/08/manchester-the-clear-focus-of-george-osbornes-northern-powerhouse" TargetMode="External"/><Relationship Id="rId20" Type="http://schemas.openxmlformats.org/officeDocument/2006/relationships/hyperlink" Target="http://www.un.org/ga/search/view_doc.asp?symbol=A/64/665"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gov.uk/government/publications/future-cities-evolving-economic-performance-of-uk-cities" TargetMode="External"/><Relationship Id="rId5" Type="http://schemas.openxmlformats.org/officeDocument/2006/relationships/image" Target="media/image1.emf"/><Relationship Id="rId15" Type="http://schemas.openxmlformats.org/officeDocument/2006/relationships/hyperlink" Target="https://www.gov.uk/government/speeches/chancellor-we-need-a-northern-powerhouse" TargetMode="External"/><Relationship Id="rId23" Type="http://schemas.openxmlformats.org/officeDocument/2006/relationships/theme" Target="theme/theme1.xml"/><Relationship Id="rId10" Type="http://schemas.openxmlformats.org/officeDocument/2006/relationships/hyperlink" Target="http://services.parliament.uk/bills/2015-16/citiesandlocalgovernmentdevolution.html" TargetMode="External"/><Relationship Id="rId19" Type="http://schemas.openxmlformats.org/officeDocument/2006/relationships/hyperlink" Target="http://community-wealth.org/sites/clone.community-wealth.org/files/downloads/UH-composite-online.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2076/cm7961-local-growth-white-paper.pdf" TargetMode="External"/><Relationship Id="rId14" Type="http://schemas.openxmlformats.org/officeDocument/2006/relationships/hyperlink" Target="http://www.oecd.org/site/govrdpc/5013883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4495</Words>
  <Characters>29332</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Colledge, Barbara</cp:lastModifiedBy>
  <cp:revision>2</cp:revision>
  <dcterms:created xsi:type="dcterms:W3CDTF">2016-03-31T09:08:00Z</dcterms:created>
  <dcterms:modified xsi:type="dcterms:W3CDTF">2016-03-31T09:08:00Z</dcterms:modified>
</cp:coreProperties>
</file>