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17" w:rsidRPr="00CE6D8B" w:rsidRDefault="004B2317" w:rsidP="00E577B1">
      <w:pPr>
        <w:pStyle w:val="NoSpacing"/>
        <w:tabs>
          <w:tab w:val="left" w:pos="567"/>
        </w:tabs>
        <w:spacing w:before="120" w:line="360" w:lineRule="auto"/>
        <w:ind w:left="567"/>
        <w:jc w:val="center"/>
        <w:rPr>
          <w:b/>
          <w:bCs/>
        </w:rPr>
      </w:pPr>
      <w:bookmarkStart w:id="0" w:name="_GoBack"/>
      <w:bookmarkEnd w:id="0"/>
      <w:r w:rsidRPr="00CE6D8B">
        <w:rPr>
          <w:b/>
          <w:bCs/>
        </w:rPr>
        <w:t>Table 2</w:t>
      </w:r>
    </w:p>
    <w:p w:rsidR="004B2317" w:rsidRPr="00CE6D8B" w:rsidRDefault="004B2317" w:rsidP="008C0FE6">
      <w:pPr>
        <w:pStyle w:val="NoSpacing"/>
        <w:tabs>
          <w:tab w:val="left" w:pos="567"/>
        </w:tabs>
        <w:spacing w:line="480" w:lineRule="auto"/>
        <w:ind w:left="567"/>
        <w:jc w:val="center"/>
        <w:rPr>
          <w:b/>
          <w:bCs/>
        </w:rPr>
      </w:pPr>
      <w:r w:rsidRPr="00CE6D8B">
        <w:rPr>
          <w:b/>
          <w:bCs/>
        </w:rPr>
        <w:t>Factors impacting on the relationship between FBC and serum T</w:t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ind w:left="567"/>
      </w:pPr>
      <w:r w:rsidRPr="00CE6D8B">
        <w:tab/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ind w:left="567"/>
      </w:pPr>
      <w:r w:rsidRPr="00CE6D8B">
        <w:t xml:space="preserve">Non androgen-related drivers/constraints to haematopoiesis, </w:t>
      </w:r>
      <w:r w:rsidRPr="00CE6D8B">
        <w:rPr>
          <w:i/>
          <w:iCs/>
        </w:rPr>
        <w:t>eg.</w:t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ind w:left="567"/>
      </w:pPr>
      <w:r w:rsidRPr="00CE6D8B">
        <w:tab/>
      </w:r>
      <w:r w:rsidRPr="00CE6D8B">
        <w:tab/>
        <w:t>- serum concentrations of haematinics</w:t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ind w:left="567"/>
      </w:pPr>
      <w:r w:rsidRPr="00CE6D8B">
        <w:tab/>
      </w:r>
      <w:r w:rsidRPr="00CE6D8B">
        <w:tab/>
        <w:t>- genetic factors</w:t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ind w:left="567"/>
      </w:pPr>
      <w:r w:rsidRPr="00CE6D8B">
        <w:tab/>
      </w:r>
      <w:r w:rsidRPr="00CE6D8B">
        <w:tab/>
        <w:t>- physical fitness/training/performance</w:t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ind w:left="567"/>
      </w:pPr>
      <w:r w:rsidRPr="00CE6D8B">
        <w:tab/>
      </w:r>
      <w:r w:rsidRPr="00CE6D8B">
        <w:tab/>
        <w:t>- respiratory &amp; circulatory function</w:t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rPr>
          <w:color w:val="000000"/>
        </w:rPr>
      </w:pPr>
      <w:r w:rsidRPr="00CE6D8B">
        <w:rPr>
          <w:color w:val="000000"/>
        </w:rPr>
        <w:tab/>
      </w:r>
      <w:r w:rsidRPr="00CE6D8B">
        <w:rPr>
          <w:color w:val="000000"/>
        </w:rPr>
        <w:tab/>
      </w:r>
    </w:p>
    <w:p w:rsidR="004B2317" w:rsidRPr="00CE6D8B" w:rsidRDefault="004B2317" w:rsidP="00A43C67">
      <w:pPr>
        <w:pStyle w:val="NoSpacing"/>
        <w:tabs>
          <w:tab w:val="left" w:pos="567"/>
        </w:tabs>
        <w:spacing w:line="480" w:lineRule="auto"/>
        <w:rPr>
          <w:color w:val="000000"/>
        </w:rPr>
      </w:pPr>
      <w:r>
        <w:rPr>
          <w:color w:val="000000"/>
        </w:rPr>
        <w:tab/>
      </w:r>
      <w:r w:rsidRPr="00CE6D8B">
        <w:rPr>
          <w:color w:val="000000"/>
        </w:rPr>
        <w:t>Non-optimal timing of venepuncture for androgen assay</w:t>
      </w:r>
      <w:r w:rsidRPr="00CE6D8B">
        <w:t xml:space="preserve">, </w:t>
      </w:r>
      <w:r w:rsidRPr="00CE6D8B">
        <w:rPr>
          <w:i/>
          <w:iCs/>
        </w:rPr>
        <w:t>eg.</w:t>
      </w:r>
      <w:r w:rsidRPr="00CE6D8B">
        <w:rPr>
          <w:color w:val="000000"/>
        </w:rPr>
        <w:t xml:space="preserve"> </w:t>
      </w:r>
    </w:p>
    <w:p w:rsidR="004B2317" w:rsidRPr="00CE6D8B" w:rsidRDefault="004B2317" w:rsidP="00A43C67">
      <w:pPr>
        <w:pStyle w:val="BodyText"/>
        <w:spacing w:after="0" w:line="480" w:lineRule="auto"/>
      </w:pPr>
      <w:r w:rsidRPr="00CE6D8B">
        <w:tab/>
      </w:r>
      <w:r w:rsidRPr="00CE6D8B">
        <w:tab/>
        <w:t>- sample not necessarily taken 9am &amp; fasted in untreated men</w:t>
      </w:r>
    </w:p>
    <w:p w:rsidR="004B2317" w:rsidRPr="00CE6D8B" w:rsidRDefault="004B2317" w:rsidP="00A43C67">
      <w:pPr>
        <w:pStyle w:val="BodyText"/>
        <w:spacing w:after="0" w:line="480" w:lineRule="auto"/>
      </w:pPr>
      <w:r w:rsidRPr="00CE6D8B">
        <w:tab/>
      </w:r>
      <w:r w:rsidRPr="00CE6D8B">
        <w:tab/>
        <w:t>- samples not taken at pre-injection “trough” in men on injectable T therapy</w:t>
      </w:r>
    </w:p>
    <w:p w:rsidR="004B2317" w:rsidRPr="00CE6D8B" w:rsidRDefault="004B2317" w:rsidP="00A43C67">
      <w:pPr>
        <w:pStyle w:val="BodyText"/>
        <w:spacing w:after="0" w:line="480" w:lineRule="auto"/>
      </w:pPr>
      <w:r w:rsidRPr="00CE6D8B">
        <w:tab/>
      </w:r>
      <w:r w:rsidRPr="00CE6D8B">
        <w:tab/>
        <w:t xml:space="preserve">- variable adherence in men using transdermal T therapy </w:t>
      </w:r>
    </w:p>
    <w:p w:rsidR="004B2317" w:rsidRPr="00CE6D8B" w:rsidRDefault="004B2317" w:rsidP="00A43C67">
      <w:pPr>
        <w:pStyle w:val="NoSpacing"/>
        <w:spacing w:line="480" w:lineRule="auto"/>
        <w:ind w:left="567" w:hanging="567"/>
      </w:pPr>
    </w:p>
    <w:p w:rsidR="004B2317" w:rsidRPr="00CE6D8B" w:rsidRDefault="004B2317" w:rsidP="00A43C67">
      <w:pPr>
        <w:spacing w:line="480" w:lineRule="auto"/>
      </w:pPr>
    </w:p>
    <w:p w:rsidR="004B2317" w:rsidRDefault="004B2317"/>
    <w:p w:rsidR="004B2317" w:rsidRDefault="004B2317"/>
    <w:p w:rsidR="004B2317" w:rsidRDefault="004B2317"/>
    <w:p w:rsidR="004B2317" w:rsidRDefault="004B2317"/>
    <w:p w:rsidR="004B2317" w:rsidRDefault="004B2317"/>
    <w:p w:rsidR="004B2317" w:rsidRDefault="004B2317"/>
    <w:p w:rsidR="004B2317" w:rsidRDefault="004B2317"/>
    <w:p w:rsidR="004B2317" w:rsidRDefault="004B2317"/>
    <w:p w:rsidR="004B2317" w:rsidRDefault="004B2317"/>
    <w:sectPr w:rsidR="004B2317" w:rsidSect="00B83695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17" w:rsidRDefault="004B2317" w:rsidP="007F6DE7">
      <w:pPr>
        <w:spacing w:line="240" w:lineRule="auto"/>
      </w:pPr>
      <w:r>
        <w:separator/>
      </w:r>
    </w:p>
  </w:endnote>
  <w:endnote w:type="continuationSeparator" w:id="0">
    <w:p w:rsidR="004B2317" w:rsidRDefault="004B2317" w:rsidP="007F6D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17" w:rsidRDefault="004B2317" w:rsidP="007F6DE7">
      <w:pPr>
        <w:spacing w:line="240" w:lineRule="auto"/>
      </w:pPr>
      <w:r>
        <w:separator/>
      </w:r>
    </w:p>
  </w:footnote>
  <w:footnote w:type="continuationSeparator" w:id="0">
    <w:p w:rsidR="004B2317" w:rsidRDefault="004B2317" w:rsidP="007F6D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317" w:rsidRPr="00C119B0" w:rsidRDefault="004B2317" w:rsidP="007F6DE7">
    <w:pPr>
      <w:pStyle w:val="Head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T</w:t>
    </w:r>
    <w:r w:rsidRPr="00C119B0">
      <w:rPr>
        <w:b/>
        <w:bCs/>
        <w:sz w:val="20"/>
        <w:szCs w:val="20"/>
      </w:rPr>
      <w:t>estosterone and haematopoiesis in men</w:t>
    </w:r>
  </w:p>
  <w:p w:rsidR="004B2317" w:rsidRDefault="004B2317">
    <w:pPr>
      <w:pStyle w:val="Header"/>
    </w:pPr>
  </w:p>
  <w:p w:rsidR="004B2317" w:rsidRDefault="004B23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294C8FEA"/>
    <w:name w:val="WW8Num3"/>
    <w:lvl w:ilvl="0">
      <w:start w:val="1"/>
      <w:numFmt w:val="decimal"/>
      <w:lvlText w:val="%1."/>
      <w:lvlJc w:val="left"/>
      <w:pPr>
        <w:tabs>
          <w:tab w:val="num" w:pos="-1134"/>
        </w:tabs>
        <w:ind w:left="-1134"/>
      </w:pPr>
    </w:lvl>
    <w:lvl w:ilvl="1">
      <w:start w:val="1"/>
      <w:numFmt w:val="decimal"/>
      <w:suff w:val="nothing"/>
      <w:lvlText w:val="%2."/>
      <w:lvlJc w:val="left"/>
      <w:pPr>
        <w:tabs>
          <w:tab w:val="num" w:pos="-1134"/>
        </w:tabs>
        <w:ind w:left="-1134"/>
      </w:pPr>
    </w:lvl>
    <w:lvl w:ilvl="2">
      <w:start w:val="1"/>
      <w:numFmt w:val="decimal"/>
      <w:suff w:val="nothing"/>
      <w:lvlText w:val="%3."/>
      <w:lvlJc w:val="left"/>
      <w:pPr>
        <w:tabs>
          <w:tab w:val="num" w:pos="-1134"/>
        </w:tabs>
        <w:ind w:left="-1134"/>
      </w:pPr>
    </w:lvl>
    <w:lvl w:ilvl="3">
      <w:start w:val="1"/>
      <w:numFmt w:val="decimal"/>
      <w:suff w:val="nothing"/>
      <w:lvlText w:val="%4."/>
      <w:lvlJc w:val="left"/>
      <w:pPr>
        <w:tabs>
          <w:tab w:val="num" w:pos="-1134"/>
        </w:tabs>
        <w:ind w:left="-1134"/>
      </w:pPr>
    </w:lvl>
    <w:lvl w:ilvl="4">
      <w:start w:val="1"/>
      <w:numFmt w:val="decimal"/>
      <w:suff w:val="nothing"/>
      <w:lvlText w:val="%5."/>
      <w:lvlJc w:val="left"/>
      <w:pPr>
        <w:tabs>
          <w:tab w:val="num" w:pos="-1134"/>
        </w:tabs>
        <w:ind w:left="-1134"/>
      </w:pPr>
    </w:lvl>
    <w:lvl w:ilvl="5">
      <w:start w:val="1"/>
      <w:numFmt w:val="decimal"/>
      <w:suff w:val="nothing"/>
      <w:lvlText w:val="%6."/>
      <w:lvlJc w:val="left"/>
      <w:pPr>
        <w:tabs>
          <w:tab w:val="num" w:pos="-1134"/>
        </w:tabs>
        <w:ind w:left="-1134"/>
      </w:pPr>
    </w:lvl>
    <w:lvl w:ilvl="6">
      <w:start w:val="1"/>
      <w:numFmt w:val="decimal"/>
      <w:suff w:val="nothing"/>
      <w:lvlText w:val="%7."/>
      <w:lvlJc w:val="left"/>
      <w:pPr>
        <w:tabs>
          <w:tab w:val="num" w:pos="-1134"/>
        </w:tabs>
        <w:ind w:left="-1134"/>
      </w:pPr>
    </w:lvl>
    <w:lvl w:ilvl="7">
      <w:start w:val="1"/>
      <w:numFmt w:val="decimal"/>
      <w:suff w:val="nothing"/>
      <w:lvlText w:val="%8."/>
      <w:lvlJc w:val="left"/>
      <w:pPr>
        <w:tabs>
          <w:tab w:val="num" w:pos="-1134"/>
        </w:tabs>
        <w:ind w:left="-1134"/>
      </w:pPr>
    </w:lvl>
    <w:lvl w:ilvl="8">
      <w:start w:val="1"/>
      <w:numFmt w:val="decimal"/>
      <w:suff w:val="nothing"/>
      <w:lvlText w:val="%9."/>
      <w:lvlJc w:val="left"/>
      <w:pPr>
        <w:tabs>
          <w:tab w:val="num" w:pos="-1134"/>
        </w:tabs>
        <w:ind w:left="-1134"/>
      </w:pPr>
    </w:lvl>
  </w:abstractNum>
  <w:abstractNum w:abstractNumId="2">
    <w:nsid w:val="2BAC16F6"/>
    <w:multiLevelType w:val="hybridMultilevel"/>
    <w:tmpl w:val="633444B8"/>
    <w:lvl w:ilvl="0" w:tplc="B69AC4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7702"/>
    <w:rsid w:val="000040C0"/>
    <w:rsid w:val="00011429"/>
    <w:rsid w:val="00017695"/>
    <w:rsid w:val="00024F7E"/>
    <w:rsid w:val="00064126"/>
    <w:rsid w:val="00081647"/>
    <w:rsid w:val="0009382E"/>
    <w:rsid w:val="000B217F"/>
    <w:rsid w:val="000D6640"/>
    <w:rsid w:val="00147D79"/>
    <w:rsid w:val="00155CC7"/>
    <w:rsid w:val="001603CF"/>
    <w:rsid w:val="00164EC4"/>
    <w:rsid w:val="00182FD5"/>
    <w:rsid w:val="001964CE"/>
    <w:rsid w:val="001C7482"/>
    <w:rsid w:val="001C7502"/>
    <w:rsid w:val="001D3CC8"/>
    <w:rsid w:val="001E5E6E"/>
    <w:rsid w:val="002136A2"/>
    <w:rsid w:val="002313DD"/>
    <w:rsid w:val="0023535B"/>
    <w:rsid w:val="0024578C"/>
    <w:rsid w:val="00261B2F"/>
    <w:rsid w:val="002645F4"/>
    <w:rsid w:val="00265E43"/>
    <w:rsid w:val="00267ED1"/>
    <w:rsid w:val="002813F5"/>
    <w:rsid w:val="002818A4"/>
    <w:rsid w:val="002B32EC"/>
    <w:rsid w:val="002C05EA"/>
    <w:rsid w:val="002C305E"/>
    <w:rsid w:val="002C416A"/>
    <w:rsid w:val="002E1DFB"/>
    <w:rsid w:val="002E6CBE"/>
    <w:rsid w:val="00346B7F"/>
    <w:rsid w:val="00365ECE"/>
    <w:rsid w:val="003A2C5A"/>
    <w:rsid w:val="003A6052"/>
    <w:rsid w:val="003E26DC"/>
    <w:rsid w:val="003E2886"/>
    <w:rsid w:val="003F0872"/>
    <w:rsid w:val="00400C71"/>
    <w:rsid w:val="00431D12"/>
    <w:rsid w:val="004478A1"/>
    <w:rsid w:val="00457369"/>
    <w:rsid w:val="004755AD"/>
    <w:rsid w:val="0048036B"/>
    <w:rsid w:val="004A0BCB"/>
    <w:rsid w:val="004B2317"/>
    <w:rsid w:val="004C35D4"/>
    <w:rsid w:val="004D2438"/>
    <w:rsid w:val="004D777C"/>
    <w:rsid w:val="004F3524"/>
    <w:rsid w:val="004F776A"/>
    <w:rsid w:val="00525E1A"/>
    <w:rsid w:val="00576D1D"/>
    <w:rsid w:val="00580B66"/>
    <w:rsid w:val="00593279"/>
    <w:rsid w:val="005B71B0"/>
    <w:rsid w:val="005D2932"/>
    <w:rsid w:val="00604A25"/>
    <w:rsid w:val="006123BC"/>
    <w:rsid w:val="006202E1"/>
    <w:rsid w:val="0062089E"/>
    <w:rsid w:val="00652FCF"/>
    <w:rsid w:val="00665660"/>
    <w:rsid w:val="00673C59"/>
    <w:rsid w:val="00680275"/>
    <w:rsid w:val="006C5C14"/>
    <w:rsid w:val="006F4526"/>
    <w:rsid w:val="007119C3"/>
    <w:rsid w:val="00756B85"/>
    <w:rsid w:val="00770EB9"/>
    <w:rsid w:val="00794E5D"/>
    <w:rsid w:val="007A56B4"/>
    <w:rsid w:val="007B5D93"/>
    <w:rsid w:val="007E362E"/>
    <w:rsid w:val="007F6DE7"/>
    <w:rsid w:val="00823E33"/>
    <w:rsid w:val="008321D2"/>
    <w:rsid w:val="00883D8A"/>
    <w:rsid w:val="00887117"/>
    <w:rsid w:val="0089484D"/>
    <w:rsid w:val="008C0FE6"/>
    <w:rsid w:val="008F566C"/>
    <w:rsid w:val="00911770"/>
    <w:rsid w:val="009251ED"/>
    <w:rsid w:val="00931353"/>
    <w:rsid w:val="00932D68"/>
    <w:rsid w:val="00961DBE"/>
    <w:rsid w:val="00984983"/>
    <w:rsid w:val="009B00D1"/>
    <w:rsid w:val="00A118C1"/>
    <w:rsid w:val="00A279F6"/>
    <w:rsid w:val="00A34ABF"/>
    <w:rsid w:val="00A43C67"/>
    <w:rsid w:val="00A6780C"/>
    <w:rsid w:val="00AC29D6"/>
    <w:rsid w:val="00AE6CF3"/>
    <w:rsid w:val="00B14FED"/>
    <w:rsid w:val="00B21563"/>
    <w:rsid w:val="00B31B14"/>
    <w:rsid w:val="00B473EF"/>
    <w:rsid w:val="00B7227D"/>
    <w:rsid w:val="00B83695"/>
    <w:rsid w:val="00BC401B"/>
    <w:rsid w:val="00BD2383"/>
    <w:rsid w:val="00C119B0"/>
    <w:rsid w:val="00C255C2"/>
    <w:rsid w:val="00C26E56"/>
    <w:rsid w:val="00C57AD6"/>
    <w:rsid w:val="00C62AF3"/>
    <w:rsid w:val="00CD2DC1"/>
    <w:rsid w:val="00CE6D8B"/>
    <w:rsid w:val="00CF1109"/>
    <w:rsid w:val="00D20F8E"/>
    <w:rsid w:val="00D6730B"/>
    <w:rsid w:val="00D7108F"/>
    <w:rsid w:val="00D72A73"/>
    <w:rsid w:val="00D7573D"/>
    <w:rsid w:val="00D75A8A"/>
    <w:rsid w:val="00DC00B1"/>
    <w:rsid w:val="00DC3EB3"/>
    <w:rsid w:val="00E17702"/>
    <w:rsid w:val="00E22EC0"/>
    <w:rsid w:val="00E25DF1"/>
    <w:rsid w:val="00E360B3"/>
    <w:rsid w:val="00E45022"/>
    <w:rsid w:val="00E577B1"/>
    <w:rsid w:val="00E647F8"/>
    <w:rsid w:val="00E8587A"/>
    <w:rsid w:val="00E8789A"/>
    <w:rsid w:val="00EB161F"/>
    <w:rsid w:val="00EF1B3E"/>
    <w:rsid w:val="00F025E9"/>
    <w:rsid w:val="00F11B1D"/>
    <w:rsid w:val="00F13ACA"/>
    <w:rsid w:val="00F601FD"/>
    <w:rsid w:val="00F66B99"/>
    <w:rsid w:val="00F71296"/>
    <w:rsid w:val="00F72AA5"/>
    <w:rsid w:val="00F94427"/>
    <w:rsid w:val="00FB1F25"/>
    <w:rsid w:val="00FC3A7E"/>
    <w:rsid w:val="00FC4629"/>
    <w:rsid w:val="00FD4AC1"/>
    <w:rsid w:val="00FE4C1D"/>
    <w:rsid w:val="00F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95"/>
    <w:pPr>
      <w:widowControl w:val="0"/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B83695"/>
    <w:pPr>
      <w:numPr>
        <w:numId w:val="1"/>
      </w:num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link w:val="Heading3Char"/>
    <w:uiPriority w:val="99"/>
    <w:qFormat/>
    <w:rsid w:val="00B83695"/>
    <w:pPr>
      <w:numPr>
        <w:ilvl w:val="2"/>
        <w:numId w:val="1"/>
      </w:numPr>
      <w:outlineLvl w:val="2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D07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D07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Absatz-Standardschriftart">
    <w:name w:val="Absatz-Standardschriftart"/>
    <w:uiPriority w:val="99"/>
    <w:rsid w:val="00B83695"/>
  </w:style>
  <w:style w:type="character" w:customStyle="1" w:styleId="WW-Absatz-Standardschriftart">
    <w:name w:val="WW-Absatz-Standardschriftart"/>
    <w:uiPriority w:val="99"/>
    <w:rsid w:val="00B83695"/>
  </w:style>
  <w:style w:type="character" w:styleId="HTMLTypewriter">
    <w:name w:val="HTML Typewriter"/>
    <w:basedOn w:val="DefaultParagraphFont"/>
    <w:uiPriority w:val="99"/>
    <w:rsid w:val="00B83695"/>
    <w:rPr>
      <w:rFonts w:ascii="Courier New" w:eastAsia="Batang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B83695"/>
    <w:rPr>
      <w:b/>
      <w:bCs/>
    </w:rPr>
  </w:style>
  <w:style w:type="character" w:styleId="HTMLCite">
    <w:name w:val="HTML Cite"/>
    <w:basedOn w:val="DefaultParagraphFont"/>
    <w:uiPriority w:val="99"/>
    <w:rsid w:val="00B83695"/>
    <w:rPr>
      <w:i/>
      <w:iCs/>
    </w:rPr>
  </w:style>
  <w:style w:type="character" w:customStyle="1" w:styleId="WW-DefaultParagraphFont1">
    <w:name w:val="WW-Default Paragraph Font1"/>
    <w:uiPriority w:val="99"/>
    <w:rsid w:val="00B83695"/>
  </w:style>
  <w:style w:type="character" w:customStyle="1" w:styleId="cit-source">
    <w:name w:val="cit-source"/>
    <w:basedOn w:val="WW-DefaultParagraphFont1"/>
    <w:uiPriority w:val="99"/>
    <w:rsid w:val="00B83695"/>
  </w:style>
  <w:style w:type="character" w:customStyle="1" w:styleId="cit-vol3">
    <w:name w:val="cit-vol3"/>
    <w:basedOn w:val="WW-DefaultParagraphFont1"/>
    <w:uiPriority w:val="99"/>
    <w:rsid w:val="00B83695"/>
  </w:style>
  <w:style w:type="character" w:customStyle="1" w:styleId="cit-fpage">
    <w:name w:val="cit-fpage"/>
    <w:basedOn w:val="WW-DefaultParagraphFont1"/>
    <w:uiPriority w:val="99"/>
    <w:rsid w:val="00B83695"/>
  </w:style>
  <w:style w:type="character" w:styleId="Hyperlink">
    <w:name w:val="Hyperlink"/>
    <w:basedOn w:val="DefaultParagraphFont"/>
    <w:uiPriority w:val="99"/>
    <w:rsid w:val="00B83695"/>
    <w:rPr>
      <w:color w:val="000080"/>
      <w:u w:val="single"/>
    </w:rPr>
  </w:style>
  <w:style w:type="character" w:customStyle="1" w:styleId="BalloonTextChar">
    <w:name w:val="Balloon Text Char"/>
    <w:uiPriority w:val="99"/>
    <w:rsid w:val="00B83695"/>
    <w:rPr>
      <w:rFonts w:ascii="Tahoma" w:hAnsi="Tahoma" w:cs="Tahoma"/>
      <w:sz w:val="14"/>
      <w:szCs w:val="14"/>
    </w:rPr>
  </w:style>
  <w:style w:type="paragraph" w:customStyle="1" w:styleId="Heading">
    <w:name w:val="Heading"/>
    <w:basedOn w:val="Normal"/>
    <w:next w:val="BodyText"/>
    <w:uiPriority w:val="99"/>
    <w:rsid w:val="00B8369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83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A0D07"/>
    <w:rPr>
      <w:rFonts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B83695"/>
  </w:style>
  <w:style w:type="paragraph" w:styleId="Caption">
    <w:name w:val="caption"/>
    <w:basedOn w:val="Normal"/>
    <w:uiPriority w:val="99"/>
    <w:qFormat/>
    <w:rsid w:val="00B836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B83695"/>
    <w:pPr>
      <w:suppressLineNumbers/>
    </w:pPr>
  </w:style>
  <w:style w:type="paragraph" w:styleId="HTMLPreformatted">
    <w:name w:val="HTML Preformatted"/>
    <w:basedOn w:val="Normal"/>
    <w:link w:val="HTMLPreformattedChar"/>
    <w:uiPriority w:val="99"/>
    <w:rsid w:val="00B83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D07"/>
    <w:rPr>
      <w:rFonts w:ascii="Courier New" w:hAnsi="Courier New" w:cs="Mangal"/>
      <w:kern w:val="1"/>
      <w:sz w:val="20"/>
      <w:szCs w:val="18"/>
      <w:lang w:eastAsia="hi-IN" w:bidi="hi-IN"/>
    </w:rPr>
  </w:style>
  <w:style w:type="paragraph" w:styleId="NoSpacing">
    <w:name w:val="No Spacing"/>
    <w:uiPriority w:val="99"/>
    <w:qFormat/>
    <w:rsid w:val="00B83695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1"/>
    <w:uiPriority w:val="99"/>
    <w:semiHidden/>
    <w:rsid w:val="00B8369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A0D07"/>
    <w:rPr>
      <w:rFonts w:cs="Mangal"/>
      <w:kern w:val="1"/>
      <w:sz w:val="0"/>
      <w:szCs w:val="0"/>
      <w:lang w:eastAsia="hi-IN" w:bidi="hi-IN"/>
    </w:rPr>
  </w:style>
  <w:style w:type="character" w:customStyle="1" w:styleId="apple-converted-space">
    <w:name w:val="apple-converted-space"/>
    <w:uiPriority w:val="99"/>
    <w:rsid w:val="00E647F8"/>
  </w:style>
  <w:style w:type="paragraph" w:styleId="Header">
    <w:name w:val="header"/>
    <w:basedOn w:val="Normal"/>
    <w:link w:val="HeaderChar"/>
    <w:uiPriority w:val="99"/>
    <w:rsid w:val="007F6DE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6DE7"/>
    <w:rPr>
      <w:rFonts w:eastAsia="Times New Roman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7F6DE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6DE7"/>
    <w:rPr>
      <w:rFonts w:eastAsia="Times New Roman"/>
      <w:kern w:val="1"/>
      <w:sz w:val="21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Calculated Free Testosterone Validated Against an Objective Biological Read-out of Androgen-action in Adult Males</vt:lpstr>
    </vt:vector>
  </TitlesOfParts>
  <Company>Newcastle upon Tyne Hospitals NHS Foundation Trust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Calculated Free Testosterone Validated Against an Objective Biological Read-out of Androgen-action in Adult Males</dc:title>
  <dc:creator>Quinton, Richard</dc:creator>
  <cp:lastModifiedBy>Woods David (RTF) NHCT</cp:lastModifiedBy>
  <cp:revision>2</cp:revision>
  <cp:lastPrinted>1901-01-01T01:00:00Z</cp:lastPrinted>
  <dcterms:created xsi:type="dcterms:W3CDTF">2016-11-02T12:50:00Z</dcterms:created>
  <dcterms:modified xsi:type="dcterms:W3CDTF">2016-11-02T12:50:00Z</dcterms:modified>
</cp:coreProperties>
</file>