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73B4" w14:textId="6BD211C3" w:rsidR="003D2D71" w:rsidRPr="00B64061" w:rsidRDefault="00144A27" w:rsidP="00F0243F">
      <w:pPr>
        <w:spacing w:line="480" w:lineRule="auto"/>
        <w:rPr>
          <w:rFonts w:asciiTheme="majorHAnsi" w:hAnsiTheme="majorHAnsi" w:cstheme="majorHAnsi"/>
          <w:b/>
          <w:sz w:val="28"/>
          <w:szCs w:val="28"/>
        </w:rPr>
      </w:pPr>
      <w:r w:rsidRPr="00B64061">
        <w:rPr>
          <w:rFonts w:asciiTheme="majorHAnsi" w:hAnsiTheme="majorHAnsi" w:cstheme="majorHAnsi"/>
          <w:b/>
          <w:sz w:val="28"/>
          <w:szCs w:val="28"/>
        </w:rPr>
        <w:t>A pedometer-based p</w:t>
      </w:r>
      <w:r w:rsidR="000C341B" w:rsidRPr="00B64061">
        <w:rPr>
          <w:rFonts w:asciiTheme="majorHAnsi" w:hAnsiTheme="majorHAnsi" w:cstheme="majorHAnsi"/>
          <w:b/>
          <w:sz w:val="28"/>
          <w:szCs w:val="28"/>
        </w:rPr>
        <w:t>hysical</w:t>
      </w:r>
      <w:r w:rsidRPr="00B64061">
        <w:rPr>
          <w:rFonts w:asciiTheme="majorHAnsi" w:hAnsiTheme="majorHAnsi" w:cstheme="majorHAnsi"/>
          <w:b/>
          <w:sz w:val="28"/>
          <w:szCs w:val="28"/>
        </w:rPr>
        <w:t>ly active learning intervention</w:t>
      </w:r>
      <w:r w:rsidR="000C341B" w:rsidRPr="00B64061">
        <w:rPr>
          <w:rFonts w:asciiTheme="majorHAnsi" w:hAnsiTheme="majorHAnsi" w:cstheme="majorHAnsi"/>
          <w:b/>
          <w:sz w:val="28"/>
          <w:szCs w:val="28"/>
        </w:rPr>
        <w:t xml:space="preserve">: The importance of using pre-intervention physical activity </w:t>
      </w:r>
      <w:r w:rsidRPr="00B64061">
        <w:rPr>
          <w:rFonts w:asciiTheme="majorHAnsi" w:hAnsiTheme="majorHAnsi" w:cstheme="majorHAnsi"/>
          <w:b/>
          <w:sz w:val="28"/>
          <w:szCs w:val="28"/>
        </w:rPr>
        <w:t>categories</w:t>
      </w:r>
      <w:r w:rsidR="000C341B" w:rsidRPr="00B64061">
        <w:rPr>
          <w:rFonts w:asciiTheme="majorHAnsi" w:hAnsiTheme="majorHAnsi" w:cstheme="majorHAnsi"/>
          <w:b/>
          <w:sz w:val="28"/>
          <w:szCs w:val="28"/>
        </w:rPr>
        <w:t xml:space="preserve"> to assess effectiveness.</w:t>
      </w:r>
    </w:p>
    <w:p w14:paraId="53108B8E" w14:textId="57B03022" w:rsidR="00D60D2D" w:rsidRPr="00B64061" w:rsidRDefault="00D60D2D" w:rsidP="008F1287">
      <w:pPr>
        <w:spacing w:after="120"/>
        <w:rPr>
          <w:rFonts w:asciiTheme="majorHAnsi" w:hAnsiTheme="majorHAnsi" w:cs="Times New Roman"/>
          <w:sz w:val="24"/>
          <w:szCs w:val="24"/>
        </w:rPr>
      </w:pPr>
      <w:r w:rsidRPr="00B64061">
        <w:rPr>
          <w:rFonts w:asciiTheme="majorHAnsi" w:hAnsiTheme="majorHAnsi"/>
          <w:b/>
        </w:rPr>
        <w:t>Jade L Morris</w:t>
      </w:r>
      <w:r w:rsidR="00BC7F0F" w:rsidRPr="00B64061">
        <w:rPr>
          <w:rFonts w:asciiTheme="majorHAnsi" w:hAnsiTheme="majorHAnsi"/>
          <w:b/>
          <w:vertAlign w:val="superscript"/>
        </w:rPr>
        <w:t>1</w:t>
      </w:r>
      <w:r w:rsidR="00BC7F0F" w:rsidRPr="00B64061">
        <w:rPr>
          <w:rFonts w:asciiTheme="majorHAnsi" w:hAnsiTheme="majorHAnsi"/>
          <w:b/>
        </w:rPr>
        <w:t xml:space="preserve">, </w:t>
      </w:r>
      <w:r w:rsidR="00BC7F0F" w:rsidRPr="00B64061">
        <w:rPr>
          <w:rFonts w:asciiTheme="majorHAnsi" w:hAnsiTheme="majorHAnsi" w:cs="Times New Roman"/>
        </w:rPr>
        <w:t>Andy Daly-Smith</w:t>
      </w:r>
      <w:r w:rsidR="00BC7F0F" w:rsidRPr="00B64061">
        <w:rPr>
          <w:rFonts w:asciiTheme="majorHAnsi" w:hAnsiTheme="majorHAnsi"/>
          <w:vertAlign w:val="superscript"/>
        </w:rPr>
        <w:t>1</w:t>
      </w:r>
      <w:r w:rsidR="00BC7F0F" w:rsidRPr="00B64061">
        <w:rPr>
          <w:rFonts w:asciiTheme="majorHAnsi" w:hAnsiTheme="majorHAnsi" w:cs="Times New Roman"/>
        </w:rPr>
        <w:t>, Margaret A Defeyter</w:t>
      </w:r>
      <w:r w:rsidR="00BC7F0F" w:rsidRPr="00B64061">
        <w:rPr>
          <w:rFonts w:asciiTheme="majorHAnsi" w:hAnsiTheme="majorHAnsi" w:cs="Times New Roman"/>
          <w:vertAlign w:val="superscript"/>
        </w:rPr>
        <w:t>2</w:t>
      </w:r>
      <w:r w:rsidR="00BC7F0F" w:rsidRPr="00B64061">
        <w:rPr>
          <w:rFonts w:asciiTheme="majorHAnsi" w:hAnsiTheme="majorHAnsi" w:cs="Times New Roman"/>
        </w:rPr>
        <w:t>, Jim McKenna</w:t>
      </w:r>
      <w:r w:rsidR="00BC7F0F" w:rsidRPr="00B64061">
        <w:rPr>
          <w:rFonts w:asciiTheme="majorHAnsi" w:hAnsiTheme="majorHAnsi"/>
          <w:vertAlign w:val="superscript"/>
        </w:rPr>
        <w:t>1</w:t>
      </w:r>
      <w:r w:rsidR="00BC7F0F" w:rsidRPr="00B64061">
        <w:rPr>
          <w:rFonts w:asciiTheme="majorHAnsi" w:hAnsiTheme="majorHAnsi" w:cs="Times New Roman"/>
        </w:rPr>
        <w:t>, Steve Zwolinsky</w:t>
      </w:r>
      <w:r w:rsidR="00BC7F0F" w:rsidRPr="00B64061">
        <w:rPr>
          <w:rFonts w:asciiTheme="majorHAnsi" w:hAnsiTheme="majorHAnsi"/>
          <w:vertAlign w:val="superscript"/>
        </w:rPr>
        <w:t>1</w:t>
      </w:r>
      <w:r w:rsidR="00BC7F0F" w:rsidRPr="00B64061">
        <w:rPr>
          <w:rFonts w:asciiTheme="majorHAnsi" w:hAnsiTheme="majorHAnsi" w:cs="Times New Roman"/>
        </w:rPr>
        <w:t>,</w:t>
      </w:r>
      <w:r w:rsidR="00BC7F0F" w:rsidRPr="00B64061">
        <w:rPr>
          <w:rFonts w:asciiTheme="majorHAnsi" w:hAnsiTheme="majorHAnsi" w:cs="Times New Roman"/>
          <w:sz w:val="24"/>
          <w:szCs w:val="24"/>
        </w:rPr>
        <w:t xml:space="preserve"> </w:t>
      </w:r>
      <w:r w:rsidR="00BC7F0F" w:rsidRPr="00B64061">
        <w:rPr>
          <w:rFonts w:asciiTheme="majorHAnsi" w:hAnsiTheme="majorHAnsi" w:cs="Times New Roman"/>
        </w:rPr>
        <w:t>Scott Lloyd</w:t>
      </w:r>
      <w:r w:rsidR="00BC7F0F" w:rsidRPr="00B64061">
        <w:rPr>
          <w:rFonts w:asciiTheme="majorHAnsi" w:hAnsiTheme="majorHAnsi" w:cs="Times New Roman"/>
          <w:vertAlign w:val="superscript"/>
        </w:rPr>
        <w:t>3</w:t>
      </w:r>
      <w:r w:rsidR="00BC7F0F" w:rsidRPr="00B64061">
        <w:rPr>
          <w:rFonts w:asciiTheme="majorHAnsi" w:hAnsiTheme="majorHAnsi" w:cs="Times New Roman"/>
        </w:rPr>
        <w:t>, Melissa Fothergill</w:t>
      </w:r>
      <w:r w:rsidR="00BC7F0F" w:rsidRPr="00B64061">
        <w:rPr>
          <w:rFonts w:asciiTheme="majorHAnsi" w:hAnsiTheme="majorHAnsi" w:cs="Times New Roman"/>
          <w:vertAlign w:val="superscript"/>
        </w:rPr>
        <w:t>4</w:t>
      </w:r>
      <w:r w:rsidR="00BC7F0F" w:rsidRPr="00B64061">
        <w:rPr>
          <w:rFonts w:asciiTheme="majorHAnsi" w:hAnsiTheme="majorHAnsi" w:cs="Times New Roman"/>
          <w:sz w:val="24"/>
          <w:szCs w:val="24"/>
        </w:rPr>
        <w:t xml:space="preserve">, </w:t>
      </w:r>
      <w:r w:rsidR="00BC7F0F" w:rsidRPr="00B64061">
        <w:rPr>
          <w:rFonts w:asciiTheme="majorHAnsi" w:hAnsiTheme="majorHAnsi" w:cs="Times New Roman"/>
        </w:rPr>
        <w:t>Pamela L Graham</w:t>
      </w:r>
      <w:r w:rsidR="00BC7F0F" w:rsidRPr="00B64061">
        <w:rPr>
          <w:rFonts w:asciiTheme="majorHAnsi" w:hAnsiTheme="majorHAnsi" w:cs="Times New Roman"/>
          <w:vertAlign w:val="superscript"/>
        </w:rPr>
        <w:t>5</w:t>
      </w:r>
      <w:r w:rsidR="00BC7F0F" w:rsidRPr="00B64061">
        <w:rPr>
          <w:rFonts w:asciiTheme="majorHAnsi" w:hAnsiTheme="majorHAnsi" w:cs="Times New Roman"/>
        </w:rPr>
        <w:t>.</w:t>
      </w:r>
    </w:p>
    <w:p w14:paraId="1D796631" w14:textId="419FFDBF" w:rsidR="00D60D2D" w:rsidRPr="00B64061" w:rsidRDefault="00BC7F0F" w:rsidP="008F1287">
      <w:pPr>
        <w:spacing w:after="120"/>
        <w:rPr>
          <w:rFonts w:asciiTheme="majorHAnsi" w:hAnsiTheme="majorHAnsi" w:cs="Times New Roman"/>
          <w:sz w:val="24"/>
          <w:szCs w:val="24"/>
        </w:rPr>
      </w:pPr>
      <w:r w:rsidRPr="00B64061">
        <w:rPr>
          <w:rFonts w:asciiTheme="majorHAnsi" w:hAnsiTheme="majorHAnsi" w:cs="Times New Roman"/>
          <w:b/>
        </w:rPr>
        <w:t>1</w:t>
      </w:r>
      <w:r w:rsidRPr="00B64061">
        <w:rPr>
          <w:rFonts w:asciiTheme="majorHAnsi" w:hAnsiTheme="majorHAnsi" w:cs="Times New Roman"/>
        </w:rPr>
        <w:t xml:space="preserve"> </w:t>
      </w:r>
      <w:r w:rsidRPr="00B64061">
        <w:rPr>
          <w:rFonts w:asciiTheme="majorHAnsi" w:hAnsiTheme="majorHAnsi"/>
          <w:highlight w:val="white"/>
        </w:rPr>
        <w:t xml:space="preserve">Centre of </w:t>
      </w:r>
      <w:r w:rsidRPr="00B64061">
        <w:rPr>
          <w:rFonts w:asciiTheme="majorHAnsi" w:hAnsiTheme="majorHAnsi"/>
        </w:rPr>
        <w:t>Active Lifestyle</w:t>
      </w:r>
      <w:r w:rsidRPr="00B64061">
        <w:rPr>
          <w:rFonts w:asciiTheme="majorHAnsi" w:hAnsiTheme="majorHAnsi" w:cs="Times New Roman"/>
        </w:rPr>
        <w:t xml:space="preserve">, </w:t>
      </w:r>
      <w:r w:rsidR="00D60D2D" w:rsidRPr="00B64061">
        <w:rPr>
          <w:rFonts w:asciiTheme="majorHAnsi" w:hAnsiTheme="majorHAnsi" w:cs="Times New Roman"/>
        </w:rPr>
        <w:t>Institute for Sport, Physical Activity and Leisure, School of Sport</w:t>
      </w:r>
      <w:r w:rsidR="00D85013" w:rsidRPr="00B64061">
        <w:rPr>
          <w:rFonts w:asciiTheme="majorHAnsi" w:hAnsiTheme="majorHAnsi" w:cs="Times New Roman"/>
          <w:sz w:val="24"/>
          <w:szCs w:val="24"/>
        </w:rPr>
        <w:t xml:space="preserve">, </w:t>
      </w:r>
      <w:r w:rsidR="00D60D2D" w:rsidRPr="00B64061">
        <w:rPr>
          <w:rFonts w:asciiTheme="majorHAnsi" w:hAnsiTheme="majorHAnsi" w:cs="Times New Roman"/>
        </w:rPr>
        <w:t>Leeds Beckett University, Leeds, UK</w:t>
      </w:r>
      <w:r w:rsidR="00D85013" w:rsidRPr="00B64061">
        <w:rPr>
          <w:rFonts w:asciiTheme="majorHAnsi" w:hAnsiTheme="majorHAnsi" w:cs="Times New Roman"/>
        </w:rPr>
        <w:t xml:space="preserve"> </w:t>
      </w:r>
    </w:p>
    <w:p w14:paraId="642BBA2B" w14:textId="2F86D611" w:rsidR="00D60D2D" w:rsidRPr="00B64061" w:rsidRDefault="00BC7F0F" w:rsidP="008F1287">
      <w:pPr>
        <w:spacing w:after="120"/>
        <w:rPr>
          <w:rFonts w:asciiTheme="majorHAnsi" w:hAnsiTheme="majorHAnsi" w:cs="Times New Roman"/>
          <w:sz w:val="24"/>
          <w:szCs w:val="24"/>
        </w:rPr>
      </w:pPr>
      <w:r w:rsidRPr="00B64061">
        <w:rPr>
          <w:rFonts w:asciiTheme="majorHAnsi" w:hAnsiTheme="majorHAnsi" w:cs="Times New Roman"/>
          <w:b/>
        </w:rPr>
        <w:t>2</w:t>
      </w:r>
      <w:r w:rsidRPr="00B64061">
        <w:rPr>
          <w:rFonts w:asciiTheme="majorHAnsi" w:hAnsiTheme="majorHAnsi" w:cs="Times New Roman"/>
        </w:rPr>
        <w:t xml:space="preserve"> </w:t>
      </w:r>
      <w:r w:rsidR="00D60D2D" w:rsidRPr="00B64061">
        <w:rPr>
          <w:rFonts w:asciiTheme="majorHAnsi" w:hAnsiTheme="majorHAnsi" w:cs="Times New Roman"/>
        </w:rPr>
        <w:t>Psychology</w:t>
      </w:r>
      <w:r w:rsidR="00D85013" w:rsidRPr="00B64061">
        <w:rPr>
          <w:rFonts w:asciiTheme="majorHAnsi" w:hAnsiTheme="majorHAnsi" w:cs="Times New Roman"/>
          <w:sz w:val="24"/>
          <w:szCs w:val="24"/>
        </w:rPr>
        <w:t xml:space="preserve">, </w:t>
      </w:r>
      <w:r w:rsidR="00D60D2D" w:rsidRPr="00B64061">
        <w:rPr>
          <w:rFonts w:asciiTheme="majorHAnsi" w:hAnsiTheme="majorHAnsi" w:cs="Times New Roman"/>
        </w:rPr>
        <w:t>Northumbria University, Newcastle, UK.</w:t>
      </w:r>
    </w:p>
    <w:p w14:paraId="0FA67C39" w14:textId="7B77FFDE" w:rsidR="00D60D2D" w:rsidRPr="00B64061" w:rsidRDefault="00BC7F0F" w:rsidP="008F1287">
      <w:pPr>
        <w:spacing w:after="120"/>
        <w:rPr>
          <w:rFonts w:asciiTheme="majorHAnsi" w:hAnsiTheme="majorHAnsi" w:cs="Times New Roman"/>
          <w:sz w:val="24"/>
          <w:szCs w:val="24"/>
        </w:rPr>
      </w:pPr>
      <w:r w:rsidRPr="00B64061">
        <w:rPr>
          <w:rFonts w:asciiTheme="majorHAnsi" w:hAnsiTheme="majorHAnsi" w:cs="Times New Roman"/>
          <w:b/>
        </w:rPr>
        <w:t>3</w:t>
      </w:r>
      <w:r w:rsidRPr="00B64061">
        <w:rPr>
          <w:rFonts w:asciiTheme="majorHAnsi" w:hAnsiTheme="majorHAnsi" w:cs="Times New Roman"/>
        </w:rPr>
        <w:t xml:space="preserve"> </w:t>
      </w:r>
      <w:r w:rsidR="00D60D2D" w:rsidRPr="00B64061">
        <w:rPr>
          <w:rFonts w:asciiTheme="majorHAnsi" w:hAnsiTheme="majorHAnsi" w:cs="Times New Roman"/>
        </w:rPr>
        <w:t>Public Health</w:t>
      </w:r>
      <w:r w:rsidR="00D85013" w:rsidRPr="00B64061">
        <w:rPr>
          <w:rFonts w:asciiTheme="majorHAnsi" w:hAnsiTheme="majorHAnsi" w:cs="Times New Roman"/>
          <w:sz w:val="24"/>
          <w:szCs w:val="24"/>
        </w:rPr>
        <w:t xml:space="preserve">, </w:t>
      </w:r>
      <w:r w:rsidR="00D60D2D" w:rsidRPr="00B64061">
        <w:rPr>
          <w:rFonts w:asciiTheme="majorHAnsi" w:hAnsiTheme="majorHAnsi" w:cs="Times New Roman"/>
        </w:rPr>
        <w:t>Redcar &amp; Cleveland Borough Council</w:t>
      </w:r>
      <w:r w:rsidRPr="00B64061">
        <w:rPr>
          <w:rFonts w:asciiTheme="majorHAnsi" w:hAnsiTheme="majorHAnsi" w:cs="Times New Roman"/>
        </w:rPr>
        <w:t>, UK.</w:t>
      </w:r>
    </w:p>
    <w:p w14:paraId="4B883750" w14:textId="36CDB8F0" w:rsidR="00D60D2D" w:rsidRPr="00B64061" w:rsidRDefault="00BC7F0F" w:rsidP="008F1287">
      <w:pPr>
        <w:pStyle w:val="NoSpacing"/>
        <w:spacing w:after="120" w:line="360" w:lineRule="auto"/>
        <w:rPr>
          <w:lang w:eastAsia="en-US"/>
        </w:rPr>
      </w:pPr>
      <w:r w:rsidRPr="00B64061">
        <w:rPr>
          <w:rFonts w:asciiTheme="majorHAnsi" w:hAnsiTheme="majorHAnsi"/>
          <w:b/>
        </w:rPr>
        <w:t xml:space="preserve">4 </w:t>
      </w:r>
      <w:r w:rsidR="006A23DC" w:rsidRPr="00B64061">
        <w:rPr>
          <w:rFonts w:asciiTheme="majorHAnsi" w:hAnsiTheme="majorHAnsi"/>
        </w:rPr>
        <w:t>Health, Sport and Exercise Psychology,</w:t>
      </w:r>
      <w:r w:rsidR="006A23DC" w:rsidRPr="00B64061">
        <w:rPr>
          <w:rFonts w:asciiTheme="majorHAnsi" w:hAnsiTheme="majorHAnsi"/>
          <w:b/>
        </w:rPr>
        <w:t xml:space="preserve"> </w:t>
      </w:r>
      <w:r w:rsidR="008F1287" w:rsidRPr="00B64061">
        <w:rPr>
          <w:shd w:val="clear" w:color="auto" w:fill="FFFFFF"/>
          <w:lang w:eastAsia="en-US"/>
        </w:rPr>
        <w:t>School of Psychology</w:t>
      </w:r>
      <w:r w:rsidR="008F1287" w:rsidRPr="00B64061">
        <w:rPr>
          <w:lang w:eastAsia="en-US"/>
        </w:rPr>
        <w:t>, Newcastle University, UK.</w:t>
      </w:r>
    </w:p>
    <w:p w14:paraId="2FF16E8B" w14:textId="77777777" w:rsidR="006A23DC" w:rsidRPr="00B64061" w:rsidRDefault="00BC7F0F" w:rsidP="008F1287">
      <w:pPr>
        <w:spacing w:after="120"/>
        <w:rPr>
          <w:rFonts w:asciiTheme="majorHAnsi" w:hAnsiTheme="majorHAnsi" w:cs="Times New Roman"/>
        </w:rPr>
      </w:pPr>
      <w:r w:rsidRPr="00B64061">
        <w:rPr>
          <w:rFonts w:asciiTheme="majorHAnsi" w:hAnsiTheme="majorHAnsi" w:cs="Times New Roman"/>
          <w:b/>
        </w:rPr>
        <w:t>5</w:t>
      </w:r>
      <w:r w:rsidRPr="00B64061">
        <w:rPr>
          <w:rFonts w:asciiTheme="majorHAnsi" w:hAnsiTheme="majorHAnsi" w:cs="Times New Roman"/>
        </w:rPr>
        <w:t xml:space="preserve"> </w:t>
      </w:r>
      <w:r w:rsidR="00D60D2D" w:rsidRPr="00B64061">
        <w:rPr>
          <w:rFonts w:asciiTheme="majorHAnsi" w:hAnsiTheme="majorHAnsi" w:cs="Times New Roman"/>
        </w:rPr>
        <w:t>Social Work, Education and Community Wellbeing</w:t>
      </w:r>
      <w:r w:rsidRPr="00B64061">
        <w:rPr>
          <w:rFonts w:asciiTheme="majorHAnsi" w:hAnsiTheme="majorHAnsi" w:cs="Times New Roman"/>
          <w:sz w:val="24"/>
          <w:szCs w:val="24"/>
        </w:rPr>
        <w:t xml:space="preserve">, </w:t>
      </w:r>
      <w:r w:rsidR="00D60D2D" w:rsidRPr="00B64061">
        <w:rPr>
          <w:rFonts w:asciiTheme="majorHAnsi" w:hAnsiTheme="majorHAnsi" w:cs="Times New Roman"/>
        </w:rPr>
        <w:t>Northumbria University, Newcastle, UK.</w:t>
      </w:r>
    </w:p>
    <w:p w14:paraId="4BF359DB" w14:textId="688B74A0" w:rsidR="009429BD" w:rsidRPr="00B64061" w:rsidRDefault="006A23DC" w:rsidP="003F2A78">
      <w:pPr>
        <w:pStyle w:val="NoSpacing"/>
        <w:rPr>
          <w:b/>
        </w:rPr>
      </w:pPr>
      <w:r w:rsidRPr="00B64061">
        <w:rPr>
          <w:b/>
        </w:rPr>
        <w:t xml:space="preserve">Corresponding Author: </w:t>
      </w:r>
      <w:r w:rsidRPr="00B64061">
        <w:t>Jade L Morris</w:t>
      </w:r>
      <w:r w:rsidR="003E08FB" w:rsidRPr="00B64061">
        <w:t xml:space="preserve">. </w:t>
      </w:r>
      <w:r w:rsidR="003E08FB" w:rsidRPr="00B64061">
        <w:rPr>
          <w:b/>
        </w:rPr>
        <w:t>Email:</w:t>
      </w:r>
      <w:r w:rsidR="003E08FB" w:rsidRPr="00B64061">
        <w:t xml:space="preserve"> Jade.Morris@leedsbeckett.ac.uk</w:t>
      </w:r>
      <w:r w:rsidR="009429BD" w:rsidRPr="00B64061">
        <w:rPr>
          <w:rFonts w:ascii="Calibri Light" w:hAnsi="Calibri Light" w:cs="Calibri Light"/>
        </w:rPr>
        <w:br w:type="page"/>
      </w:r>
    </w:p>
    <w:p w14:paraId="300FDA47" w14:textId="2D69B938" w:rsidR="006B6D04" w:rsidRPr="00B64061" w:rsidRDefault="00A05A6F">
      <w:pPr>
        <w:spacing w:after="0" w:line="480" w:lineRule="auto"/>
        <w:jc w:val="left"/>
        <w:rPr>
          <w:rFonts w:ascii="Times New Roman" w:eastAsia="Times New Roman" w:hAnsi="Times New Roman" w:cs="Times New Roman"/>
          <w:sz w:val="24"/>
          <w:szCs w:val="24"/>
        </w:rPr>
      </w:pPr>
      <w:r w:rsidRPr="00B64061">
        <w:rPr>
          <w:b/>
          <w:sz w:val="28"/>
          <w:szCs w:val="28"/>
        </w:rPr>
        <w:lastRenderedPageBreak/>
        <w:t>Abstract</w:t>
      </w:r>
    </w:p>
    <w:p w14:paraId="2E035040" w14:textId="2FAE3BCF" w:rsidR="00FF3ECA" w:rsidRPr="00B64061" w:rsidRDefault="00FF3ECA" w:rsidP="00FF3ECA">
      <w:pPr>
        <w:pStyle w:val="NormalWeb"/>
        <w:spacing w:beforeAutospacing="0" w:after="0" w:afterAutospacing="0" w:line="480" w:lineRule="auto"/>
        <w:jc w:val="both"/>
      </w:pPr>
      <w:r w:rsidRPr="00B64061">
        <w:rPr>
          <w:rFonts w:ascii="Calibri" w:hAnsi="Calibri" w:cs="Calibri"/>
          <w:b/>
          <w:bCs/>
          <w:sz w:val="22"/>
          <w:szCs w:val="22"/>
        </w:rPr>
        <w:t xml:space="preserve">Purpose: </w:t>
      </w:r>
      <w:r w:rsidRPr="00B64061">
        <w:rPr>
          <w:rFonts w:ascii="Calibri" w:hAnsi="Calibri" w:cs="Calibri"/>
          <w:sz w:val="22"/>
          <w:szCs w:val="22"/>
        </w:rPr>
        <w:t xml:space="preserve">To assess physical activity </w:t>
      </w:r>
      <w:r w:rsidR="00CC3333" w:rsidRPr="00B64061">
        <w:rPr>
          <w:rFonts w:ascii="Calibri" w:hAnsi="Calibri" w:cs="Calibri"/>
          <w:sz w:val="22"/>
          <w:szCs w:val="22"/>
        </w:rPr>
        <w:t xml:space="preserve">(PA) </w:t>
      </w:r>
      <w:r w:rsidRPr="00B64061">
        <w:rPr>
          <w:rFonts w:ascii="Calibri" w:hAnsi="Calibri" w:cs="Calibri"/>
          <w:sz w:val="22"/>
          <w:szCs w:val="22"/>
        </w:rPr>
        <w:t xml:space="preserve">outcomes of a pedometer-based physically active learning (PAL) intervention in primary school children. </w:t>
      </w:r>
    </w:p>
    <w:p w14:paraId="502A607F" w14:textId="4F06E16E" w:rsidR="00FF3ECA" w:rsidRPr="00B64061" w:rsidRDefault="00FF3ECA" w:rsidP="00FF3ECA">
      <w:pPr>
        <w:pStyle w:val="NormalWeb"/>
        <w:spacing w:beforeAutospacing="0" w:after="0" w:afterAutospacing="0" w:line="480" w:lineRule="auto"/>
        <w:jc w:val="both"/>
      </w:pPr>
      <w:r w:rsidRPr="00B64061">
        <w:rPr>
          <w:rFonts w:ascii="Calibri" w:hAnsi="Calibri" w:cs="Calibri"/>
          <w:b/>
          <w:bCs/>
          <w:sz w:val="22"/>
          <w:szCs w:val="22"/>
        </w:rPr>
        <w:t xml:space="preserve">Method: </w:t>
      </w:r>
      <w:r w:rsidRPr="00B64061">
        <w:rPr>
          <w:rFonts w:ascii="Calibri" w:hAnsi="Calibri" w:cs="Calibri"/>
          <w:sz w:val="22"/>
          <w:szCs w:val="22"/>
        </w:rPr>
        <w:t>Six paired schools, were randomly allocated either to a six-week teacher-led pedometer-based PAL intervention or co</w:t>
      </w:r>
      <w:r w:rsidR="00CC3333" w:rsidRPr="00B64061">
        <w:rPr>
          <w:rFonts w:ascii="Calibri" w:hAnsi="Calibri" w:cs="Calibri"/>
          <w:sz w:val="22"/>
          <w:szCs w:val="22"/>
        </w:rPr>
        <w:t>ntrol (n=15</w:t>
      </w:r>
      <w:r w:rsidR="00177BB3" w:rsidRPr="00B64061">
        <w:rPr>
          <w:rFonts w:ascii="Calibri" w:hAnsi="Calibri" w:cs="Calibri"/>
          <w:sz w:val="22"/>
          <w:szCs w:val="22"/>
        </w:rPr>
        <w:t>4</w:t>
      </w:r>
      <w:r w:rsidR="00CC3333" w:rsidRPr="00B64061">
        <w:rPr>
          <w:rFonts w:ascii="Calibri" w:hAnsi="Calibri" w:cs="Calibri"/>
          <w:sz w:val="22"/>
          <w:szCs w:val="22"/>
        </w:rPr>
        <w:t>, Female=60%, 9.9±</w:t>
      </w:r>
      <w:r w:rsidRPr="00B64061">
        <w:rPr>
          <w:rFonts w:ascii="Calibri" w:hAnsi="Calibri" w:cs="Calibri"/>
          <w:sz w:val="22"/>
          <w:szCs w:val="22"/>
        </w:rPr>
        <w:t>0.3yrs). Accelerometers assessed total daily sedentary time, light PA (LPA) and moderate-to-vigorous PA (MVPA). Pre-intervention mean daily MVPA minutes grouped participants as Low Active (&lt;45 minutes/day) and High Active (≥45 minutes/day).</w:t>
      </w:r>
    </w:p>
    <w:p w14:paraId="04C4B94A" w14:textId="7946C405" w:rsidR="00FF3ECA" w:rsidRPr="00B64061" w:rsidRDefault="00FF3ECA" w:rsidP="00FF3ECA">
      <w:pPr>
        <w:pStyle w:val="NormalWeb"/>
        <w:spacing w:beforeAutospacing="0" w:after="0" w:afterAutospacing="0" w:line="480" w:lineRule="auto"/>
        <w:jc w:val="both"/>
      </w:pPr>
      <w:r w:rsidRPr="00B64061">
        <w:rPr>
          <w:rFonts w:ascii="Calibri" w:hAnsi="Calibri" w:cs="Calibri"/>
          <w:b/>
          <w:bCs/>
          <w:sz w:val="22"/>
          <w:szCs w:val="22"/>
        </w:rPr>
        <w:t xml:space="preserve">Results: </w:t>
      </w:r>
      <w:r w:rsidR="00A92B8F" w:rsidRPr="00B64061">
        <w:rPr>
          <w:rFonts w:ascii="Calibri" w:hAnsi="Calibri" w:cs="Calibri"/>
          <w:bCs/>
          <w:sz w:val="22"/>
          <w:szCs w:val="22"/>
        </w:rPr>
        <w:t>From the final sample size,</w:t>
      </w:r>
      <w:r w:rsidR="00A92B8F" w:rsidRPr="00B64061">
        <w:rPr>
          <w:rFonts w:ascii="Calibri" w:hAnsi="Calibri" w:cs="Calibri"/>
          <w:b/>
          <w:bCs/>
          <w:sz w:val="22"/>
          <w:szCs w:val="22"/>
        </w:rPr>
        <w:t xml:space="preserve"> </w:t>
      </w:r>
      <w:r w:rsidR="00A92B8F" w:rsidRPr="00B64061">
        <w:rPr>
          <w:rFonts w:ascii="Calibri" w:hAnsi="Calibri" w:cs="Calibri"/>
          <w:sz w:val="22"/>
          <w:szCs w:val="22"/>
        </w:rPr>
        <w:t>t</w:t>
      </w:r>
      <w:r w:rsidRPr="00B64061">
        <w:rPr>
          <w:rFonts w:ascii="Calibri" w:hAnsi="Calibri" w:cs="Calibri"/>
          <w:sz w:val="22"/>
          <w:szCs w:val="22"/>
        </w:rPr>
        <w:t>he intervention (n=52) significantly improved LPA versus control (n=31, p=0.04), by reducing sedentary time. More intervention (+10%) than control (+3%) pupils met the 60 minutes/d</w:t>
      </w:r>
      <w:r w:rsidR="00B64061" w:rsidRPr="00B64061">
        <w:rPr>
          <w:rFonts w:ascii="Calibri" w:hAnsi="Calibri" w:cs="Calibri"/>
          <w:sz w:val="22"/>
          <w:szCs w:val="22"/>
        </w:rPr>
        <w:t>ay</w:t>
      </w:r>
      <w:r w:rsidRPr="00B64061">
        <w:rPr>
          <w:rFonts w:ascii="Calibri" w:hAnsi="Calibri" w:cs="Calibri"/>
          <w:sz w:val="22"/>
          <w:szCs w:val="22"/>
        </w:rPr>
        <w:t xml:space="preserve"> guidelines. In both intervention subgroups pupils spent less time in LPA (p&lt;0.05) versus control. The greatest non-significant increase was found in the Low Active pupils MVPA levels.</w:t>
      </w:r>
    </w:p>
    <w:p w14:paraId="71692EBC" w14:textId="56B8A1A9" w:rsidR="00D6673E" w:rsidRPr="00B64061" w:rsidRDefault="00FF3ECA" w:rsidP="00D6673E">
      <w:pPr>
        <w:pStyle w:val="NormalWeb"/>
        <w:spacing w:before="0" w:beforeAutospacing="0" w:after="0" w:afterAutospacing="0" w:line="480" w:lineRule="auto"/>
        <w:jc w:val="both"/>
      </w:pPr>
      <w:r w:rsidRPr="00B64061">
        <w:rPr>
          <w:rFonts w:ascii="Calibri" w:hAnsi="Calibri" w:cs="Calibri"/>
          <w:b/>
          <w:bCs/>
          <w:sz w:val="22"/>
          <w:szCs w:val="22"/>
        </w:rPr>
        <w:t xml:space="preserve">Conclusion: </w:t>
      </w:r>
      <w:r w:rsidRPr="00B64061">
        <w:rPr>
          <w:rFonts w:ascii="Calibri" w:hAnsi="Calibri" w:cs="Calibri"/>
          <w:sz w:val="22"/>
          <w:szCs w:val="22"/>
        </w:rPr>
        <w:t>Improvements in LPA were statistically significant in the intervention versus control group. In subgroup analysis Low Active pupils in the intervention showed the greatest beneficial effects</w:t>
      </w:r>
      <w:r w:rsidR="00CC3333" w:rsidRPr="00B64061">
        <w:rPr>
          <w:rFonts w:ascii="Calibri" w:hAnsi="Calibri" w:cs="Calibri"/>
          <w:sz w:val="22"/>
          <w:szCs w:val="22"/>
        </w:rPr>
        <w:t xml:space="preserve"> and</w:t>
      </w:r>
      <w:r w:rsidR="00B64061" w:rsidRPr="00B64061">
        <w:rPr>
          <w:rFonts w:ascii="Calibri" w:hAnsi="Calibri" w:cs="Calibri"/>
          <w:sz w:val="22"/>
          <w:szCs w:val="22"/>
        </w:rPr>
        <w:t xml:space="preserve"> the M</w:t>
      </w:r>
      <w:r w:rsidRPr="00B64061">
        <w:rPr>
          <w:rFonts w:ascii="Calibri" w:hAnsi="Calibri" w:cs="Calibri"/>
          <w:sz w:val="22"/>
          <w:szCs w:val="22"/>
        </w:rPr>
        <w:t>o</w:t>
      </w:r>
      <w:r w:rsidR="00B64061" w:rsidRPr="00B64061">
        <w:rPr>
          <w:rFonts w:ascii="Calibri" w:hAnsi="Calibri" w:cs="Calibri"/>
          <w:sz w:val="22"/>
          <w:szCs w:val="22"/>
        </w:rPr>
        <w:t>st A</w:t>
      </w:r>
      <w:r w:rsidRPr="00B64061">
        <w:rPr>
          <w:rFonts w:ascii="Calibri" w:hAnsi="Calibri" w:cs="Calibri"/>
          <w:sz w:val="22"/>
          <w:szCs w:val="22"/>
        </w:rPr>
        <w:t>ctive pupils may have replaced MVPA and sedentary time with LPA. The intervention group housed clusters of pupils showing variable responsiveness, justifying routine examination of subgroup variability in future studies.</w:t>
      </w:r>
      <w:r w:rsidR="00D6673E" w:rsidRPr="00B64061">
        <w:br w:type="page"/>
      </w:r>
    </w:p>
    <w:p w14:paraId="7B2470D8" w14:textId="07BCCF4B" w:rsidR="00FF3ECA" w:rsidRPr="00B64061" w:rsidRDefault="00FF3ECA" w:rsidP="00FF3ECA">
      <w:pPr>
        <w:pStyle w:val="Heading3"/>
        <w:spacing w:before="280" w:line="480" w:lineRule="auto"/>
      </w:pPr>
      <w:r w:rsidRPr="00B64061">
        <w:rPr>
          <w:sz w:val="24"/>
          <w:szCs w:val="24"/>
        </w:rPr>
        <w:lastRenderedPageBreak/>
        <w:t>Introduction</w:t>
      </w:r>
    </w:p>
    <w:p w14:paraId="4009FDF6" w14:textId="77777777"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The beneficial effects of childhood physical activity (PA) are profound (22,44). Increased PA has been associated with improvements in cardiovascular health (1), cardiometabolic risk factors (4,14) and adiposity (19,23), as well as psychological health including depression (10), self-esteem and reduced anxiety levels (3,27). Yet, in 38 countries around the world, including England, Canada, Australia and America, less than 30% of children are sufficiently active to secure these benefits (23,43). This is all-the-more alarming given the well documented adverse health outcomes for children who lead inactive lifestyles (23,43). Moreover, inactivity is now considered an important global economic problem due to escalating health care costs (13).</w:t>
      </w:r>
    </w:p>
    <w:p w14:paraId="5A60AAFF" w14:textId="77777777"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Overcoming high rates of physical inactivity is challenging, with no universal solution at present. Given that behaviour is driven by a combination of individual, social and environmental factors, children’s responsiveness to PA interventions is widely variable (26,29). Although schools are often a favoured environment for PA interventions targeted at children (11), data from contemporary interventions continue to demonstrate limited effectiveness (46). Current national and international guidelines recommend that children engage in at least 60 minutes of moderate-to-vigorous PA (MVPA) each day (8,12,43,45), of which 30 minutes should be during the school day (21). Yet, school-based interventions typically display only small effects and short-term behavioural changes; clearly some children respond powerfully, while others do not. This undermines any presumptions about universal benefit arising from any provision and justifies looking at subgroup responsiveness within all intervention (11,25). In this regard, it is unhelpful that data pertaining to children have typically utilised a single overall mean score, meaning that intervention effects may be attributed to high levels of subgroup responsiveness rather than a universal intervention effect (24). Reliance on single outcome averages may also conceal noteworthy detail about PA behaviour in the groups that require most assistance and support (26), such as the most inactive children that are often overweight and obese (41).</w:t>
      </w:r>
    </w:p>
    <w:p w14:paraId="498CD04D" w14:textId="77777777"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lastRenderedPageBreak/>
        <w:t xml:space="preserve">New interventions, especially those targeting lesson times - the most inactive period in a child’s day (2,18,34) - may offer further opportunities to improve PA. </w:t>
      </w:r>
      <w:r w:rsidRPr="00B64061">
        <w:rPr>
          <w:rFonts w:ascii="Calibri" w:hAnsi="Calibri" w:cs="Calibri"/>
          <w:sz w:val="22"/>
          <w:szCs w:val="22"/>
          <w:shd w:val="clear" w:color="auto" w:fill="FFFFFF"/>
        </w:rPr>
        <w:t>Physically active learning (PAL) provides one such avenue for intervention, whereby movement is combined with learning to replace the typical traditional sedentary classroom lessons (35). Using a single mean outcome score, recent systematic reviews and meta analyses reveal</w:t>
      </w:r>
      <w:r w:rsidRPr="00B64061">
        <w:rPr>
          <w:rFonts w:ascii="Calibri" w:hAnsi="Calibri" w:cs="Calibri"/>
          <w:sz w:val="22"/>
          <w:szCs w:val="22"/>
        </w:rPr>
        <w:t xml:space="preserve">ed </w:t>
      </w:r>
      <w:r w:rsidRPr="00B64061">
        <w:rPr>
          <w:rFonts w:ascii="Calibri" w:hAnsi="Calibri" w:cs="Calibri"/>
          <w:sz w:val="22"/>
          <w:szCs w:val="22"/>
          <w:shd w:val="clear" w:color="auto" w:fill="FFFFFF"/>
        </w:rPr>
        <w:t xml:space="preserve">mixed success for PAL in increasing MVPA (35,45), whereas a study using subgroup analyses found notable improvements in girls (36). While participant variability has been identified as an important consideration when evaluating interventions (15,16), </w:t>
      </w:r>
      <w:r w:rsidRPr="00B64061">
        <w:rPr>
          <w:rFonts w:ascii="Calibri" w:hAnsi="Calibri" w:cs="Calibri"/>
          <w:sz w:val="22"/>
          <w:szCs w:val="22"/>
        </w:rPr>
        <w:t>subgroup analyses around PA behaviours are often overlooked (36) in favour of approaches that identify ‘universal’ outcomes. To date, few studies have used subgroup approaches in PA and PAL research (36,40); no previous studies have conducted subgroup analyses on pre-intervention PA levels to explore the differing effect of a PAL and pedometer-based intervention.</w:t>
      </w:r>
    </w:p>
    <w:p w14:paraId="3A2007BE" w14:textId="77777777"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The present study aims to evaluate the effectiveness of a PAL intervention on children’s PA levels using subgroup analysis to reveal stratified intervention effects highlighted by pre-intervention PA levels.</w:t>
      </w:r>
    </w:p>
    <w:p w14:paraId="79D5E1D5" w14:textId="77777777" w:rsidR="00FF3ECA" w:rsidRPr="00B64061" w:rsidRDefault="00FF3ECA" w:rsidP="00FF3ECA">
      <w:pPr>
        <w:pStyle w:val="Heading3"/>
        <w:spacing w:before="280" w:line="480" w:lineRule="auto"/>
      </w:pPr>
      <w:r w:rsidRPr="00B64061">
        <w:rPr>
          <w:sz w:val="24"/>
          <w:szCs w:val="24"/>
        </w:rPr>
        <w:t>Materials and Methods</w:t>
      </w:r>
    </w:p>
    <w:p w14:paraId="1D45921B" w14:textId="77777777" w:rsidR="00FF3ECA" w:rsidRPr="00B64061" w:rsidRDefault="00FF3ECA" w:rsidP="00FF3ECA">
      <w:pPr>
        <w:pStyle w:val="Heading3"/>
        <w:spacing w:before="280" w:line="480" w:lineRule="auto"/>
        <w:rPr>
          <w:rFonts w:asciiTheme="majorHAnsi" w:hAnsiTheme="majorHAnsi" w:cstheme="majorHAnsi"/>
        </w:rPr>
      </w:pPr>
      <w:r w:rsidRPr="00B64061">
        <w:rPr>
          <w:rFonts w:asciiTheme="majorHAnsi" w:hAnsiTheme="majorHAnsi" w:cstheme="majorHAnsi"/>
        </w:rPr>
        <w:t>Participants and Study Design</w:t>
      </w:r>
    </w:p>
    <w:p w14:paraId="1102D4AD" w14:textId="4A4D0D1C"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 xml:space="preserve">Participants (n=154, intervention: n=82, females=55%, age=9.98±0.31yrs, control, n=72, females=52%, age=9.89±0.29yrs) were recruited from six year 5 classes across six schools (see figure 1 for CONSORT flow diagram). As directed by the local public health commissioner, the intervention was directed to key stage two (years 3 to 6), however the evaluation was taken with year 5 due to exam commitments of the other year groups. Prior to commencing, consent was obtained from headteachers and parents; and assent was obtained from pupils. Ethical clearance was granted by the Leeds Beckett University Ethics Committee (reference 37482). Schools were ranked and paired by socioeconomic status (SES), determined by the proportion of children receiving free school meals </w:t>
      </w:r>
      <w:r w:rsidRPr="00B64061">
        <w:rPr>
          <w:rFonts w:ascii="Calibri" w:hAnsi="Calibri" w:cs="Calibri"/>
          <w:sz w:val="22"/>
          <w:szCs w:val="22"/>
        </w:rPr>
        <w:lastRenderedPageBreak/>
        <w:t xml:space="preserve">(2.39% to 31.79%, </w:t>
      </w:r>
      <w:r w:rsidR="00B64061" w:rsidRPr="00B64061">
        <w:rPr>
          <w:rFonts w:ascii="Calibri" w:hAnsi="Calibri" w:cs="Calibri"/>
          <w:sz w:val="22"/>
          <w:szCs w:val="22"/>
        </w:rPr>
        <w:t>M=</w:t>
      </w:r>
      <w:r w:rsidRPr="00B64061">
        <w:rPr>
          <w:rFonts w:ascii="Calibri" w:hAnsi="Calibri" w:cs="Calibri"/>
          <w:sz w:val="22"/>
          <w:szCs w:val="22"/>
        </w:rPr>
        <w:t>16.37±0.10%). One school per pair was randomly allocated, by coin toss, to a six-week teacher-led pedometer-based PAL intervention or control condition. Data collection commenced in January 2016.</w:t>
      </w:r>
    </w:p>
    <w:p w14:paraId="34A5B389" w14:textId="77777777" w:rsidR="00FF3ECA" w:rsidRPr="00B64061" w:rsidRDefault="00FF3ECA" w:rsidP="00FF3ECA">
      <w:pPr>
        <w:pStyle w:val="Heading3"/>
        <w:spacing w:before="280" w:line="480" w:lineRule="auto"/>
        <w:ind w:firstLine="720"/>
        <w:jc w:val="center"/>
      </w:pPr>
      <w:r w:rsidRPr="00B64061">
        <w:rPr>
          <w:b w:val="0"/>
          <w:bCs/>
          <w:i/>
          <w:iCs/>
        </w:rPr>
        <w:t>[ Insert figure 1 here ]</w:t>
      </w:r>
    </w:p>
    <w:p w14:paraId="53E55B92" w14:textId="77777777" w:rsidR="00FF3ECA" w:rsidRPr="00B64061" w:rsidRDefault="00FF3ECA" w:rsidP="00FF3ECA">
      <w:pPr>
        <w:pStyle w:val="Heading3"/>
        <w:spacing w:before="280" w:after="0" w:line="480" w:lineRule="auto"/>
      </w:pPr>
      <w:r w:rsidRPr="00B64061">
        <w:t>Intervention Design</w:t>
      </w:r>
    </w:p>
    <w:p w14:paraId="20F6D0D9" w14:textId="3D0E8611"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Pre-intervention, teachers received a one-to-one PAL training session from the local School Games Organiser (SGO), a qualified teacher who organises inter-school sports participation and competition for all and provides teacher training workshops. The intervention was commissioned by the local authority and was practitioner designed and there was an absence of a theoretical underpinnings. The training consisted of providing teachers with practical strategies to integrate movement within their lessons both within and outside of the classroom environment. PAL lesson ideas were shared amongst participants and further support was provided to assist with lesson plan modification to facilitate teachers’ incorporation of activities. One example of a lesson strategy involved reinforcing spelling through active spelling relays in the playground. In addition, the SGO modelled a PAL lesson with the teacher’s class in the school hall, combining traditional PE activities with subject specific learning outcomes and involving the students in an active story.</w:t>
      </w:r>
      <w:r w:rsidR="006B4E47" w:rsidRPr="00B64061">
        <w:rPr>
          <w:rFonts w:ascii="Calibri" w:hAnsi="Calibri" w:cs="Calibri"/>
          <w:sz w:val="22"/>
          <w:szCs w:val="22"/>
        </w:rPr>
        <w:t xml:space="preserve"> </w:t>
      </w:r>
    </w:p>
    <w:p w14:paraId="3224F986" w14:textId="77777777" w:rsidR="00B64061" w:rsidRPr="00B64061" w:rsidRDefault="00FF3ECA" w:rsidP="00B64061">
      <w:pPr>
        <w:pStyle w:val="NormalWeb"/>
        <w:spacing w:before="0" w:beforeAutospacing="0" w:after="240" w:afterAutospacing="0" w:line="480" w:lineRule="auto"/>
        <w:ind w:firstLine="720"/>
        <w:jc w:val="both"/>
      </w:pPr>
      <w:r w:rsidRPr="00B64061">
        <w:rPr>
          <w:rFonts w:ascii="Calibri" w:hAnsi="Calibri" w:cs="Calibri"/>
          <w:sz w:val="22"/>
          <w:szCs w:val="22"/>
        </w:rPr>
        <w:t xml:space="preserve">During the intervention period, participants wore pedometers (SW200 Digiwalker). These were used to support the delivery of PAL lessons through (a) each school identified a target destination based on a number of steps they had to achieve over the six-week period (e.g., walk to the Olympic stadium) and (b) incorporation of the outcome data into classroom activity (e.g., to develop bar charts of the number of steps undertaken). Goal setting with the pedometers was also implemented with the aim to increase step counts during the six-week step challenge. In the first week, children’s baseline step account was assessed using the pedometers, with an expectation this target would be increased each week through school-based PA. Tracking sheets were provided to monitor pupils step </w:t>
      </w:r>
      <w:r w:rsidRPr="00B64061">
        <w:rPr>
          <w:rFonts w:ascii="Calibri" w:hAnsi="Calibri" w:cs="Calibri"/>
          <w:sz w:val="22"/>
          <w:szCs w:val="22"/>
        </w:rPr>
        <w:lastRenderedPageBreak/>
        <w:t>count progress. Control schools were instructed to maintain their current provision.</w:t>
      </w:r>
      <w:r w:rsidR="00B64061" w:rsidRPr="00B64061">
        <w:rPr>
          <w:rFonts w:ascii="Calibri" w:hAnsi="Calibri" w:cs="Calibri"/>
          <w:sz w:val="22"/>
          <w:szCs w:val="22"/>
        </w:rPr>
        <w:t xml:space="preserve"> </w:t>
      </w:r>
      <w:r w:rsidR="00B64061" w:rsidRPr="00B64061">
        <w:rPr>
          <w:rFonts w:asciiTheme="majorHAnsi" w:hAnsiTheme="majorHAnsi" w:cs="Calibri Light"/>
          <w:sz w:val="22"/>
        </w:rPr>
        <w:t>There were no perceived adverse events from the intervention.</w:t>
      </w:r>
    </w:p>
    <w:p w14:paraId="7E17A35D" w14:textId="77777777" w:rsidR="00FF3ECA" w:rsidRPr="00B64061" w:rsidRDefault="00FF3ECA" w:rsidP="00FF3ECA">
      <w:pPr>
        <w:pStyle w:val="Heading4"/>
        <w:spacing w:before="240" w:after="40" w:line="480" w:lineRule="auto"/>
      </w:pPr>
      <w:r w:rsidRPr="00B64061">
        <w:t>Outcome Measures</w:t>
      </w:r>
    </w:p>
    <w:p w14:paraId="6BE317D9" w14:textId="77777777" w:rsidR="00FF3ECA" w:rsidRPr="00B64061" w:rsidRDefault="00FF3ECA" w:rsidP="00FF3ECA">
      <w:pPr>
        <w:pStyle w:val="Heading4"/>
        <w:spacing w:before="240" w:after="40" w:line="480" w:lineRule="auto"/>
      </w:pPr>
      <w:r w:rsidRPr="00B64061">
        <w:t>Physical Activity Levels</w:t>
      </w:r>
    </w:p>
    <w:p w14:paraId="0216E3C9" w14:textId="64730D02"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 xml:space="preserve">The impact of the intervention on </w:t>
      </w:r>
      <w:r w:rsidR="00B64061" w:rsidRPr="00B64061">
        <w:rPr>
          <w:rFonts w:ascii="Calibri" w:hAnsi="Calibri" w:cs="Calibri"/>
          <w:sz w:val="22"/>
          <w:szCs w:val="22"/>
        </w:rPr>
        <w:t>PA</w:t>
      </w:r>
      <w:r w:rsidRPr="00B64061">
        <w:rPr>
          <w:rFonts w:ascii="Calibri" w:hAnsi="Calibri" w:cs="Calibri"/>
          <w:sz w:val="22"/>
          <w:szCs w:val="22"/>
        </w:rPr>
        <w:t xml:space="preserve"> was assessed by GT1M uniaxial accelerometers (ActiGraph, Pensacola, FL, USA). Control and intervention participants wore the monitors for eight days’ pre-intervention and for the final eight days of the intervention (final intervention week). The accelerometers were worn on the right hip; every day, all day except for sleeping and water-based activities. Monitors recorded from the second day to allow for reactivity on day one, resulting in seven days’ data collection. Counts were recorded in 15-second epochs (31).</w:t>
      </w:r>
    </w:p>
    <w:p w14:paraId="432D448D" w14:textId="04201820"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Accelerometer data were downloaded using ActiLife 6, and analysed in KineSoft (v3.3.75, Loughborough, UK).  A period of non-wear time used the criterion of greater ≥20-minutes of consecutive zero counts. A minimum of 480 minutes/day identified a valid day. Spuriou</w:t>
      </w:r>
      <w:r w:rsidR="00B64061" w:rsidRPr="00B64061">
        <w:rPr>
          <w:rFonts w:ascii="Calibri" w:hAnsi="Calibri" w:cs="Calibri"/>
          <w:sz w:val="22"/>
          <w:szCs w:val="22"/>
        </w:rPr>
        <w:t>s values were identified as ≥30,</w:t>
      </w:r>
      <w:r w:rsidRPr="00B64061">
        <w:rPr>
          <w:rFonts w:ascii="Calibri" w:hAnsi="Calibri" w:cs="Calibri"/>
          <w:sz w:val="22"/>
          <w:szCs w:val="22"/>
        </w:rPr>
        <w:t>000 counts and omitted from the final data analysis. A valid profile required a minimum of three-school days (5,30). Evenson’s cut-points were used, determining time spent in sedentary (0-25 counts 15</w:t>
      </w:r>
      <w:r w:rsidR="00B64061" w:rsidRPr="00B64061">
        <w:rPr>
          <w:rFonts w:ascii="Calibri" w:hAnsi="Calibri" w:cs="Calibri"/>
          <w:sz w:val="22"/>
          <w:szCs w:val="22"/>
          <w:vertAlign w:val="superscript"/>
        </w:rPr>
        <w:t>-1</w:t>
      </w:r>
      <w:r w:rsidRPr="00B64061">
        <w:rPr>
          <w:rFonts w:ascii="Calibri" w:hAnsi="Calibri" w:cs="Calibri"/>
          <w:sz w:val="22"/>
          <w:szCs w:val="22"/>
        </w:rPr>
        <w:t>), light (26-573 counts 15</w:t>
      </w:r>
      <w:r w:rsidR="00B64061" w:rsidRPr="00B64061">
        <w:rPr>
          <w:rFonts w:ascii="Calibri" w:hAnsi="Calibri" w:cs="Calibri"/>
          <w:sz w:val="22"/>
          <w:szCs w:val="22"/>
          <w:vertAlign w:val="superscript"/>
        </w:rPr>
        <w:t>-1</w:t>
      </w:r>
      <w:r w:rsidRPr="00B64061">
        <w:rPr>
          <w:rFonts w:ascii="Calibri" w:hAnsi="Calibri" w:cs="Calibri"/>
          <w:sz w:val="22"/>
          <w:szCs w:val="22"/>
        </w:rPr>
        <w:t>), moderate (574-1002 counts 15</w:t>
      </w:r>
      <w:r w:rsidR="00B64061" w:rsidRPr="00B64061">
        <w:rPr>
          <w:rFonts w:ascii="Calibri" w:hAnsi="Calibri" w:cs="Calibri"/>
          <w:sz w:val="22"/>
          <w:szCs w:val="22"/>
          <w:vertAlign w:val="superscript"/>
        </w:rPr>
        <w:t>-1</w:t>
      </w:r>
      <w:r w:rsidRPr="00B64061">
        <w:rPr>
          <w:rFonts w:ascii="Calibri" w:hAnsi="Calibri" w:cs="Calibri"/>
          <w:sz w:val="22"/>
          <w:szCs w:val="22"/>
        </w:rPr>
        <w:t>) and vigorous activity (≥ 1003 counts 15</w:t>
      </w:r>
      <w:r w:rsidR="00B64061" w:rsidRPr="00B64061">
        <w:rPr>
          <w:rFonts w:ascii="Calibri" w:hAnsi="Calibri" w:cs="Calibri"/>
          <w:sz w:val="22"/>
          <w:szCs w:val="22"/>
          <w:vertAlign w:val="superscript"/>
        </w:rPr>
        <w:t>-1</w:t>
      </w:r>
      <w:r w:rsidRPr="00B64061">
        <w:rPr>
          <w:rFonts w:ascii="Calibri" w:hAnsi="Calibri" w:cs="Calibri"/>
          <w:sz w:val="22"/>
          <w:szCs w:val="22"/>
        </w:rPr>
        <w:t>) (17). Individual accelerometer profiles were independently screened to validate wear time and remove incomplete data.</w:t>
      </w:r>
    </w:p>
    <w:p w14:paraId="3AABA759" w14:textId="77777777" w:rsidR="00FF3ECA" w:rsidRPr="00B64061" w:rsidRDefault="00FF3ECA" w:rsidP="00FF3ECA">
      <w:pPr>
        <w:pStyle w:val="Heading4"/>
        <w:spacing w:before="240" w:after="40" w:line="480" w:lineRule="auto"/>
      </w:pPr>
      <w:r w:rsidRPr="00B64061">
        <w:t>Anthropometrics and Biological Maturation</w:t>
      </w:r>
    </w:p>
    <w:p w14:paraId="663FCECE" w14:textId="782267A8"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 xml:space="preserve">On the day when accelerometers were fitted – the week before the intervention started - participants height and weight were also collected, using Seca 217 Stadiometer (Seca, Germany) and Seca 875 Digital Weighing Scales (Seca, Germany). Participants wore their school uniform but removed </w:t>
      </w:r>
      <w:r w:rsidR="00B64061" w:rsidRPr="00B64061">
        <w:rPr>
          <w:rFonts w:ascii="Calibri" w:hAnsi="Calibri" w:cs="Calibri"/>
          <w:sz w:val="22"/>
          <w:szCs w:val="22"/>
        </w:rPr>
        <w:t>jumpers and shoes. BMI and BMI SDS</w:t>
      </w:r>
      <w:r w:rsidRPr="00B64061">
        <w:rPr>
          <w:rFonts w:ascii="Calibri" w:hAnsi="Calibri" w:cs="Calibri"/>
          <w:sz w:val="22"/>
          <w:szCs w:val="22"/>
        </w:rPr>
        <w:t xml:space="preserve"> (standard deviation scores) were calculated and classified against British 1990 growth reference (UK90) distribution (9). Biological maturation was calculated </w:t>
      </w:r>
      <w:r w:rsidRPr="00B64061">
        <w:rPr>
          <w:rFonts w:ascii="Calibri" w:hAnsi="Calibri" w:cs="Calibri"/>
          <w:sz w:val="22"/>
          <w:szCs w:val="22"/>
        </w:rPr>
        <w:lastRenderedPageBreak/>
        <w:t>using gender specific equations to predict children’s age from on peak height velocity (32). This method has been commonly used with children in similar studies (42).</w:t>
      </w:r>
    </w:p>
    <w:p w14:paraId="38EDADFF" w14:textId="77777777" w:rsidR="00FF3ECA" w:rsidRPr="00B64061" w:rsidRDefault="00FF3ECA" w:rsidP="00FF3ECA">
      <w:pPr>
        <w:pStyle w:val="Heading4"/>
        <w:spacing w:before="240" w:after="40" w:line="480" w:lineRule="auto"/>
      </w:pPr>
      <w:r w:rsidRPr="00B64061">
        <w:t>Statistical Analysis</w:t>
      </w:r>
    </w:p>
    <w:p w14:paraId="1138DE77" w14:textId="266D6FF4"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 xml:space="preserve">Average daily minutes spent sedentary, light PA (LPA) and MVPA were converted into percentages based on the average total day. Change in </w:t>
      </w:r>
      <w:r w:rsidR="00B64061" w:rsidRPr="00B64061">
        <w:rPr>
          <w:rFonts w:ascii="Calibri" w:hAnsi="Calibri" w:cs="Calibri"/>
          <w:sz w:val="22"/>
          <w:szCs w:val="22"/>
        </w:rPr>
        <w:t>percentage from pre to final</w:t>
      </w:r>
      <w:r w:rsidRPr="00B64061">
        <w:rPr>
          <w:rFonts w:ascii="Calibri" w:hAnsi="Calibri" w:cs="Calibri"/>
          <w:sz w:val="22"/>
          <w:szCs w:val="22"/>
        </w:rPr>
        <w:t xml:space="preserve"> intervention</w:t>
      </w:r>
      <w:r w:rsidR="00B64061" w:rsidRPr="00B64061">
        <w:rPr>
          <w:rFonts w:ascii="Calibri" w:hAnsi="Calibri" w:cs="Calibri"/>
          <w:sz w:val="22"/>
          <w:szCs w:val="22"/>
        </w:rPr>
        <w:t xml:space="preserve"> week</w:t>
      </w:r>
      <w:r w:rsidRPr="00B64061">
        <w:rPr>
          <w:rFonts w:ascii="Calibri" w:hAnsi="Calibri" w:cs="Calibri"/>
          <w:sz w:val="22"/>
          <w:szCs w:val="22"/>
        </w:rPr>
        <w:t>, and percentage of participants meeting the MVPA guidelines (60 minutes/day) were also calc</w:t>
      </w:r>
      <w:r w:rsidR="00B64061" w:rsidRPr="00B64061">
        <w:rPr>
          <w:rFonts w:ascii="Calibri" w:hAnsi="Calibri" w:cs="Calibri"/>
          <w:sz w:val="22"/>
          <w:szCs w:val="22"/>
        </w:rPr>
        <w:t>ulated to explore pre to final</w:t>
      </w:r>
      <w:r w:rsidRPr="00B64061">
        <w:rPr>
          <w:rFonts w:ascii="Calibri" w:hAnsi="Calibri" w:cs="Calibri"/>
          <w:sz w:val="22"/>
          <w:szCs w:val="22"/>
        </w:rPr>
        <w:t xml:space="preserve"> intervention</w:t>
      </w:r>
      <w:r w:rsidR="00B64061" w:rsidRPr="00B64061">
        <w:rPr>
          <w:rFonts w:ascii="Calibri" w:hAnsi="Calibri" w:cs="Calibri"/>
          <w:sz w:val="22"/>
          <w:szCs w:val="22"/>
        </w:rPr>
        <w:t xml:space="preserve"> week</w:t>
      </w:r>
      <w:r w:rsidRPr="00B64061">
        <w:rPr>
          <w:rFonts w:ascii="Calibri" w:hAnsi="Calibri" w:cs="Calibri"/>
          <w:sz w:val="22"/>
          <w:szCs w:val="22"/>
        </w:rPr>
        <w:t xml:space="preserve"> differences in the intervention versus control. Analysis of Covariance tests (ANCOVA) using SPSS (Version 24) identified any significant intervention effects on sedentary time, LPA and MVPA. Covariates entered in the model were maturity offset, BMI SDS, gender and the appropriate pre activity category.</w:t>
      </w:r>
    </w:p>
    <w:p w14:paraId="4DBB3201" w14:textId="41273A26"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Two subgroups were created usi</w:t>
      </w:r>
      <w:r w:rsidR="00CC3333" w:rsidRPr="00B64061">
        <w:rPr>
          <w:rFonts w:ascii="Calibri" w:hAnsi="Calibri" w:cs="Calibri"/>
          <w:sz w:val="22"/>
          <w:szCs w:val="22"/>
        </w:rPr>
        <w:t>ng initial accelerometery data</w:t>
      </w:r>
      <w:r w:rsidRPr="00B64061">
        <w:rPr>
          <w:rFonts w:ascii="Calibri" w:hAnsi="Calibri" w:cs="Calibri"/>
          <w:sz w:val="22"/>
          <w:szCs w:val="22"/>
        </w:rPr>
        <w:t xml:space="preserve"> </w:t>
      </w:r>
      <w:r w:rsidR="00CC3333" w:rsidRPr="00B64061">
        <w:rPr>
          <w:rFonts w:ascii="Calibri" w:hAnsi="Calibri" w:cs="Calibri"/>
          <w:sz w:val="22"/>
          <w:szCs w:val="22"/>
        </w:rPr>
        <w:t>on</w:t>
      </w:r>
      <w:r w:rsidRPr="00B64061">
        <w:rPr>
          <w:rFonts w:ascii="Calibri" w:hAnsi="Calibri" w:cs="Calibri"/>
          <w:sz w:val="22"/>
          <w:szCs w:val="22"/>
        </w:rPr>
        <w:t xml:space="preserve"> MVPA levels; (i) Low Active</w:t>
      </w:r>
      <w:r w:rsidRPr="00B64061">
        <w:rPr>
          <w:rFonts w:ascii="Calibri" w:hAnsi="Calibri" w:cs="Calibri"/>
          <w:sz w:val="16"/>
          <w:szCs w:val="16"/>
        </w:rPr>
        <w:t xml:space="preserve"> </w:t>
      </w:r>
      <w:r w:rsidRPr="00B64061">
        <w:rPr>
          <w:rFonts w:ascii="Calibri" w:hAnsi="Calibri" w:cs="Calibri"/>
          <w:sz w:val="22"/>
          <w:szCs w:val="22"/>
        </w:rPr>
        <w:t xml:space="preserve">(e.g. achieved less </w:t>
      </w:r>
      <w:r w:rsidR="00D6673E" w:rsidRPr="00B64061">
        <w:rPr>
          <w:rFonts w:ascii="Calibri" w:hAnsi="Calibri" w:cs="Calibri"/>
          <w:sz w:val="22"/>
          <w:szCs w:val="22"/>
        </w:rPr>
        <w:t>than</w:t>
      </w:r>
      <w:r w:rsidRPr="00B64061">
        <w:rPr>
          <w:rFonts w:ascii="Calibri" w:hAnsi="Calibri" w:cs="Calibri"/>
          <w:sz w:val="22"/>
          <w:szCs w:val="22"/>
        </w:rPr>
        <w:t xml:space="preserve"> 45 minutes/day MVPA), and (ii) High Active (e.g. achieved more than 45 minutes/day of MVPA</w:t>
      </w:r>
      <w:r w:rsidR="00CC3333" w:rsidRPr="00B64061">
        <w:rPr>
          <w:rFonts w:ascii="Calibri" w:hAnsi="Calibri" w:cs="Calibri"/>
          <w:sz w:val="22"/>
          <w:szCs w:val="22"/>
        </w:rPr>
        <w:t>,</w:t>
      </w:r>
      <w:r w:rsidRPr="00B64061">
        <w:rPr>
          <w:rFonts w:ascii="Calibri" w:hAnsi="Calibri" w:cs="Calibri"/>
          <w:sz w:val="22"/>
          <w:szCs w:val="22"/>
        </w:rPr>
        <w:t xml:space="preserve"> including children achieving 60 minutes/day fulfilling the PA guidelines). ANCOVA tests were conducted to identify main interactions with the addition of the subgroups on sedentary time, LPA and MVPA and using the same covariates previously described. Post hoc analysis was conducted using a Bonferroni correction to look at the dif</w:t>
      </w:r>
      <w:r w:rsidR="00CC3333" w:rsidRPr="00B64061">
        <w:rPr>
          <w:rFonts w:ascii="Calibri" w:hAnsi="Calibri" w:cs="Calibri"/>
          <w:sz w:val="22"/>
          <w:szCs w:val="22"/>
        </w:rPr>
        <w:t xml:space="preserve">ferences between </w:t>
      </w:r>
      <w:r w:rsidRPr="00B64061">
        <w:rPr>
          <w:rFonts w:ascii="Calibri" w:hAnsi="Calibri" w:cs="Calibri"/>
          <w:sz w:val="22"/>
          <w:szCs w:val="22"/>
        </w:rPr>
        <w:t>subgroups for sedentary time</w:t>
      </w:r>
      <w:r w:rsidR="00B64061" w:rsidRPr="00B64061">
        <w:rPr>
          <w:rFonts w:ascii="Calibri" w:hAnsi="Calibri" w:cs="Calibri"/>
          <w:sz w:val="22"/>
          <w:szCs w:val="22"/>
        </w:rPr>
        <w:t>, LPA and MVPA</w:t>
      </w:r>
      <w:r w:rsidRPr="00B64061">
        <w:rPr>
          <w:rFonts w:ascii="Calibri" w:hAnsi="Calibri" w:cs="Calibri"/>
          <w:sz w:val="22"/>
          <w:szCs w:val="22"/>
        </w:rPr>
        <w:t>.</w:t>
      </w:r>
    </w:p>
    <w:p w14:paraId="217A21BD" w14:textId="211AD75A"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 xml:space="preserve">To determine statistical significance, </w:t>
      </w:r>
      <w:r w:rsidRPr="00B64061">
        <w:rPr>
          <w:rFonts w:ascii="Calibri" w:hAnsi="Calibri" w:cs="Calibri"/>
          <w:sz w:val="22"/>
          <w:szCs w:val="22"/>
          <w:shd w:val="clear" w:color="auto" w:fill="FFFFFF"/>
        </w:rPr>
        <w:t xml:space="preserve">α </w:t>
      </w:r>
      <w:r w:rsidRPr="00B64061">
        <w:rPr>
          <w:rFonts w:ascii="Calibri" w:hAnsi="Calibri" w:cs="Calibri"/>
          <w:sz w:val="22"/>
          <w:szCs w:val="22"/>
        </w:rPr>
        <w:t xml:space="preserve">was set at p&lt;0.05. This study did not include an a priori power calculation due to the nature of the recruitment process. As a result, the sample size was determined using a non-probability purposive sample. Nevertheless, a post hoc power calculation indicated that the study achieved 8% power. To achieve 80% power, a sample size of 128 participants would have been required (1-beta probability =0.80, alpha error probability =0.05, effect size </w:t>
      </w:r>
      <w:r w:rsidRPr="00B64061">
        <w:rPr>
          <w:rFonts w:ascii="Calibri" w:hAnsi="Calibri" w:cs="Calibri"/>
          <w:i/>
          <w:iCs/>
          <w:sz w:val="22"/>
          <w:szCs w:val="22"/>
        </w:rPr>
        <w:t>f</w:t>
      </w:r>
      <w:r w:rsidRPr="00B64061">
        <w:rPr>
          <w:rFonts w:ascii="Calibri" w:hAnsi="Calibri" w:cs="Calibri"/>
          <w:sz w:val="22"/>
          <w:szCs w:val="22"/>
        </w:rPr>
        <w:t>=0.25, number of groups =4, number of covariates =4).</w:t>
      </w:r>
    </w:p>
    <w:p w14:paraId="656D0D2D" w14:textId="77777777" w:rsidR="00FF3ECA" w:rsidRPr="00B64061" w:rsidRDefault="00FF3ECA" w:rsidP="00FF3ECA">
      <w:pPr>
        <w:pStyle w:val="Heading3"/>
        <w:spacing w:before="280" w:line="480" w:lineRule="auto"/>
      </w:pPr>
      <w:r w:rsidRPr="00B64061">
        <w:rPr>
          <w:sz w:val="24"/>
          <w:szCs w:val="24"/>
        </w:rPr>
        <w:t>Results</w:t>
      </w:r>
    </w:p>
    <w:p w14:paraId="239F560F" w14:textId="0D021B51"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lastRenderedPageBreak/>
        <w:t>Eighty-three participants met the inclusion criteria (intervention: n=52, females=61.5%, age=9.92±0.34yrs, control: n=31, females=56.3%, age=9.95±0.26yrs); 69 were removed for providing &lt;3 days of valid data at both time points (</w:t>
      </w:r>
      <w:r w:rsidRPr="00B64061">
        <w:rPr>
          <w:rFonts w:ascii="Calibri" w:hAnsi="Calibri" w:cs="Calibri"/>
          <w:i/>
          <w:iCs/>
          <w:sz w:val="22"/>
          <w:szCs w:val="22"/>
        </w:rPr>
        <w:t>n</w:t>
      </w:r>
      <w:r w:rsidRPr="00B64061">
        <w:rPr>
          <w:rFonts w:ascii="Calibri" w:hAnsi="Calibri" w:cs="Calibri"/>
          <w:sz w:val="22"/>
          <w:szCs w:val="22"/>
        </w:rPr>
        <w:t xml:space="preserve">Intervention=29, </w:t>
      </w:r>
      <w:r w:rsidRPr="00B64061">
        <w:rPr>
          <w:rFonts w:ascii="Calibri" w:hAnsi="Calibri" w:cs="Calibri"/>
          <w:i/>
          <w:iCs/>
          <w:sz w:val="22"/>
          <w:szCs w:val="22"/>
        </w:rPr>
        <w:t>n</w:t>
      </w:r>
      <w:r w:rsidRPr="00B64061">
        <w:rPr>
          <w:rFonts w:ascii="Calibri" w:hAnsi="Calibri" w:cs="Calibri"/>
          <w:sz w:val="22"/>
          <w:szCs w:val="22"/>
        </w:rPr>
        <w:t xml:space="preserve">Control=40), and </w:t>
      </w:r>
      <w:r w:rsidR="007160ED" w:rsidRPr="00B64061">
        <w:rPr>
          <w:rFonts w:ascii="Calibri" w:hAnsi="Calibri" w:cs="Calibri"/>
          <w:sz w:val="22"/>
          <w:szCs w:val="22"/>
        </w:rPr>
        <w:t>2</w:t>
      </w:r>
      <w:r w:rsidRPr="00B64061">
        <w:rPr>
          <w:rFonts w:ascii="Calibri" w:hAnsi="Calibri" w:cs="Calibri"/>
          <w:sz w:val="22"/>
          <w:szCs w:val="22"/>
        </w:rPr>
        <w:t xml:space="preserve"> were removed due to missing data (</w:t>
      </w:r>
      <w:r w:rsidRPr="00B64061">
        <w:rPr>
          <w:rFonts w:ascii="Calibri" w:hAnsi="Calibri" w:cs="Calibri"/>
          <w:i/>
          <w:sz w:val="22"/>
          <w:szCs w:val="22"/>
        </w:rPr>
        <w:t>n</w:t>
      </w:r>
      <w:r w:rsidRPr="00B64061">
        <w:rPr>
          <w:rFonts w:ascii="Calibri" w:hAnsi="Calibri" w:cs="Calibri"/>
          <w:sz w:val="22"/>
          <w:szCs w:val="22"/>
        </w:rPr>
        <w:t>Intervention=</w:t>
      </w:r>
      <w:r w:rsidR="007160ED" w:rsidRPr="00B64061">
        <w:rPr>
          <w:rFonts w:ascii="Calibri" w:hAnsi="Calibri" w:cs="Calibri"/>
          <w:sz w:val="22"/>
          <w:szCs w:val="22"/>
        </w:rPr>
        <w:t>1</w:t>
      </w:r>
      <w:r w:rsidRPr="00B64061">
        <w:rPr>
          <w:rFonts w:ascii="Calibri" w:hAnsi="Calibri" w:cs="Calibri"/>
          <w:sz w:val="22"/>
          <w:szCs w:val="22"/>
        </w:rPr>
        <w:t xml:space="preserve">, </w:t>
      </w:r>
      <w:r w:rsidRPr="00B64061">
        <w:rPr>
          <w:rFonts w:ascii="Calibri" w:hAnsi="Calibri" w:cs="Calibri"/>
          <w:i/>
          <w:iCs/>
          <w:sz w:val="22"/>
          <w:szCs w:val="22"/>
        </w:rPr>
        <w:t>n</w:t>
      </w:r>
      <w:r w:rsidRPr="00B64061">
        <w:rPr>
          <w:rFonts w:ascii="Calibri" w:hAnsi="Calibri" w:cs="Calibri"/>
          <w:sz w:val="22"/>
          <w:szCs w:val="22"/>
        </w:rPr>
        <w:t>Control=</w:t>
      </w:r>
      <w:r w:rsidR="007160ED" w:rsidRPr="00B64061">
        <w:rPr>
          <w:rFonts w:ascii="Calibri" w:hAnsi="Calibri" w:cs="Calibri"/>
          <w:sz w:val="22"/>
          <w:szCs w:val="22"/>
        </w:rPr>
        <w:t>1</w:t>
      </w:r>
      <w:r w:rsidRPr="00B64061">
        <w:rPr>
          <w:rFonts w:ascii="Calibri" w:hAnsi="Calibri" w:cs="Calibri"/>
          <w:sz w:val="22"/>
          <w:szCs w:val="22"/>
        </w:rPr>
        <w:t xml:space="preserve">). Table 1 details characteristics for the intervention and control conditions, identifying no significant differences (p&gt;0.05). </w:t>
      </w:r>
    </w:p>
    <w:p w14:paraId="32B547B4" w14:textId="08A2CE72"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Main effects revealed intervention participants improved time spent in LPA (2.03±4.63% vs.            -0.04±4.32%) and found a trend towards significant improvements for sedentary time (-2.33±5.90% vs. -0.14±5.60%) versus control. A significant time by group interaction was observed for LPA (</w:t>
      </w:r>
      <w:r w:rsidRPr="00B64061">
        <w:rPr>
          <w:rFonts w:ascii="Calibri" w:hAnsi="Calibri" w:cs="Calibri"/>
          <w:i/>
          <w:iCs/>
          <w:sz w:val="22"/>
          <w:szCs w:val="22"/>
        </w:rPr>
        <w:t>p</w:t>
      </w:r>
      <w:r w:rsidRPr="00B64061">
        <w:rPr>
          <w:rFonts w:ascii="Calibri" w:hAnsi="Calibri" w:cs="Calibri"/>
          <w:sz w:val="22"/>
          <w:szCs w:val="22"/>
        </w:rPr>
        <w:t>=0.04, ɳ</w:t>
      </w:r>
      <w:r w:rsidRPr="00B64061">
        <w:rPr>
          <w:rFonts w:ascii="Calibri" w:hAnsi="Calibri" w:cs="Calibri"/>
          <w:sz w:val="22"/>
          <w:szCs w:val="22"/>
          <w:vertAlign w:val="superscript"/>
        </w:rPr>
        <w:t>2</w:t>
      </w:r>
      <w:r w:rsidRPr="00B64061">
        <w:rPr>
          <w:rFonts w:ascii="Calibri" w:hAnsi="Calibri" w:cs="Calibri"/>
          <w:sz w:val="22"/>
          <w:szCs w:val="22"/>
          <w:vertAlign w:val="subscript"/>
        </w:rPr>
        <w:t>p</w:t>
      </w:r>
      <w:r w:rsidRPr="00B64061">
        <w:rPr>
          <w:rFonts w:ascii="Calibri" w:hAnsi="Calibri" w:cs="Calibri"/>
          <w:sz w:val="22"/>
          <w:szCs w:val="22"/>
        </w:rPr>
        <w:t>=0.05, 95% CI: 0.12, 4.27). No significant time by group interaction effects were observed for MVPA (</w:t>
      </w:r>
      <w:r w:rsidRPr="00B64061">
        <w:rPr>
          <w:rFonts w:ascii="Calibri" w:hAnsi="Calibri" w:cs="Calibri"/>
          <w:i/>
          <w:iCs/>
          <w:sz w:val="22"/>
          <w:szCs w:val="22"/>
        </w:rPr>
        <w:t>p</w:t>
      </w:r>
      <w:r w:rsidRPr="00B64061">
        <w:rPr>
          <w:rFonts w:ascii="Calibri" w:hAnsi="Calibri" w:cs="Calibri"/>
          <w:sz w:val="22"/>
          <w:szCs w:val="22"/>
        </w:rPr>
        <w:t>=0.65, ɳ</w:t>
      </w:r>
      <w:r w:rsidRPr="00B64061">
        <w:rPr>
          <w:rFonts w:ascii="Calibri" w:hAnsi="Calibri" w:cs="Calibri"/>
          <w:sz w:val="22"/>
          <w:szCs w:val="22"/>
          <w:vertAlign w:val="superscript"/>
        </w:rPr>
        <w:t>2</w:t>
      </w:r>
      <w:r w:rsidRPr="00B64061">
        <w:rPr>
          <w:rFonts w:ascii="Calibri" w:hAnsi="Calibri" w:cs="Calibri"/>
          <w:sz w:val="22"/>
          <w:szCs w:val="22"/>
          <w:vertAlign w:val="subscript"/>
        </w:rPr>
        <w:t>p</w:t>
      </w:r>
      <w:r w:rsidRPr="00B64061">
        <w:rPr>
          <w:rFonts w:ascii="Calibri" w:hAnsi="Calibri" w:cs="Calibri"/>
          <w:sz w:val="22"/>
          <w:szCs w:val="22"/>
        </w:rPr>
        <w:t>=0.05) or sedentary time (</w:t>
      </w:r>
      <w:r w:rsidRPr="00B64061">
        <w:rPr>
          <w:rFonts w:ascii="Calibri" w:hAnsi="Calibri" w:cs="Calibri"/>
          <w:i/>
          <w:iCs/>
          <w:sz w:val="22"/>
          <w:szCs w:val="22"/>
        </w:rPr>
        <w:t>p</w:t>
      </w:r>
      <w:r w:rsidRPr="00B64061">
        <w:rPr>
          <w:rFonts w:ascii="Calibri" w:hAnsi="Calibri" w:cs="Calibri"/>
          <w:sz w:val="22"/>
          <w:szCs w:val="22"/>
        </w:rPr>
        <w:t>=0.06, ɳ</w:t>
      </w:r>
      <w:r w:rsidRPr="00B64061">
        <w:rPr>
          <w:rFonts w:ascii="Calibri" w:hAnsi="Calibri" w:cs="Calibri"/>
          <w:sz w:val="22"/>
          <w:szCs w:val="22"/>
          <w:vertAlign w:val="superscript"/>
        </w:rPr>
        <w:t>2</w:t>
      </w:r>
      <w:r w:rsidRPr="00B64061">
        <w:rPr>
          <w:rFonts w:ascii="Calibri" w:hAnsi="Calibri" w:cs="Calibri"/>
          <w:sz w:val="22"/>
          <w:szCs w:val="22"/>
          <w:vertAlign w:val="subscript"/>
        </w:rPr>
        <w:t>p</w:t>
      </w:r>
      <w:r w:rsidRPr="00B64061">
        <w:rPr>
          <w:rFonts w:ascii="Calibri" w:hAnsi="Calibri" w:cs="Calibri"/>
          <w:sz w:val="22"/>
          <w:szCs w:val="22"/>
        </w:rPr>
        <w:t>=0.04). A seven percent greater increase was observed in the proportion of intervention participants (17% to 27%) who met the daily MVPA guidelines compared to controls (16% to 19%).</w:t>
      </w:r>
    </w:p>
    <w:p w14:paraId="6F8C9E74" w14:textId="251614F3"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 xml:space="preserve">Subgroup analysis revealed no significant main interaction between subgroups and conditions </w:t>
      </w:r>
      <w:r w:rsidR="00B64061" w:rsidRPr="00B64061">
        <w:rPr>
          <w:rFonts w:ascii="Calibri" w:hAnsi="Calibri" w:cs="Calibri"/>
          <w:sz w:val="22"/>
          <w:szCs w:val="22"/>
        </w:rPr>
        <w:t xml:space="preserve">for </w:t>
      </w:r>
      <w:r w:rsidRPr="00B64061">
        <w:rPr>
          <w:rFonts w:ascii="Calibri" w:hAnsi="Calibri" w:cs="Calibri"/>
          <w:sz w:val="22"/>
          <w:szCs w:val="22"/>
        </w:rPr>
        <w:t>MVPA (</w:t>
      </w:r>
      <w:r w:rsidRPr="00B64061">
        <w:rPr>
          <w:rFonts w:ascii="Calibri" w:hAnsi="Calibri" w:cs="Calibri"/>
          <w:i/>
          <w:iCs/>
          <w:sz w:val="22"/>
          <w:szCs w:val="22"/>
        </w:rPr>
        <w:t>p</w:t>
      </w:r>
      <w:r w:rsidRPr="00B64061">
        <w:rPr>
          <w:rFonts w:ascii="Calibri" w:hAnsi="Calibri" w:cs="Calibri"/>
          <w:sz w:val="22"/>
          <w:szCs w:val="22"/>
        </w:rPr>
        <w:t>=0.899, ɳ</w:t>
      </w:r>
      <w:r w:rsidRPr="00B64061">
        <w:rPr>
          <w:rFonts w:ascii="Calibri" w:hAnsi="Calibri" w:cs="Calibri"/>
          <w:sz w:val="22"/>
          <w:szCs w:val="22"/>
          <w:vertAlign w:val="superscript"/>
        </w:rPr>
        <w:t>2</w:t>
      </w:r>
      <w:r w:rsidRPr="00B64061">
        <w:rPr>
          <w:rFonts w:ascii="Calibri" w:hAnsi="Calibri" w:cs="Calibri"/>
          <w:sz w:val="22"/>
          <w:szCs w:val="22"/>
          <w:vertAlign w:val="subscript"/>
        </w:rPr>
        <w:t>p</w:t>
      </w:r>
      <w:r w:rsidRPr="00B64061">
        <w:rPr>
          <w:rFonts w:ascii="Calibri" w:hAnsi="Calibri" w:cs="Calibri"/>
          <w:sz w:val="22"/>
          <w:szCs w:val="22"/>
        </w:rPr>
        <w:t>=0.003)</w:t>
      </w:r>
      <w:r w:rsidR="00B64061" w:rsidRPr="00B64061">
        <w:rPr>
          <w:rFonts w:ascii="Calibri" w:hAnsi="Calibri" w:cs="Calibri"/>
          <w:sz w:val="22"/>
          <w:szCs w:val="22"/>
        </w:rPr>
        <w:t>,</w:t>
      </w:r>
      <w:r w:rsidRPr="00B64061">
        <w:rPr>
          <w:rFonts w:ascii="Calibri" w:hAnsi="Calibri" w:cs="Calibri"/>
          <w:sz w:val="22"/>
          <w:szCs w:val="22"/>
        </w:rPr>
        <w:t xml:space="preserve"> LPA (</w:t>
      </w:r>
      <w:r w:rsidRPr="00B64061">
        <w:rPr>
          <w:rFonts w:ascii="Calibri" w:hAnsi="Calibri" w:cs="Calibri"/>
          <w:i/>
          <w:iCs/>
          <w:sz w:val="22"/>
          <w:szCs w:val="22"/>
        </w:rPr>
        <w:t>p</w:t>
      </w:r>
      <w:r w:rsidRPr="00B64061">
        <w:rPr>
          <w:rFonts w:ascii="Calibri" w:hAnsi="Calibri" w:cs="Calibri"/>
          <w:sz w:val="22"/>
          <w:szCs w:val="22"/>
        </w:rPr>
        <w:t>=0.644, ɳ</w:t>
      </w:r>
      <w:r w:rsidRPr="00B64061">
        <w:rPr>
          <w:rFonts w:ascii="Calibri" w:hAnsi="Calibri" w:cs="Calibri"/>
          <w:sz w:val="22"/>
          <w:szCs w:val="22"/>
          <w:vertAlign w:val="superscript"/>
        </w:rPr>
        <w:t>2</w:t>
      </w:r>
      <w:r w:rsidRPr="00B64061">
        <w:rPr>
          <w:rFonts w:ascii="Calibri" w:hAnsi="Calibri" w:cs="Calibri"/>
          <w:sz w:val="22"/>
          <w:szCs w:val="22"/>
          <w:vertAlign w:val="subscript"/>
        </w:rPr>
        <w:t>p</w:t>
      </w:r>
      <w:r w:rsidRPr="00B64061">
        <w:rPr>
          <w:rFonts w:ascii="Calibri" w:hAnsi="Calibri" w:cs="Calibri"/>
          <w:sz w:val="22"/>
          <w:szCs w:val="22"/>
        </w:rPr>
        <w:t>=0.000) or sedentary behaviour (</w:t>
      </w:r>
      <w:r w:rsidRPr="00B64061">
        <w:rPr>
          <w:rFonts w:ascii="Calibri" w:hAnsi="Calibri" w:cs="Calibri"/>
          <w:i/>
          <w:iCs/>
          <w:sz w:val="22"/>
          <w:szCs w:val="22"/>
        </w:rPr>
        <w:t>p</w:t>
      </w:r>
      <w:r w:rsidRPr="00B64061">
        <w:rPr>
          <w:rFonts w:ascii="Calibri" w:hAnsi="Calibri" w:cs="Calibri"/>
          <w:sz w:val="22"/>
          <w:szCs w:val="22"/>
        </w:rPr>
        <w:t>=0.568, ɳ</w:t>
      </w:r>
      <w:r w:rsidRPr="00B64061">
        <w:rPr>
          <w:rFonts w:ascii="Calibri" w:hAnsi="Calibri" w:cs="Calibri"/>
          <w:sz w:val="13"/>
          <w:szCs w:val="13"/>
          <w:vertAlign w:val="superscript"/>
        </w:rPr>
        <w:t>2</w:t>
      </w:r>
      <w:r w:rsidRPr="00B64061">
        <w:rPr>
          <w:rFonts w:ascii="Calibri" w:hAnsi="Calibri" w:cs="Calibri"/>
          <w:sz w:val="13"/>
          <w:szCs w:val="13"/>
          <w:vertAlign w:val="subscript"/>
        </w:rPr>
        <w:t>p</w:t>
      </w:r>
      <w:r w:rsidRPr="00B64061">
        <w:rPr>
          <w:rFonts w:ascii="Calibri" w:hAnsi="Calibri" w:cs="Calibri"/>
          <w:sz w:val="22"/>
          <w:szCs w:val="22"/>
        </w:rPr>
        <w:t xml:space="preserve">=0.004). On closer inspection, the Low Active intervention subgroup revealed a significant improvement in percentage of time spent in LPA (2.09 ± 5.05%, vs. 1.10±4.05, </w:t>
      </w:r>
      <w:r w:rsidRPr="00B64061">
        <w:rPr>
          <w:rFonts w:ascii="Calibri" w:hAnsi="Calibri" w:cs="Calibri"/>
          <w:i/>
          <w:iCs/>
          <w:sz w:val="22"/>
          <w:szCs w:val="22"/>
        </w:rPr>
        <w:t>p</w:t>
      </w:r>
      <w:r w:rsidRPr="00B64061">
        <w:rPr>
          <w:rFonts w:ascii="Calibri" w:hAnsi="Calibri" w:cs="Calibri"/>
          <w:sz w:val="22"/>
          <w:szCs w:val="22"/>
        </w:rPr>
        <w:t>=0.04, ɳ</w:t>
      </w:r>
      <w:r w:rsidRPr="00B64061">
        <w:rPr>
          <w:rFonts w:ascii="Calibri" w:hAnsi="Calibri" w:cs="Calibri"/>
          <w:sz w:val="22"/>
          <w:szCs w:val="22"/>
          <w:vertAlign w:val="superscript"/>
        </w:rPr>
        <w:t>2</w:t>
      </w:r>
      <w:r w:rsidRPr="00B64061">
        <w:rPr>
          <w:rFonts w:ascii="Calibri" w:hAnsi="Calibri" w:cs="Calibri"/>
          <w:sz w:val="22"/>
          <w:szCs w:val="22"/>
          <w:vertAlign w:val="subscript"/>
        </w:rPr>
        <w:t>p</w:t>
      </w:r>
      <w:r w:rsidRPr="00B64061">
        <w:rPr>
          <w:rFonts w:ascii="Calibri" w:hAnsi="Calibri" w:cs="Calibri"/>
          <w:sz w:val="22"/>
          <w:szCs w:val="22"/>
        </w:rPr>
        <w:t>=0.118) and</w:t>
      </w:r>
      <w:r w:rsidR="00B64061" w:rsidRPr="00B64061">
        <w:rPr>
          <w:rFonts w:ascii="Calibri" w:hAnsi="Calibri" w:cs="Calibri"/>
          <w:sz w:val="22"/>
          <w:szCs w:val="22"/>
        </w:rPr>
        <w:t xml:space="preserve"> the</w:t>
      </w:r>
      <w:r w:rsidRPr="00B64061">
        <w:rPr>
          <w:rFonts w:ascii="Calibri" w:hAnsi="Calibri" w:cs="Calibri"/>
          <w:sz w:val="22"/>
          <w:szCs w:val="22"/>
        </w:rPr>
        <w:t xml:space="preserve"> greatest non-significant improvement in time spent in MVPA (1.27±2.11% vs. 0.79±2.23, </w:t>
      </w:r>
      <w:r w:rsidRPr="00B64061">
        <w:rPr>
          <w:rFonts w:ascii="Calibri" w:hAnsi="Calibri" w:cs="Calibri"/>
          <w:i/>
          <w:iCs/>
          <w:sz w:val="22"/>
          <w:szCs w:val="22"/>
        </w:rPr>
        <w:t>p</w:t>
      </w:r>
      <w:r w:rsidRPr="00B64061">
        <w:rPr>
          <w:rFonts w:ascii="Calibri" w:hAnsi="Calibri" w:cs="Calibri"/>
          <w:sz w:val="22"/>
          <w:szCs w:val="22"/>
        </w:rPr>
        <w:t xml:space="preserve">=0.728) and sedentary time (-3.36±6.16%, vs. -1.89±4.96, </w:t>
      </w:r>
      <w:r w:rsidRPr="00B64061">
        <w:rPr>
          <w:rFonts w:ascii="Calibri" w:hAnsi="Calibri" w:cs="Calibri"/>
          <w:i/>
          <w:iCs/>
          <w:sz w:val="22"/>
          <w:szCs w:val="22"/>
        </w:rPr>
        <w:t>p</w:t>
      </w:r>
      <w:r w:rsidRPr="00B64061">
        <w:rPr>
          <w:rFonts w:ascii="Calibri" w:hAnsi="Calibri" w:cs="Calibri"/>
          <w:sz w:val="22"/>
          <w:szCs w:val="22"/>
        </w:rPr>
        <w:t xml:space="preserve">=0.08). The High Active intervention subgroup revealed the greatest significant increase in time spent in LPA versus control (1.96 ± 4.23%, vs. -0.95±4.31, </w:t>
      </w:r>
      <w:r w:rsidRPr="00B64061">
        <w:rPr>
          <w:rFonts w:ascii="Calibri" w:hAnsi="Calibri" w:cs="Calibri"/>
          <w:i/>
          <w:iCs/>
          <w:sz w:val="22"/>
          <w:szCs w:val="22"/>
        </w:rPr>
        <w:t>p</w:t>
      </w:r>
      <w:r w:rsidRPr="00B64061">
        <w:rPr>
          <w:rFonts w:ascii="Calibri" w:hAnsi="Calibri" w:cs="Calibri"/>
          <w:sz w:val="22"/>
          <w:szCs w:val="22"/>
        </w:rPr>
        <w:t>=0.052, ɳ</w:t>
      </w:r>
      <w:r w:rsidR="00CC3333" w:rsidRPr="00B64061">
        <w:rPr>
          <w:rFonts w:ascii="Calibri" w:hAnsi="Calibri" w:cs="Calibri"/>
          <w:sz w:val="22"/>
          <w:szCs w:val="22"/>
          <w:vertAlign w:val="superscript"/>
        </w:rPr>
        <w:t>2</w:t>
      </w:r>
      <w:r w:rsidR="00CC3333" w:rsidRPr="00B64061">
        <w:rPr>
          <w:rFonts w:ascii="Calibri" w:hAnsi="Calibri" w:cs="Calibri"/>
          <w:sz w:val="22"/>
          <w:szCs w:val="22"/>
          <w:vertAlign w:val="subscript"/>
        </w:rPr>
        <w:t>p</w:t>
      </w:r>
      <w:r w:rsidRPr="00B64061">
        <w:rPr>
          <w:rFonts w:ascii="Calibri" w:hAnsi="Calibri" w:cs="Calibri"/>
          <w:sz w:val="22"/>
          <w:szCs w:val="22"/>
        </w:rPr>
        <w:t>=0.099). Whilst improvements were in seen in the High Active intervention subgroup for sedentary time, this was not statistically significant versus control (</w:t>
      </w:r>
      <w:r w:rsidRPr="00B64061">
        <w:rPr>
          <w:rFonts w:ascii="Calibri" w:hAnsi="Calibri" w:cs="Calibri"/>
          <w:i/>
          <w:iCs/>
          <w:sz w:val="22"/>
          <w:szCs w:val="22"/>
        </w:rPr>
        <w:t>p</w:t>
      </w:r>
      <w:r w:rsidR="00B64061">
        <w:rPr>
          <w:rFonts w:ascii="Calibri" w:hAnsi="Calibri" w:cs="Calibri"/>
          <w:sz w:val="22"/>
          <w:szCs w:val="22"/>
        </w:rPr>
        <w:t>=</w:t>
      </w:r>
      <w:r w:rsidRPr="00B64061">
        <w:rPr>
          <w:rFonts w:ascii="Calibri" w:hAnsi="Calibri" w:cs="Calibri"/>
          <w:sz w:val="22"/>
          <w:szCs w:val="22"/>
        </w:rPr>
        <w:t>0.199). The High Active subgroup in both the intervention and the control conditions demonstrated a small non-significant decrease in MVPA levels (table 2 and figure 2).</w:t>
      </w:r>
    </w:p>
    <w:p w14:paraId="00A7AEB9" w14:textId="77777777"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rPr>
        <w:t xml:space="preserve"> When assessing the change in the proportion of participants meeting the PA guidelines of 60 minutes/day, stratified by the subgroups, an increase was identified in both the Low Active </w:t>
      </w:r>
      <w:r w:rsidRPr="00B64061">
        <w:rPr>
          <w:rFonts w:ascii="Calibri" w:hAnsi="Calibri" w:cs="Calibri"/>
          <w:sz w:val="22"/>
          <w:szCs w:val="22"/>
        </w:rPr>
        <w:lastRenderedPageBreak/>
        <w:t xml:space="preserve">intervention (+3 participants, 11%) and control subgroup (+2 participants, 15%). The High Active intervention subgroup revealed a greater increase in participants meeting the guidelines with an increase of 13% (+2 participants) versus a decrease of 6% (-1 participant) in the control. </w:t>
      </w:r>
    </w:p>
    <w:p w14:paraId="3BE695F2" w14:textId="77755FCE" w:rsidR="00FF3ECA" w:rsidRPr="00B64061" w:rsidRDefault="00FF3ECA" w:rsidP="00FF3ECA">
      <w:pPr>
        <w:pStyle w:val="Heading3"/>
        <w:spacing w:before="280" w:line="480" w:lineRule="auto"/>
        <w:ind w:firstLine="720"/>
        <w:jc w:val="center"/>
      </w:pPr>
      <w:r w:rsidRPr="00B64061">
        <w:rPr>
          <w:b w:val="0"/>
          <w:bCs/>
          <w:i/>
          <w:iCs/>
        </w:rPr>
        <w:t xml:space="preserve"> [ Insert figure 2 here ]</w:t>
      </w:r>
    </w:p>
    <w:p w14:paraId="18133B3C" w14:textId="77777777" w:rsidR="00FF3ECA" w:rsidRPr="00B64061" w:rsidRDefault="00FF3ECA" w:rsidP="00FF3ECA">
      <w:pPr>
        <w:pStyle w:val="Heading3"/>
        <w:spacing w:before="280" w:line="480" w:lineRule="auto"/>
      </w:pPr>
      <w:r w:rsidRPr="00B64061">
        <w:rPr>
          <w:sz w:val="24"/>
          <w:szCs w:val="24"/>
        </w:rPr>
        <w:t>Discussion</w:t>
      </w:r>
    </w:p>
    <w:p w14:paraId="34D43554" w14:textId="37EA860A"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 xml:space="preserve">This in-school pedometer-based PAL intervention identified statistically significant increases in LPA versus the control. The improved PA profiles indicate that LPA displaced sedentary time and MVPA in the intervention group. </w:t>
      </w:r>
      <w:r w:rsidRPr="00B64061">
        <w:rPr>
          <w:rFonts w:ascii="Calibri" w:hAnsi="Calibri" w:cs="Calibri"/>
          <w:sz w:val="22"/>
          <w:szCs w:val="22"/>
          <w:shd w:val="clear" w:color="auto" w:fill="FFFFFF"/>
        </w:rPr>
        <w:t>In line with previous school-based interventions (38)</w:t>
      </w:r>
      <w:r w:rsidRPr="00B64061">
        <w:rPr>
          <w:rFonts w:ascii="Calibri" w:hAnsi="Calibri" w:cs="Calibri"/>
          <w:sz w:val="22"/>
          <w:szCs w:val="22"/>
        </w:rPr>
        <w:t xml:space="preserve">, </w:t>
      </w:r>
      <w:r w:rsidRPr="00B64061">
        <w:rPr>
          <w:rFonts w:ascii="Calibri" w:hAnsi="Calibri" w:cs="Calibri"/>
          <w:sz w:val="22"/>
          <w:szCs w:val="22"/>
          <w:shd w:val="clear" w:color="auto" w:fill="FFFFFF"/>
        </w:rPr>
        <w:t xml:space="preserve">this intervention resulted in significant increases in LPA but not MVPA, and reductions in time spent being sedentary. </w:t>
      </w:r>
      <w:r w:rsidRPr="00B64061">
        <w:rPr>
          <w:rFonts w:ascii="Calibri" w:hAnsi="Calibri" w:cs="Calibri"/>
          <w:sz w:val="22"/>
          <w:szCs w:val="22"/>
        </w:rPr>
        <w:t xml:space="preserve">These findings are noteworthy as some international PA guidelines for children now include recommendations for LPA alongside MVPA (6). Recommendations for LPA have been supported by the epidemiological evidence indicating the potential benefits of increasing LPA, including associations with reduced systolic blood pressure (21), diastolic blood pressure and HDL-cholesterol levels (7). Indeed, all intensities of PA above sedentary activity have significant beneficial associations with such cardiometabolic biomarkers (21). This reinforces the beneficial effects of the current study for increasing LPA levels through </w:t>
      </w:r>
      <w:r w:rsidR="00B64061">
        <w:rPr>
          <w:rFonts w:ascii="Calibri" w:hAnsi="Calibri" w:cs="Calibri"/>
          <w:sz w:val="22"/>
          <w:szCs w:val="22"/>
        </w:rPr>
        <w:t xml:space="preserve">a </w:t>
      </w:r>
      <w:r w:rsidRPr="00B64061">
        <w:rPr>
          <w:rFonts w:ascii="Calibri" w:hAnsi="Calibri" w:cs="Calibri"/>
          <w:sz w:val="22"/>
          <w:szCs w:val="22"/>
        </w:rPr>
        <w:t>PAL</w:t>
      </w:r>
      <w:r w:rsidR="00B64061">
        <w:rPr>
          <w:rFonts w:ascii="Calibri" w:hAnsi="Calibri" w:cs="Calibri"/>
          <w:sz w:val="22"/>
          <w:szCs w:val="22"/>
        </w:rPr>
        <w:t xml:space="preserve"> intervention</w:t>
      </w:r>
      <w:r w:rsidRPr="00B64061">
        <w:rPr>
          <w:rFonts w:ascii="Calibri" w:hAnsi="Calibri" w:cs="Calibri"/>
          <w:sz w:val="22"/>
          <w:szCs w:val="22"/>
        </w:rPr>
        <w:t>.</w:t>
      </w:r>
    </w:p>
    <w:p w14:paraId="4C0EAAC3" w14:textId="7BD91379"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A further purpose of this study was to undertake a preliminary PA subgroup analysis, given few studies have explored similar subgroup analysis methods (36,40). Although we found statistically significant improvements in LPA at the group level, the standard universal approach masked behavioural differences between subgroups and incorrectly presumed all participants reacted in the same way to the intervention (26,29). Refined analysis revealed small, but varied responses to the intervention: first, the least active pupils benefitted most, an effect supported by previous literature (39).</w:t>
      </w:r>
      <w:r w:rsidRPr="00B64061">
        <w:rPr>
          <w:rFonts w:ascii="Calibri" w:hAnsi="Calibri" w:cs="Calibri"/>
          <w:sz w:val="16"/>
          <w:szCs w:val="16"/>
        </w:rPr>
        <w:t xml:space="preserve"> </w:t>
      </w:r>
      <w:r w:rsidRPr="00B64061">
        <w:rPr>
          <w:rFonts w:ascii="Calibri" w:hAnsi="Calibri" w:cs="Calibri"/>
          <w:sz w:val="22"/>
          <w:szCs w:val="22"/>
        </w:rPr>
        <w:t xml:space="preserve">Second, both intervention subgroups revealed a significant increase in time spent in LPA (p&lt;0.05), </w:t>
      </w:r>
      <w:r w:rsidRPr="00B64061">
        <w:rPr>
          <w:rFonts w:ascii="Calibri" w:hAnsi="Calibri" w:cs="Calibri"/>
          <w:sz w:val="22"/>
          <w:szCs w:val="22"/>
        </w:rPr>
        <w:lastRenderedPageBreak/>
        <w:t xml:space="preserve">however the High Active subgroup showed decreases in percentage of time spent in MVPA, suggesting the possibility of some form of ‘compensation’. </w:t>
      </w:r>
    </w:p>
    <w:p w14:paraId="69B9CD1C" w14:textId="0C4B816A"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This compensation may be due to the subtle decline in time spent in MVPA and sedentary behaviour that allowed an increase in LPA. This may suggest the beneficial effects of the intervention were not as unified for High Active as the beneficial effects for the Low Active subgroup. This stratified examination of the current data, using subgroup analysis, revealed varied response to the intervention in groups identified as different using baseline figures. Using conventional reporting of a single value of the intervention effect would overlook the distinctive responsiveness of these groups. While the current study provides an interesting insight, these findings do need to be treated with some caution. The small sample size may have produced an estimate for the benefits of PAL that are too imprecise to be useful for planning and intervention.</w:t>
      </w:r>
    </w:p>
    <w:p w14:paraId="17FE95F3" w14:textId="77777777"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Although a single mean statistical difference was found using traditional data analysis methods, unpicking the data with subgroup analysis revealed the scale and direction of the variable responses generated by a pedometer-based PAL intervention. These profiles can be used to inform future interventions, on which children, to target greatest benefits. The current study is supported by previous evidence on PAL interventions showing mixed success and small changes at the group level (35,36). Varied responsiveness has previously been demonstrated by Oliver et al. (36) who found that least active girls benefited most from a PAL intervention, whereas a whole-group analysis showed no benefit. Moreover, a recent systematic review identified the scarcity of studies providing evidence on a range of equity effects on interventions beyond gender (26), resulting in a lack of understanding of subgroups and their varied intervention responses. The current results support the use of subgroup analysis, while offering new insights into the responsiveness of a pedometer-based PAL intervention based on pre-intervention PA characteristics.</w:t>
      </w:r>
    </w:p>
    <w:p w14:paraId="1CCB3889" w14:textId="6B9AD73C"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 xml:space="preserve">One of the most important findings from our data relates to the stratified responsiveness of participants to the intervention. While there were several positive significant subgroup improvements in activity levels in the intervention, a decrease in MVPA and increase in sedentary time in the High </w:t>
      </w:r>
      <w:r w:rsidRPr="00B64061">
        <w:rPr>
          <w:rFonts w:ascii="Calibri" w:hAnsi="Calibri" w:cs="Calibri"/>
          <w:sz w:val="22"/>
          <w:szCs w:val="22"/>
        </w:rPr>
        <w:lastRenderedPageBreak/>
        <w:t>Active was also evident. Although this may seem negative, overall PA levels in this subgroup were still higher than all other intervention subgroups. Furthermore, these differences could be attributed from day-to-day variability, environmental influences or individual behaviours (29,37). These effects should be addressed in future research using tightly controlled designs.</w:t>
      </w:r>
    </w:p>
    <w:p w14:paraId="3B44AE85" w14:textId="77777777" w:rsidR="00FF3ECA" w:rsidRPr="00B64061" w:rsidRDefault="00FF3ECA" w:rsidP="00FF3ECA">
      <w:pPr>
        <w:pStyle w:val="NormalWeb"/>
        <w:spacing w:before="0" w:beforeAutospacing="0" w:after="0" w:afterAutospacing="0" w:line="480" w:lineRule="auto"/>
        <w:ind w:firstLine="720"/>
        <w:jc w:val="both"/>
      </w:pPr>
      <w:r w:rsidRPr="00B64061">
        <w:rPr>
          <w:rFonts w:ascii="Calibri" w:hAnsi="Calibri" w:cs="Calibri"/>
          <w:sz w:val="22"/>
          <w:szCs w:val="22"/>
        </w:rPr>
        <w:t>The present study, in part, aims to encourage schools and policymakers to address the issue of traditional didactic teaching methods promoting sedentary behaviour and limiting time to be physically active (39). Moreover, it also endorses deploying analyses that can illustrate variations in intervention effect when the intervention occurs in a confined classroom space. While the conclusions emerging from these data, based on traditional analysis methods, provide some positive outcomes, further analysis exploring subgroups provides a more in-depth understanding of the intervention, which otherwise, might have been overlooked. Acknowledging that few PA interventions will provide a ‘universal’ fix for inactive children, analytical approaches are available to investigate individual and stratified responsiveness (37). Subsequently, these individual responses need to be considered in future interventions to ensure greater returns and associated benefits. The challenge for policymakers and practitioners is to correctly identify intervention impact across groups with diverse baseline PA profiles, which can be used for tailored context and population implementation.</w:t>
      </w:r>
    </w:p>
    <w:p w14:paraId="54E7FA7C" w14:textId="02F9646E" w:rsidR="00FF3ECA" w:rsidRPr="00B64061" w:rsidRDefault="00FF3ECA" w:rsidP="00794D79">
      <w:pPr>
        <w:pStyle w:val="NormalWeb"/>
        <w:spacing w:before="0" w:beforeAutospacing="0" w:after="0" w:afterAutospacing="0" w:line="480" w:lineRule="auto"/>
        <w:ind w:firstLine="720"/>
        <w:jc w:val="both"/>
        <w:rPr>
          <w:rFonts w:ascii="Calibri" w:hAnsi="Calibri" w:cs="Calibri"/>
          <w:sz w:val="22"/>
          <w:szCs w:val="22"/>
        </w:rPr>
      </w:pPr>
      <w:r w:rsidRPr="00B64061">
        <w:rPr>
          <w:rFonts w:ascii="Calibri" w:hAnsi="Calibri" w:cs="Calibri"/>
          <w:sz w:val="22"/>
          <w:szCs w:val="22"/>
        </w:rPr>
        <w:t xml:space="preserve">Several strengths are encompassed within the current study including the use of a randomised control design balanced by SES. An objective assessment of PA was also used; this is rare in school-based pedometer interventions (26,28). However, there was a </w:t>
      </w:r>
      <w:r w:rsidRPr="00B64061">
        <w:rPr>
          <w:rFonts w:ascii="Calibri" w:hAnsi="Calibri" w:cs="Calibri"/>
          <w:sz w:val="22"/>
          <w:szCs w:val="22"/>
          <w:shd w:val="clear" w:color="auto" w:fill="FFFFFF"/>
        </w:rPr>
        <w:t>hig</w:t>
      </w:r>
      <w:r w:rsidR="00B64061">
        <w:rPr>
          <w:rFonts w:ascii="Calibri" w:hAnsi="Calibri" w:cs="Calibri"/>
          <w:sz w:val="22"/>
          <w:szCs w:val="22"/>
          <w:shd w:val="clear" w:color="auto" w:fill="FFFFFF"/>
        </w:rPr>
        <w:t>h non-return rate result</w:t>
      </w:r>
      <w:r w:rsidRPr="00B64061">
        <w:rPr>
          <w:rFonts w:ascii="Calibri" w:hAnsi="Calibri" w:cs="Calibri"/>
          <w:sz w:val="22"/>
          <w:szCs w:val="22"/>
          <w:shd w:val="clear" w:color="auto" w:fill="FFFFFF"/>
        </w:rPr>
        <w:t>in</w:t>
      </w:r>
      <w:r w:rsidR="00B64061">
        <w:rPr>
          <w:rFonts w:ascii="Calibri" w:hAnsi="Calibri" w:cs="Calibri"/>
          <w:sz w:val="22"/>
          <w:szCs w:val="22"/>
          <w:shd w:val="clear" w:color="auto" w:fill="FFFFFF"/>
        </w:rPr>
        <w:t>g in</w:t>
      </w:r>
      <w:bookmarkStart w:id="0" w:name="_GoBack"/>
      <w:bookmarkEnd w:id="0"/>
      <w:r w:rsidRPr="00B64061">
        <w:rPr>
          <w:rFonts w:ascii="Calibri" w:hAnsi="Calibri" w:cs="Calibri"/>
          <w:sz w:val="22"/>
          <w:szCs w:val="22"/>
          <w:shd w:val="clear" w:color="auto" w:fill="FFFFFF"/>
        </w:rPr>
        <w:t xml:space="preserve"> a small sample size</w:t>
      </w:r>
      <w:r w:rsidRPr="00B64061">
        <w:rPr>
          <w:rFonts w:ascii="Calibri" w:hAnsi="Calibri" w:cs="Calibri"/>
          <w:sz w:val="22"/>
          <w:szCs w:val="22"/>
        </w:rPr>
        <w:t>, which limits the external validity, especially for subgroup analysis. Statistical conclusions drawn from the subgroup analysis should be considered with caution, with an emphasis on the potential possibilities subgroups analysis can provide for a more in-depth analysis of PA behaviour, especially in relation to field-based studies.</w:t>
      </w:r>
    </w:p>
    <w:p w14:paraId="62813C8A" w14:textId="3888F5C0" w:rsidR="00FF3ECA" w:rsidRPr="00B64061" w:rsidRDefault="00FF3ECA" w:rsidP="00FF3ECA">
      <w:pPr>
        <w:pStyle w:val="NormalWeb"/>
        <w:spacing w:before="0" w:beforeAutospacing="0" w:after="0" w:afterAutospacing="0" w:line="480" w:lineRule="auto"/>
        <w:ind w:firstLine="720"/>
        <w:jc w:val="both"/>
      </w:pPr>
      <w:r w:rsidRPr="00B64061">
        <w:rPr>
          <w:rFonts w:asciiTheme="majorHAnsi" w:hAnsiTheme="majorHAnsi" w:cstheme="majorHAnsi"/>
          <w:sz w:val="22"/>
          <w:szCs w:val="22"/>
        </w:rPr>
        <w:t xml:space="preserve">This pilot study would benefit from being replicated with a sample of sufficient statistical power to support subgroup analysis that can be directly related to policy (20). Future studies expanding on the current studies analysis techniques with a sufficient sample size, would warrant </w:t>
      </w:r>
      <w:r w:rsidRPr="00B64061">
        <w:rPr>
          <w:rFonts w:asciiTheme="majorHAnsi" w:hAnsiTheme="majorHAnsi" w:cstheme="majorHAnsi"/>
          <w:sz w:val="22"/>
          <w:szCs w:val="22"/>
        </w:rPr>
        <w:lastRenderedPageBreak/>
        <w:t xml:space="preserve">using more subgroups that can be aligned more appropriately to the PA guidelines and provide greater public health relevance (e.g., Subgroup 1 ‘Non-Achievers’ = </w:t>
      </w:r>
      <w:r w:rsidRPr="00B64061">
        <w:rPr>
          <w:rFonts w:asciiTheme="majorHAnsi" w:hAnsiTheme="majorHAnsi" w:cstheme="majorHAnsi"/>
          <w:sz w:val="22"/>
          <w:szCs w:val="22"/>
          <w:shd w:val="clear" w:color="auto" w:fill="FFFFFF"/>
        </w:rPr>
        <w:t xml:space="preserve">achieved less than 30minutes/day MVPA, Subgroup 2 </w:t>
      </w:r>
      <w:r w:rsidRPr="00B64061">
        <w:rPr>
          <w:rFonts w:asciiTheme="majorHAnsi" w:hAnsiTheme="majorHAnsi" w:cstheme="majorHAnsi"/>
          <w:sz w:val="22"/>
          <w:szCs w:val="22"/>
        </w:rPr>
        <w:t>‘Non-Achievers’</w:t>
      </w:r>
      <w:r w:rsidRPr="00B64061">
        <w:rPr>
          <w:rFonts w:asciiTheme="majorHAnsi" w:hAnsiTheme="majorHAnsi" w:cstheme="majorHAnsi"/>
          <w:sz w:val="22"/>
          <w:szCs w:val="22"/>
          <w:shd w:val="clear" w:color="auto" w:fill="FFFFFF"/>
        </w:rPr>
        <w:t xml:space="preserve"> = 30-44 minutes/day, Subgroup 3 ‘Near-Achievers’  = 45-59 minutes/day and Subgroup 4 ‘Achievers’ = more than 60minutes/day).</w:t>
      </w:r>
      <w:r w:rsidRPr="00B64061">
        <w:rPr>
          <w:rFonts w:ascii="Roboto" w:hAnsi="Roboto"/>
          <w:sz w:val="22"/>
          <w:szCs w:val="22"/>
          <w:shd w:val="clear" w:color="auto" w:fill="FFFFFF"/>
        </w:rPr>
        <w:t xml:space="preserve"> </w:t>
      </w:r>
      <w:r w:rsidRPr="00B64061">
        <w:rPr>
          <w:rFonts w:ascii="Calibri" w:hAnsi="Calibri" w:cs="Calibri"/>
          <w:sz w:val="22"/>
          <w:szCs w:val="22"/>
        </w:rPr>
        <w:t>Finally, recent conclusions around the success of school-based PA interventions states that they can be successful without visible changes in PA behaviour, where other potential benefits may be revealed (33). The present study assessed LPA, MVPA and sedentary behaviour, future studies may include further outcome measures, including psychological changes such as motivation and enjoyment (33) to explain changes in PA behaviours.</w:t>
      </w:r>
    </w:p>
    <w:p w14:paraId="12FC5DA4" w14:textId="77777777" w:rsidR="00FF3ECA" w:rsidRPr="00B64061" w:rsidRDefault="00FF3ECA" w:rsidP="00FF3ECA">
      <w:pPr>
        <w:pStyle w:val="Heading3"/>
        <w:spacing w:before="280" w:line="480" w:lineRule="auto"/>
        <w:ind w:firstLine="720"/>
      </w:pPr>
      <w:r w:rsidRPr="00B64061">
        <w:rPr>
          <w:sz w:val="24"/>
          <w:szCs w:val="24"/>
        </w:rPr>
        <w:t>Conclusions</w:t>
      </w:r>
    </w:p>
    <w:p w14:paraId="4BD8D189" w14:textId="0EA51388" w:rsidR="00FF3ECA" w:rsidRPr="00B64061" w:rsidRDefault="00FF3ECA" w:rsidP="00FF3ECA">
      <w:pPr>
        <w:pStyle w:val="NormalWeb"/>
        <w:spacing w:before="0" w:beforeAutospacing="0" w:after="240" w:afterAutospacing="0" w:line="480" w:lineRule="auto"/>
        <w:ind w:firstLine="720"/>
        <w:jc w:val="both"/>
      </w:pPr>
      <w:r w:rsidRPr="00B64061">
        <w:rPr>
          <w:rFonts w:ascii="Calibri" w:hAnsi="Calibri" w:cs="Calibri"/>
          <w:sz w:val="22"/>
          <w:szCs w:val="22"/>
          <w:shd w:val="clear" w:color="auto" w:fill="FFFFFF"/>
        </w:rPr>
        <w:t xml:space="preserve">The current findings confirm statistically significant improvements in time spent in LPA for the intervention versus control. On closer inspection, subgroup analysis identified statistical improvements in both intervention subgroups versus control, which for the Low Active subgroup may be compensated due to decreases in sedentary behaviour, yet the more active subgroup may have increased LPA due to a combination of decreased time spent in MVPA and time spent sedentary. </w:t>
      </w:r>
      <w:r w:rsidRPr="00B64061">
        <w:rPr>
          <w:rFonts w:ascii="Calibri" w:hAnsi="Calibri" w:cs="Calibri"/>
          <w:sz w:val="22"/>
          <w:szCs w:val="22"/>
        </w:rPr>
        <w:t>Rather than expecting universal effects from generic interventions, researchers can use subgroup analysis to explore individual variability to establish the many ways children may respond to school-based PA interventions. Once this is established, research can move towards understanding how to appropriately tailor intervention methods to identify and reproduce more sustainable and widespread improvements.</w:t>
      </w:r>
      <w:r w:rsidRPr="00B64061">
        <w:br w:type="page"/>
      </w:r>
    </w:p>
    <w:p w14:paraId="6264D1C5" w14:textId="21A82D26" w:rsidR="00FF3ECA" w:rsidRPr="00B64061" w:rsidRDefault="00FF3ECA" w:rsidP="00CC3333">
      <w:pPr>
        <w:pStyle w:val="Heading3"/>
        <w:spacing w:before="280"/>
      </w:pPr>
      <w:r w:rsidRPr="00B64061">
        <w:rPr>
          <w:sz w:val="24"/>
          <w:szCs w:val="24"/>
        </w:rPr>
        <w:lastRenderedPageBreak/>
        <w:t>References</w:t>
      </w:r>
    </w:p>
    <w:p w14:paraId="50D05253" w14:textId="348BF6F8" w:rsidR="00FF3ECA" w:rsidRPr="00B64061" w:rsidRDefault="00FF3ECA" w:rsidP="004558B1">
      <w:pPr>
        <w:pStyle w:val="NormalWeb"/>
        <w:numPr>
          <w:ilvl w:val="0"/>
          <w:numId w:val="5"/>
        </w:numPr>
        <w:spacing w:before="120" w:beforeAutospacing="0" w:after="120" w:afterAutospacing="0" w:line="480" w:lineRule="auto"/>
        <w:ind w:left="714" w:hanging="357"/>
        <w:jc w:val="both"/>
        <w:textAlignment w:val="baseline"/>
        <w:rPr>
          <w:rFonts w:ascii="Calibri" w:hAnsi="Calibri" w:cs="Calibri"/>
          <w:sz w:val="22"/>
          <w:szCs w:val="22"/>
        </w:rPr>
      </w:pPr>
      <w:r w:rsidRPr="00B64061">
        <w:rPr>
          <w:rFonts w:ascii="Calibri" w:hAnsi="Calibri" w:cs="Calibri"/>
          <w:sz w:val="22"/>
          <w:szCs w:val="22"/>
        </w:rPr>
        <w:t>Andersen LB, Riddoch C, Kriemler S, Hills AP, Hills A. Physical activity and cardiovascular risk facto</w:t>
      </w:r>
      <w:r w:rsidR="00BA088D" w:rsidRPr="00B64061">
        <w:rPr>
          <w:rFonts w:ascii="Calibri" w:hAnsi="Calibri" w:cs="Calibri"/>
          <w:sz w:val="22"/>
          <w:szCs w:val="22"/>
        </w:rPr>
        <w:t xml:space="preserve">rs in children. </w:t>
      </w:r>
      <w:r w:rsidR="00BA088D" w:rsidRPr="00B64061">
        <w:rPr>
          <w:rFonts w:ascii="Calibri" w:hAnsi="Calibri" w:cs="Calibri"/>
          <w:i/>
          <w:sz w:val="22"/>
          <w:szCs w:val="22"/>
        </w:rPr>
        <w:t>Br J Sports Med</w:t>
      </w:r>
      <w:r w:rsidRPr="00B64061">
        <w:rPr>
          <w:rFonts w:ascii="Calibri" w:hAnsi="Calibri" w:cs="Calibri"/>
          <w:sz w:val="22"/>
          <w:szCs w:val="22"/>
        </w:rPr>
        <w:t>. 2011;45(11):871–6.</w:t>
      </w:r>
    </w:p>
    <w:p w14:paraId="62F3193C" w14:textId="0EA9CE0A"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Bailey, D.P., Fairclough, S.J., Savory, L.A. Accelerometry-assessed sedentary behaviour and physical activity levels during the segmented school day in 10-14-year-old children: the HAPPY study.</w:t>
      </w:r>
      <w:r w:rsidRPr="00B64061">
        <w:rPr>
          <w:rFonts w:ascii="Calibri" w:hAnsi="Calibri" w:cs="Calibri"/>
          <w:i/>
          <w:sz w:val="22"/>
          <w:szCs w:val="22"/>
        </w:rPr>
        <w:t xml:space="preserve"> </w:t>
      </w:r>
      <w:proofErr w:type="spellStart"/>
      <w:r w:rsidRPr="00B64061">
        <w:rPr>
          <w:rFonts w:ascii="Calibri" w:hAnsi="Calibri" w:cs="Calibri"/>
          <w:i/>
          <w:sz w:val="22"/>
          <w:szCs w:val="22"/>
        </w:rPr>
        <w:t>Eur</w:t>
      </w:r>
      <w:proofErr w:type="spellEnd"/>
      <w:r w:rsidRPr="00B64061">
        <w:rPr>
          <w:rFonts w:ascii="Calibri" w:hAnsi="Calibri" w:cs="Calibri"/>
          <w:i/>
          <w:sz w:val="22"/>
          <w:szCs w:val="22"/>
        </w:rPr>
        <w:t xml:space="preserve"> J </w:t>
      </w:r>
      <w:proofErr w:type="spellStart"/>
      <w:r w:rsidRPr="00B64061">
        <w:rPr>
          <w:rFonts w:ascii="Calibri" w:hAnsi="Calibri" w:cs="Calibri"/>
          <w:i/>
          <w:sz w:val="22"/>
          <w:szCs w:val="22"/>
        </w:rPr>
        <w:t>Pediat</w:t>
      </w:r>
      <w:r w:rsidR="00BA088D" w:rsidRPr="00B64061">
        <w:rPr>
          <w:rFonts w:ascii="Calibri" w:hAnsi="Calibri" w:cs="Calibri"/>
          <w:i/>
          <w:sz w:val="22"/>
          <w:szCs w:val="22"/>
        </w:rPr>
        <w:t>r</w:t>
      </w:r>
      <w:proofErr w:type="spellEnd"/>
      <w:r w:rsidR="004558B1" w:rsidRPr="00B64061">
        <w:rPr>
          <w:rFonts w:ascii="Calibri" w:hAnsi="Calibri" w:cs="Calibri"/>
          <w:i/>
          <w:sz w:val="22"/>
          <w:szCs w:val="22"/>
        </w:rPr>
        <w:t xml:space="preserve">. </w:t>
      </w:r>
      <w:r w:rsidR="004558B1" w:rsidRPr="00B64061">
        <w:rPr>
          <w:rFonts w:ascii="Calibri" w:hAnsi="Calibri" w:cs="Calibri"/>
          <w:sz w:val="22"/>
          <w:szCs w:val="22"/>
        </w:rPr>
        <w:t>2012;171:1805–13.</w:t>
      </w:r>
    </w:p>
    <w:p w14:paraId="231BFFE5" w14:textId="4DDE967C"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Biddle SJ, O’Connell S, Braithwaite RE. Sedentary behaviour interventions in young people: a</w:t>
      </w:r>
      <w:r w:rsidR="00BA088D" w:rsidRPr="00B64061">
        <w:rPr>
          <w:rFonts w:ascii="Calibri" w:hAnsi="Calibri" w:cs="Calibri"/>
          <w:sz w:val="22"/>
          <w:szCs w:val="22"/>
        </w:rPr>
        <w:t xml:space="preserve"> meta-analysis. </w:t>
      </w:r>
      <w:r w:rsidR="00BA088D" w:rsidRPr="00B64061">
        <w:rPr>
          <w:rFonts w:ascii="Calibri" w:hAnsi="Calibri" w:cs="Calibri"/>
          <w:i/>
          <w:sz w:val="22"/>
          <w:szCs w:val="22"/>
        </w:rPr>
        <w:t>Br J Sports Med.</w:t>
      </w:r>
      <w:r w:rsidR="00BA088D" w:rsidRPr="00B64061">
        <w:rPr>
          <w:rFonts w:ascii="Calibri" w:hAnsi="Calibri" w:cs="Calibri"/>
          <w:sz w:val="22"/>
          <w:szCs w:val="22"/>
        </w:rPr>
        <w:t xml:space="preserve"> 2011</w:t>
      </w:r>
      <w:r w:rsidRPr="00B64061">
        <w:rPr>
          <w:rFonts w:ascii="Calibri" w:hAnsi="Calibri" w:cs="Calibri"/>
          <w:sz w:val="22"/>
          <w:szCs w:val="22"/>
        </w:rPr>
        <w:t xml:space="preserve">;45(11):937–42. </w:t>
      </w:r>
    </w:p>
    <w:p w14:paraId="0434B9A7" w14:textId="557A3F44"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proofErr w:type="spellStart"/>
      <w:r w:rsidRPr="00B64061">
        <w:rPr>
          <w:rFonts w:ascii="Calibri" w:hAnsi="Calibri" w:cs="Calibri"/>
          <w:sz w:val="22"/>
          <w:szCs w:val="22"/>
        </w:rPr>
        <w:t>Boddy</w:t>
      </w:r>
      <w:proofErr w:type="spellEnd"/>
      <w:r w:rsidRPr="00B64061">
        <w:rPr>
          <w:rFonts w:ascii="Calibri" w:hAnsi="Calibri" w:cs="Calibri"/>
          <w:sz w:val="22"/>
          <w:szCs w:val="22"/>
        </w:rPr>
        <w:t xml:space="preserve"> LM, Murphy MH, Cunningham C, Breslin G, Foweather L, Gobbi R, et al. Physical activity, cardiorespiratory fitness, and clustered cardiometabolic risk in 10- to 12-year-old school children: the REACH Y6 study. </w:t>
      </w:r>
      <w:r w:rsidRPr="00B64061">
        <w:rPr>
          <w:rFonts w:ascii="Calibri" w:hAnsi="Calibri" w:cs="Calibri"/>
          <w:i/>
          <w:sz w:val="22"/>
          <w:szCs w:val="22"/>
        </w:rPr>
        <w:t>Am J Hum Biol</w:t>
      </w:r>
      <w:r w:rsidR="004558B1" w:rsidRPr="00B64061">
        <w:rPr>
          <w:rFonts w:ascii="Calibri" w:hAnsi="Calibri" w:cs="Calibri"/>
          <w:i/>
          <w:sz w:val="22"/>
          <w:szCs w:val="22"/>
        </w:rPr>
        <w:t xml:space="preserve">. </w:t>
      </w:r>
      <w:r w:rsidR="004558B1" w:rsidRPr="00B64061">
        <w:rPr>
          <w:rFonts w:ascii="Calibri" w:hAnsi="Calibri" w:cs="Calibri"/>
          <w:sz w:val="22"/>
          <w:szCs w:val="22"/>
        </w:rPr>
        <w:t>2014;26(4):446–51.</w:t>
      </w:r>
    </w:p>
    <w:p w14:paraId="75C2FDC0" w14:textId="2ABAB6DD"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Cain KL, </w:t>
      </w:r>
      <w:proofErr w:type="spellStart"/>
      <w:r w:rsidRPr="00B64061">
        <w:rPr>
          <w:rFonts w:ascii="Calibri" w:hAnsi="Calibri" w:cs="Calibri"/>
          <w:sz w:val="22"/>
          <w:szCs w:val="22"/>
        </w:rPr>
        <w:t>Sallis</w:t>
      </w:r>
      <w:proofErr w:type="spellEnd"/>
      <w:r w:rsidRPr="00B64061">
        <w:rPr>
          <w:rFonts w:ascii="Calibri" w:hAnsi="Calibri" w:cs="Calibri"/>
          <w:sz w:val="22"/>
          <w:szCs w:val="22"/>
        </w:rPr>
        <w:t xml:space="preserve"> JF, Conway TL, Van Dyck D, Calhoon L. Using accelerometers in youth physical activity studies: a revi</w:t>
      </w:r>
      <w:r w:rsidR="00BA088D" w:rsidRPr="00B64061">
        <w:rPr>
          <w:rFonts w:ascii="Calibri" w:hAnsi="Calibri" w:cs="Calibri"/>
          <w:sz w:val="22"/>
          <w:szCs w:val="22"/>
        </w:rPr>
        <w:t xml:space="preserve">ew of methods. </w:t>
      </w:r>
      <w:r w:rsidR="00BA088D" w:rsidRPr="00B64061">
        <w:rPr>
          <w:rFonts w:ascii="Calibri" w:hAnsi="Calibri" w:cs="Calibri"/>
          <w:i/>
          <w:sz w:val="22"/>
          <w:szCs w:val="22"/>
        </w:rPr>
        <w:t>J Phys Act Health</w:t>
      </w:r>
      <w:r w:rsidRPr="00B64061">
        <w:rPr>
          <w:rFonts w:ascii="Calibri" w:hAnsi="Calibri" w:cs="Calibri"/>
          <w:i/>
          <w:sz w:val="22"/>
          <w:szCs w:val="22"/>
        </w:rPr>
        <w:t>.</w:t>
      </w:r>
      <w:r w:rsidRPr="00B64061">
        <w:rPr>
          <w:rFonts w:ascii="Calibri" w:hAnsi="Calibri" w:cs="Calibri"/>
          <w:sz w:val="22"/>
          <w:szCs w:val="22"/>
        </w:rPr>
        <w:t xml:space="preserve"> 2013;10(3):437–50. </w:t>
      </w:r>
    </w:p>
    <w:p w14:paraId="548DB6E5" w14:textId="470B81F9"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Canadian Society for Exercise Physiology. </w:t>
      </w:r>
      <w:r w:rsidRPr="00B64061">
        <w:rPr>
          <w:rFonts w:ascii="Calibri" w:hAnsi="Calibri" w:cs="Calibri"/>
          <w:i/>
          <w:sz w:val="22"/>
          <w:szCs w:val="22"/>
        </w:rPr>
        <w:t>Canadian Physical Activity Guidelines and Canadian Sedentary Behaviour Guidelines: Yo</w:t>
      </w:r>
      <w:r w:rsidR="00BA088D" w:rsidRPr="00B64061">
        <w:rPr>
          <w:rFonts w:ascii="Calibri" w:hAnsi="Calibri" w:cs="Calibri"/>
          <w:i/>
          <w:sz w:val="22"/>
          <w:szCs w:val="22"/>
        </w:rPr>
        <w:t>ur Plan to Get Active Every Day</w:t>
      </w:r>
      <w:r w:rsidRPr="00B64061">
        <w:rPr>
          <w:rFonts w:ascii="Calibri" w:hAnsi="Calibri" w:cs="Calibri"/>
          <w:i/>
          <w:sz w:val="22"/>
          <w:szCs w:val="22"/>
        </w:rPr>
        <w:t>.</w:t>
      </w:r>
      <w:r w:rsidRPr="00B64061">
        <w:rPr>
          <w:rFonts w:ascii="Calibri" w:hAnsi="Calibri" w:cs="Calibri"/>
          <w:sz w:val="22"/>
          <w:szCs w:val="22"/>
        </w:rPr>
        <w:t xml:space="preserve"> 2012. </w:t>
      </w:r>
    </w:p>
    <w:p w14:paraId="5BAE4AAD" w14:textId="4A98F977"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Carson V, </w:t>
      </w:r>
      <w:proofErr w:type="spellStart"/>
      <w:r w:rsidRPr="00B64061">
        <w:rPr>
          <w:rFonts w:ascii="Calibri" w:hAnsi="Calibri" w:cs="Calibri"/>
          <w:sz w:val="22"/>
          <w:szCs w:val="22"/>
        </w:rPr>
        <w:t>Ridgers</w:t>
      </w:r>
      <w:proofErr w:type="spellEnd"/>
      <w:r w:rsidRPr="00B64061">
        <w:rPr>
          <w:rFonts w:ascii="Calibri" w:hAnsi="Calibri" w:cs="Calibri"/>
          <w:sz w:val="22"/>
          <w:szCs w:val="22"/>
        </w:rPr>
        <w:t xml:space="preserve"> ND, Howard BJ, Winkler EAH, Healy GN, Owen N, et al. Light-intensity physical activity and cardiometabolic biomarkers in US adolescents. </w:t>
      </w:r>
      <w:r w:rsidRPr="00B64061">
        <w:rPr>
          <w:rFonts w:ascii="Calibri" w:hAnsi="Calibri" w:cs="Calibri"/>
          <w:i/>
          <w:sz w:val="22"/>
          <w:szCs w:val="22"/>
        </w:rPr>
        <w:t xml:space="preserve">PLoS One. </w:t>
      </w:r>
      <w:r w:rsidRPr="00B64061">
        <w:rPr>
          <w:rFonts w:ascii="Calibri" w:hAnsi="Calibri" w:cs="Calibri"/>
          <w:sz w:val="22"/>
          <w:szCs w:val="22"/>
        </w:rPr>
        <w:t>2013;8(8):</w:t>
      </w:r>
      <w:r w:rsidR="004558B1" w:rsidRPr="00B64061">
        <w:rPr>
          <w:rFonts w:ascii="Calibri" w:hAnsi="Calibri" w:cs="Calibri"/>
          <w:sz w:val="22"/>
          <w:szCs w:val="22"/>
        </w:rPr>
        <w:t>e71417.</w:t>
      </w:r>
    </w:p>
    <w:p w14:paraId="4873C6BC" w14:textId="75FD5C4E"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Chief Medical Officers of England Scotland Wales and Northern Ireland. </w:t>
      </w:r>
      <w:r w:rsidRPr="00B64061">
        <w:rPr>
          <w:rFonts w:ascii="Calibri" w:hAnsi="Calibri" w:cs="Calibri"/>
          <w:i/>
          <w:sz w:val="22"/>
          <w:szCs w:val="22"/>
        </w:rPr>
        <w:t xml:space="preserve">Start Active, Stay Active: A Report on Physical Activity for Health </w:t>
      </w:r>
      <w:r w:rsidR="00BA088D" w:rsidRPr="00B64061">
        <w:rPr>
          <w:rFonts w:ascii="Calibri" w:hAnsi="Calibri" w:cs="Calibri"/>
          <w:i/>
          <w:sz w:val="22"/>
          <w:szCs w:val="22"/>
        </w:rPr>
        <w:t>from</w:t>
      </w:r>
      <w:r w:rsidRPr="00B64061">
        <w:rPr>
          <w:rFonts w:ascii="Calibri" w:hAnsi="Calibri" w:cs="Calibri"/>
          <w:i/>
          <w:sz w:val="22"/>
          <w:szCs w:val="22"/>
        </w:rPr>
        <w:t xml:space="preserve"> the Four Home Countries Chief Medical Officers. </w:t>
      </w:r>
      <w:r w:rsidRPr="00B64061">
        <w:rPr>
          <w:rFonts w:ascii="Calibri" w:hAnsi="Calibri" w:cs="Calibri"/>
          <w:sz w:val="22"/>
          <w:szCs w:val="22"/>
        </w:rPr>
        <w:t>London:</w:t>
      </w:r>
      <w:r w:rsidR="00CC3333" w:rsidRPr="00B64061">
        <w:rPr>
          <w:rFonts w:ascii="Calibri" w:hAnsi="Calibri" w:cs="Calibri"/>
          <w:sz w:val="22"/>
          <w:szCs w:val="22"/>
        </w:rPr>
        <w:t xml:space="preserve"> </w:t>
      </w:r>
      <w:r w:rsidRPr="00B64061">
        <w:rPr>
          <w:rFonts w:ascii="Calibri" w:hAnsi="Calibri" w:cs="Calibri"/>
          <w:sz w:val="22"/>
          <w:szCs w:val="22"/>
        </w:rPr>
        <w:t>Department of Health, Physical Activity, Health Improvement and Protection; 2011.</w:t>
      </w:r>
    </w:p>
    <w:p w14:paraId="1C9BE5C1" w14:textId="14E9EF7E"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Cole TJ, Freeman JV, Preece MA. Body mass index reference curves for </w:t>
      </w:r>
      <w:r w:rsidR="00BA088D" w:rsidRPr="00B64061">
        <w:rPr>
          <w:rFonts w:ascii="Calibri" w:hAnsi="Calibri" w:cs="Calibri"/>
          <w:sz w:val="22"/>
          <w:szCs w:val="22"/>
        </w:rPr>
        <w:t xml:space="preserve">the UK, 1990. </w:t>
      </w:r>
      <w:r w:rsidR="00BA088D" w:rsidRPr="00B64061">
        <w:rPr>
          <w:rFonts w:ascii="Calibri" w:hAnsi="Calibri" w:cs="Calibri"/>
          <w:i/>
          <w:sz w:val="22"/>
          <w:szCs w:val="22"/>
        </w:rPr>
        <w:t>Arch Dis Child</w:t>
      </w:r>
      <w:r w:rsidRPr="00B64061">
        <w:rPr>
          <w:rFonts w:ascii="Calibri" w:hAnsi="Calibri" w:cs="Calibri"/>
          <w:i/>
          <w:sz w:val="22"/>
          <w:szCs w:val="22"/>
        </w:rPr>
        <w:t>.</w:t>
      </w:r>
      <w:r w:rsidRPr="00B64061">
        <w:rPr>
          <w:rFonts w:ascii="Calibri" w:hAnsi="Calibri" w:cs="Calibri"/>
          <w:sz w:val="22"/>
          <w:szCs w:val="22"/>
        </w:rPr>
        <w:t xml:space="preserve"> 1995;73(1):25–9.</w:t>
      </w:r>
    </w:p>
    <w:p w14:paraId="23C9CD38" w14:textId="7FC3A458"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lastRenderedPageBreak/>
        <w:t xml:space="preserve">Daley A. Exercise and Depression: A Review of Reviews. </w:t>
      </w:r>
      <w:r w:rsidRPr="00B64061">
        <w:rPr>
          <w:rFonts w:ascii="Calibri" w:hAnsi="Calibri" w:cs="Calibri"/>
          <w:i/>
          <w:sz w:val="22"/>
          <w:szCs w:val="22"/>
        </w:rPr>
        <w:t xml:space="preserve">J </w:t>
      </w:r>
      <w:proofErr w:type="spellStart"/>
      <w:r w:rsidRPr="00B64061">
        <w:rPr>
          <w:rFonts w:ascii="Calibri" w:hAnsi="Calibri" w:cs="Calibri"/>
          <w:i/>
          <w:sz w:val="22"/>
          <w:szCs w:val="22"/>
        </w:rPr>
        <w:t>Clin</w:t>
      </w:r>
      <w:proofErr w:type="spellEnd"/>
      <w:r w:rsidRPr="00B64061">
        <w:rPr>
          <w:rFonts w:ascii="Calibri" w:hAnsi="Calibri" w:cs="Calibri"/>
          <w:i/>
          <w:sz w:val="22"/>
          <w:szCs w:val="22"/>
        </w:rPr>
        <w:t xml:space="preserve"> </w:t>
      </w:r>
      <w:proofErr w:type="spellStart"/>
      <w:r w:rsidRPr="00B64061">
        <w:rPr>
          <w:rFonts w:ascii="Calibri" w:hAnsi="Calibri" w:cs="Calibri"/>
          <w:i/>
          <w:sz w:val="22"/>
          <w:szCs w:val="22"/>
        </w:rPr>
        <w:t>Psychol</w:t>
      </w:r>
      <w:proofErr w:type="spellEnd"/>
      <w:r w:rsidRPr="00B64061">
        <w:rPr>
          <w:rFonts w:ascii="Calibri" w:hAnsi="Calibri" w:cs="Calibri"/>
          <w:i/>
          <w:sz w:val="22"/>
          <w:szCs w:val="22"/>
        </w:rPr>
        <w:t xml:space="preserve"> Med Settings</w:t>
      </w:r>
      <w:r w:rsidR="00BA088D" w:rsidRPr="00B64061">
        <w:rPr>
          <w:rFonts w:ascii="Calibri" w:hAnsi="Calibri" w:cs="Calibri"/>
          <w:i/>
          <w:sz w:val="22"/>
          <w:szCs w:val="22"/>
        </w:rPr>
        <w:t>.</w:t>
      </w:r>
      <w:r w:rsidRPr="00B64061">
        <w:rPr>
          <w:rFonts w:ascii="Calibri" w:hAnsi="Calibri" w:cs="Calibri"/>
          <w:sz w:val="22"/>
          <w:szCs w:val="22"/>
        </w:rPr>
        <w:t xml:space="preserve"> 2008;15(2):140. </w:t>
      </w:r>
    </w:p>
    <w:p w14:paraId="0FD2A85A" w14:textId="199E3E9C"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Demetriou Y, </w:t>
      </w:r>
      <w:proofErr w:type="spellStart"/>
      <w:r w:rsidRPr="00B64061">
        <w:rPr>
          <w:rFonts w:ascii="Calibri" w:hAnsi="Calibri" w:cs="Calibri"/>
          <w:sz w:val="22"/>
          <w:szCs w:val="22"/>
        </w:rPr>
        <w:t>Höner</w:t>
      </w:r>
      <w:proofErr w:type="spellEnd"/>
      <w:r w:rsidRPr="00B64061">
        <w:rPr>
          <w:rFonts w:ascii="Calibri" w:hAnsi="Calibri" w:cs="Calibri"/>
          <w:sz w:val="22"/>
          <w:szCs w:val="22"/>
        </w:rPr>
        <w:t xml:space="preserve"> O. Physical activity interventions in the school setting: A systema</w:t>
      </w:r>
      <w:r w:rsidR="00BA088D" w:rsidRPr="00B64061">
        <w:rPr>
          <w:rFonts w:ascii="Calibri" w:hAnsi="Calibri" w:cs="Calibri"/>
          <w:sz w:val="22"/>
          <w:szCs w:val="22"/>
        </w:rPr>
        <w:t xml:space="preserve">tic review. </w:t>
      </w:r>
      <w:proofErr w:type="spellStart"/>
      <w:r w:rsidR="00BA088D" w:rsidRPr="00B64061">
        <w:rPr>
          <w:rFonts w:ascii="Calibri" w:hAnsi="Calibri" w:cs="Calibri"/>
          <w:i/>
          <w:sz w:val="22"/>
          <w:szCs w:val="22"/>
        </w:rPr>
        <w:t>Psychol</w:t>
      </w:r>
      <w:proofErr w:type="spellEnd"/>
      <w:r w:rsidR="00BA088D" w:rsidRPr="00B64061">
        <w:rPr>
          <w:rFonts w:ascii="Calibri" w:hAnsi="Calibri" w:cs="Calibri"/>
          <w:i/>
          <w:sz w:val="22"/>
          <w:szCs w:val="22"/>
        </w:rPr>
        <w:t xml:space="preserve"> Sport </w:t>
      </w:r>
      <w:proofErr w:type="spellStart"/>
      <w:r w:rsidR="00BA088D" w:rsidRPr="00B64061">
        <w:rPr>
          <w:rFonts w:ascii="Calibri" w:hAnsi="Calibri" w:cs="Calibri"/>
          <w:i/>
          <w:sz w:val="22"/>
          <w:szCs w:val="22"/>
        </w:rPr>
        <w:t>Exerc</w:t>
      </w:r>
      <w:proofErr w:type="spellEnd"/>
      <w:r w:rsidR="00BA088D" w:rsidRPr="00B64061">
        <w:rPr>
          <w:rFonts w:ascii="Calibri" w:hAnsi="Calibri" w:cs="Calibri"/>
          <w:sz w:val="22"/>
          <w:szCs w:val="22"/>
        </w:rPr>
        <w:t>. 2012</w:t>
      </w:r>
      <w:r w:rsidRPr="00B64061">
        <w:rPr>
          <w:rFonts w:ascii="Calibri" w:hAnsi="Calibri" w:cs="Calibri"/>
          <w:sz w:val="22"/>
          <w:szCs w:val="22"/>
        </w:rPr>
        <w:t>;13(2):186–96.</w:t>
      </w:r>
    </w:p>
    <w:p w14:paraId="1F91315B" w14:textId="3311DB03"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Department of Health. </w:t>
      </w:r>
      <w:r w:rsidRPr="00B64061">
        <w:rPr>
          <w:rFonts w:ascii="Calibri" w:hAnsi="Calibri" w:cs="Calibri"/>
          <w:i/>
          <w:sz w:val="22"/>
          <w:szCs w:val="22"/>
        </w:rPr>
        <w:t xml:space="preserve">Does Your Child Get 60 Minutes of Physical Activity Every Day? Make Your Move - Sit Less, Be Active </w:t>
      </w:r>
      <w:r w:rsidR="00BA088D" w:rsidRPr="00B64061">
        <w:rPr>
          <w:rFonts w:ascii="Calibri" w:hAnsi="Calibri" w:cs="Calibri"/>
          <w:i/>
          <w:sz w:val="22"/>
          <w:szCs w:val="22"/>
        </w:rPr>
        <w:t>f</w:t>
      </w:r>
      <w:r w:rsidRPr="00B64061">
        <w:rPr>
          <w:rFonts w:ascii="Calibri" w:hAnsi="Calibri" w:cs="Calibri"/>
          <w:i/>
          <w:sz w:val="22"/>
          <w:szCs w:val="22"/>
        </w:rPr>
        <w:t>or Life!</w:t>
      </w:r>
      <w:r w:rsidRPr="00B64061">
        <w:rPr>
          <w:rFonts w:ascii="Calibri" w:hAnsi="Calibri" w:cs="Calibri"/>
          <w:sz w:val="22"/>
          <w:szCs w:val="22"/>
        </w:rPr>
        <w:t xml:space="preserve"> Australia: Department of Health; 2012.</w:t>
      </w:r>
    </w:p>
    <w:p w14:paraId="201F2D6D" w14:textId="09852423"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Ding D, Lawson KD, Kolbe-Alexander TL, Finkelstein EA, Katzmarzyk PT, van Mechelen W, et al. The economic burden of physical inactivity: a global analysis of major no</w:t>
      </w:r>
      <w:r w:rsidR="00BA088D" w:rsidRPr="00B64061">
        <w:rPr>
          <w:rFonts w:ascii="Calibri" w:hAnsi="Calibri" w:cs="Calibri"/>
          <w:sz w:val="22"/>
          <w:szCs w:val="22"/>
        </w:rPr>
        <w:t xml:space="preserve">n-communicable diseases. </w:t>
      </w:r>
      <w:r w:rsidR="00BA088D" w:rsidRPr="00B64061">
        <w:rPr>
          <w:rFonts w:ascii="Calibri" w:hAnsi="Calibri" w:cs="Calibri"/>
          <w:i/>
          <w:sz w:val="22"/>
          <w:szCs w:val="22"/>
        </w:rPr>
        <w:t>Lancet</w:t>
      </w:r>
      <w:r w:rsidR="00BA088D" w:rsidRPr="00B64061">
        <w:rPr>
          <w:rFonts w:ascii="Calibri" w:hAnsi="Calibri" w:cs="Calibri"/>
          <w:sz w:val="22"/>
          <w:szCs w:val="22"/>
        </w:rPr>
        <w:t>. 2016 Sep</w:t>
      </w:r>
      <w:r w:rsidRPr="00B64061">
        <w:rPr>
          <w:rFonts w:ascii="Calibri" w:hAnsi="Calibri" w:cs="Calibri"/>
          <w:sz w:val="22"/>
          <w:szCs w:val="22"/>
        </w:rPr>
        <w:t>;388(10051):1311–24.</w:t>
      </w:r>
    </w:p>
    <w:p w14:paraId="671E7F5E" w14:textId="3B400896"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proofErr w:type="spellStart"/>
      <w:r w:rsidRPr="00B64061">
        <w:rPr>
          <w:rFonts w:ascii="Calibri" w:hAnsi="Calibri" w:cs="Calibri"/>
          <w:sz w:val="22"/>
          <w:szCs w:val="22"/>
        </w:rPr>
        <w:t>Ekelund</w:t>
      </w:r>
      <w:proofErr w:type="spellEnd"/>
      <w:r w:rsidRPr="00B64061">
        <w:rPr>
          <w:rFonts w:ascii="Calibri" w:hAnsi="Calibri" w:cs="Calibri"/>
          <w:sz w:val="22"/>
          <w:szCs w:val="22"/>
        </w:rPr>
        <w:t xml:space="preserve"> U, Luan J ’an, Sherar LB, Esliger DW, Griew P, Cooper A, et al. Moderate to vigorous physical activity and sedentary time and cardiometabolic risk factors in children and adolescents.</w:t>
      </w:r>
      <w:r w:rsidRPr="00B64061">
        <w:rPr>
          <w:rFonts w:ascii="Calibri" w:hAnsi="Calibri" w:cs="Calibri"/>
          <w:i/>
          <w:sz w:val="22"/>
          <w:szCs w:val="22"/>
        </w:rPr>
        <w:t xml:space="preserve"> JAMA</w:t>
      </w:r>
      <w:r w:rsidR="004558B1" w:rsidRPr="00B64061">
        <w:rPr>
          <w:rFonts w:ascii="Calibri" w:hAnsi="Calibri" w:cs="Calibri"/>
          <w:sz w:val="22"/>
          <w:szCs w:val="22"/>
        </w:rPr>
        <w:t>. 2012;307(7):704–12.</w:t>
      </w:r>
    </w:p>
    <w:p w14:paraId="18093203" w14:textId="683C6B84"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Epstein LH, </w:t>
      </w:r>
      <w:proofErr w:type="spellStart"/>
      <w:r w:rsidRPr="00B64061">
        <w:rPr>
          <w:rFonts w:ascii="Calibri" w:hAnsi="Calibri" w:cs="Calibri"/>
          <w:sz w:val="22"/>
          <w:szCs w:val="22"/>
        </w:rPr>
        <w:t>Paluch</w:t>
      </w:r>
      <w:proofErr w:type="spellEnd"/>
      <w:r w:rsidRPr="00B64061">
        <w:rPr>
          <w:rFonts w:ascii="Calibri" w:hAnsi="Calibri" w:cs="Calibri"/>
          <w:sz w:val="22"/>
          <w:szCs w:val="22"/>
        </w:rPr>
        <w:t xml:space="preserve"> RA, Roemmich JN, Beecher MD. Family-based obesity treatment, then and now: twenty-five years of pediatric ob</w:t>
      </w:r>
      <w:r w:rsidR="00BA088D" w:rsidRPr="00B64061">
        <w:rPr>
          <w:rFonts w:ascii="Calibri" w:hAnsi="Calibri" w:cs="Calibri"/>
          <w:sz w:val="22"/>
          <w:szCs w:val="22"/>
        </w:rPr>
        <w:t xml:space="preserve">esity treatment. </w:t>
      </w:r>
      <w:r w:rsidR="00BA088D" w:rsidRPr="00B64061">
        <w:rPr>
          <w:rFonts w:ascii="Calibri" w:hAnsi="Calibri" w:cs="Calibri"/>
          <w:i/>
          <w:sz w:val="22"/>
          <w:szCs w:val="22"/>
        </w:rPr>
        <w:t>Health Psychol</w:t>
      </w:r>
      <w:r w:rsidR="00BA088D" w:rsidRPr="00B64061">
        <w:rPr>
          <w:rFonts w:ascii="Calibri" w:hAnsi="Calibri" w:cs="Calibri"/>
          <w:sz w:val="22"/>
          <w:szCs w:val="22"/>
        </w:rPr>
        <w:t>. 2007</w:t>
      </w:r>
      <w:r w:rsidRPr="00B64061">
        <w:rPr>
          <w:rFonts w:ascii="Calibri" w:hAnsi="Calibri" w:cs="Calibri"/>
          <w:sz w:val="22"/>
          <w:szCs w:val="22"/>
        </w:rPr>
        <w:t>;26(4):381–91.</w:t>
      </w:r>
    </w:p>
    <w:p w14:paraId="33D0500B" w14:textId="1E103A08"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Epstein LH, </w:t>
      </w:r>
      <w:proofErr w:type="spellStart"/>
      <w:r w:rsidRPr="00B64061">
        <w:rPr>
          <w:rFonts w:ascii="Calibri" w:hAnsi="Calibri" w:cs="Calibri"/>
          <w:sz w:val="22"/>
          <w:szCs w:val="22"/>
        </w:rPr>
        <w:t>Wrotniak</w:t>
      </w:r>
      <w:proofErr w:type="spellEnd"/>
      <w:r w:rsidRPr="00B64061">
        <w:rPr>
          <w:rFonts w:ascii="Calibri" w:hAnsi="Calibri" w:cs="Calibri"/>
          <w:sz w:val="22"/>
          <w:szCs w:val="22"/>
        </w:rPr>
        <w:t xml:space="preserve"> BH. Future directions for pediatric obesity treatment. </w:t>
      </w:r>
      <w:r w:rsidRPr="00B64061">
        <w:rPr>
          <w:rFonts w:ascii="Calibri" w:hAnsi="Calibri" w:cs="Calibri"/>
          <w:i/>
          <w:sz w:val="22"/>
          <w:szCs w:val="22"/>
        </w:rPr>
        <w:t>Obesity</w:t>
      </w:r>
      <w:r w:rsidR="00BA088D" w:rsidRPr="00B64061">
        <w:rPr>
          <w:rFonts w:ascii="Calibri" w:hAnsi="Calibri" w:cs="Calibri"/>
          <w:sz w:val="22"/>
          <w:szCs w:val="22"/>
        </w:rPr>
        <w:t>. 2010</w:t>
      </w:r>
      <w:r w:rsidRPr="00B64061">
        <w:rPr>
          <w:rFonts w:ascii="Calibri" w:hAnsi="Calibri" w:cs="Calibri"/>
          <w:sz w:val="22"/>
          <w:szCs w:val="22"/>
        </w:rPr>
        <w:t xml:space="preserve">;18 </w:t>
      </w:r>
      <w:proofErr w:type="spellStart"/>
      <w:r w:rsidRPr="00B64061">
        <w:rPr>
          <w:rFonts w:ascii="Calibri" w:hAnsi="Calibri" w:cs="Calibri"/>
          <w:sz w:val="22"/>
          <w:szCs w:val="22"/>
        </w:rPr>
        <w:t>Suppl</w:t>
      </w:r>
      <w:proofErr w:type="spellEnd"/>
      <w:r w:rsidRPr="00B64061">
        <w:rPr>
          <w:rFonts w:ascii="Calibri" w:hAnsi="Calibri" w:cs="Calibri"/>
          <w:sz w:val="22"/>
          <w:szCs w:val="22"/>
        </w:rPr>
        <w:t xml:space="preserve"> 1:S8–12.</w:t>
      </w:r>
    </w:p>
    <w:p w14:paraId="599B7D40" w14:textId="4E089A1B"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Evenson KR, </w:t>
      </w:r>
      <w:proofErr w:type="spellStart"/>
      <w:r w:rsidRPr="00B64061">
        <w:rPr>
          <w:rFonts w:ascii="Calibri" w:hAnsi="Calibri" w:cs="Calibri"/>
          <w:sz w:val="22"/>
          <w:szCs w:val="22"/>
        </w:rPr>
        <w:t>Catellier</w:t>
      </w:r>
      <w:proofErr w:type="spellEnd"/>
      <w:r w:rsidRPr="00B64061">
        <w:rPr>
          <w:rFonts w:ascii="Calibri" w:hAnsi="Calibri" w:cs="Calibri"/>
          <w:sz w:val="22"/>
          <w:szCs w:val="22"/>
        </w:rPr>
        <w:t xml:space="preserve"> DJ, Gill K, Ondrak KS, McMurray RG. Calibration of two objective measures of physical activity for childr</w:t>
      </w:r>
      <w:r w:rsidR="00BA088D" w:rsidRPr="00B64061">
        <w:rPr>
          <w:rFonts w:ascii="Calibri" w:hAnsi="Calibri" w:cs="Calibri"/>
          <w:sz w:val="22"/>
          <w:szCs w:val="22"/>
        </w:rPr>
        <w:t xml:space="preserve">en. </w:t>
      </w:r>
      <w:r w:rsidR="00BA088D" w:rsidRPr="00B64061">
        <w:rPr>
          <w:rFonts w:ascii="Calibri" w:hAnsi="Calibri" w:cs="Calibri"/>
          <w:i/>
          <w:sz w:val="22"/>
          <w:szCs w:val="22"/>
        </w:rPr>
        <w:t>J Sports Sci</w:t>
      </w:r>
      <w:r w:rsidRPr="00B64061">
        <w:rPr>
          <w:rFonts w:ascii="Calibri" w:hAnsi="Calibri" w:cs="Calibri"/>
          <w:sz w:val="22"/>
          <w:szCs w:val="22"/>
        </w:rPr>
        <w:t>. 20</w:t>
      </w:r>
      <w:r w:rsidR="00BA088D" w:rsidRPr="00B64061">
        <w:rPr>
          <w:rFonts w:ascii="Calibri" w:hAnsi="Calibri" w:cs="Calibri"/>
          <w:sz w:val="22"/>
          <w:szCs w:val="22"/>
        </w:rPr>
        <w:t>08</w:t>
      </w:r>
      <w:r w:rsidRPr="00B64061">
        <w:rPr>
          <w:rFonts w:ascii="Calibri" w:hAnsi="Calibri" w:cs="Calibri"/>
          <w:sz w:val="22"/>
          <w:szCs w:val="22"/>
        </w:rPr>
        <w:t xml:space="preserve">;26(14):1557–65. </w:t>
      </w:r>
    </w:p>
    <w:p w14:paraId="3D20F67D" w14:textId="7F6F8F0D"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Fairclough SJ, </w:t>
      </w:r>
      <w:proofErr w:type="spellStart"/>
      <w:r w:rsidRPr="00B64061">
        <w:rPr>
          <w:rFonts w:ascii="Calibri" w:hAnsi="Calibri" w:cs="Calibri"/>
          <w:sz w:val="22"/>
          <w:szCs w:val="22"/>
        </w:rPr>
        <w:t>Beighle</w:t>
      </w:r>
      <w:proofErr w:type="spellEnd"/>
      <w:r w:rsidRPr="00B64061">
        <w:rPr>
          <w:rFonts w:ascii="Calibri" w:hAnsi="Calibri" w:cs="Calibri"/>
          <w:sz w:val="22"/>
          <w:szCs w:val="22"/>
        </w:rPr>
        <w:t xml:space="preserve"> A, Erwin H, Ridgers ND. School day segmented physical activity patterns of high and low act</w:t>
      </w:r>
      <w:r w:rsidR="00BA088D" w:rsidRPr="00B64061">
        <w:rPr>
          <w:rFonts w:ascii="Calibri" w:hAnsi="Calibri" w:cs="Calibri"/>
          <w:sz w:val="22"/>
          <w:szCs w:val="22"/>
        </w:rPr>
        <w:t xml:space="preserve">ive children. </w:t>
      </w:r>
      <w:r w:rsidR="00BA088D" w:rsidRPr="00B64061">
        <w:rPr>
          <w:rFonts w:ascii="Calibri" w:hAnsi="Calibri" w:cs="Calibri"/>
          <w:i/>
          <w:sz w:val="22"/>
          <w:szCs w:val="22"/>
        </w:rPr>
        <w:t>BMC Public Health</w:t>
      </w:r>
      <w:r w:rsidR="00BA088D" w:rsidRPr="00B64061">
        <w:rPr>
          <w:rFonts w:ascii="Calibri" w:hAnsi="Calibri" w:cs="Calibri"/>
          <w:sz w:val="22"/>
          <w:szCs w:val="22"/>
        </w:rPr>
        <w:t>. 2012</w:t>
      </w:r>
      <w:r w:rsidRPr="00B64061">
        <w:rPr>
          <w:rFonts w:ascii="Calibri" w:hAnsi="Calibri" w:cs="Calibri"/>
          <w:sz w:val="22"/>
          <w:szCs w:val="22"/>
        </w:rPr>
        <w:t xml:space="preserve">;12:406. </w:t>
      </w:r>
    </w:p>
    <w:p w14:paraId="349CE504" w14:textId="42E682EE"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Fairclough SJ, </w:t>
      </w:r>
      <w:proofErr w:type="spellStart"/>
      <w:r w:rsidRPr="00B64061">
        <w:rPr>
          <w:rFonts w:ascii="Calibri" w:hAnsi="Calibri" w:cs="Calibri"/>
          <w:sz w:val="22"/>
          <w:szCs w:val="22"/>
        </w:rPr>
        <w:t>Boddy</w:t>
      </w:r>
      <w:proofErr w:type="spellEnd"/>
      <w:r w:rsidRPr="00B64061">
        <w:rPr>
          <w:rFonts w:ascii="Calibri" w:hAnsi="Calibri" w:cs="Calibri"/>
          <w:sz w:val="22"/>
          <w:szCs w:val="22"/>
        </w:rPr>
        <w:t xml:space="preserve"> LM, Ridgers ND, Stratton G. Weight status associations with physical activity intensity and physical self-perceptions in 10- to 11-year-old children. </w:t>
      </w:r>
      <w:r w:rsidRPr="00B64061">
        <w:rPr>
          <w:rFonts w:ascii="Calibri" w:hAnsi="Calibri" w:cs="Calibri"/>
          <w:i/>
          <w:sz w:val="22"/>
          <w:szCs w:val="22"/>
        </w:rPr>
        <w:t>Pediatr Exerc Sci</w:t>
      </w:r>
      <w:r w:rsidR="00BA088D" w:rsidRPr="00B64061">
        <w:rPr>
          <w:rFonts w:ascii="Calibri" w:hAnsi="Calibri" w:cs="Calibri"/>
          <w:sz w:val="22"/>
          <w:szCs w:val="22"/>
        </w:rPr>
        <w:t>. 2012</w:t>
      </w:r>
      <w:r w:rsidRPr="00B64061">
        <w:rPr>
          <w:rFonts w:ascii="Calibri" w:hAnsi="Calibri" w:cs="Calibri"/>
          <w:sz w:val="22"/>
          <w:szCs w:val="22"/>
        </w:rPr>
        <w:t xml:space="preserve">;24(1):100–12. </w:t>
      </w:r>
    </w:p>
    <w:p w14:paraId="020A887F" w14:textId="69E07CA1"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lastRenderedPageBreak/>
        <w:t xml:space="preserve">Harris T, Kerry SM, Victor CR, Shah SM, Iliffe S, Ussher M, et al. PACE-UP (Pedometer and consultation evaluation--UP)--a pedometer-based walking intervention with and without practice nurse support in primary care patients aged 45-75 years: study protocol for a randomised controlled trial. </w:t>
      </w:r>
      <w:r w:rsidRPr="00B64061">
        <w:rPr>
          <w:rFonts w:ascii="Calibri" w:hAnsi="Calibri" w:cs="Calibri"/>
          <w:i/>
          <w:sz w:val="22"/>
          <w:szCs w:val="22"/>
        </w:rPr>
        <w:t>Trials</w:t>
      </w:r>
      <w:r w:rsidRPr="00B64061">
        <w:rPr>
          <w:rFonts w:ascii="Calibri" w:hAnsi="Calibri" w:cs="Calibri"/>
          <w:sz w:val="22"/>
          <w:szCs w:val="22"/>
        </w:rPr>
        <w:t>. 2013;14:418.</w:t>
      </w:r>
      <w:r w:rsidR="004558B1" w:rsidRPr="00B64061">
        <w:rPr>
          <w:rFonts w:ascii="Calibri" w:hAnsi="Calibri" w:cs="Calibri"/>
          <w:sz w:val="22"/>
          <w:szCs w:val="22"/>
        </w:rPr>
        <w:t xml:space="preserve"> </w:t>
      </w:r>
    </w:p>
    <w:p w14:paraId="692332E5" w14:textId="38D2FBF6"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HM Government. Childhood Obesity: A Plan for Action. GOV.UK; 2012.</w:t>
      </w:r>
    </w:p>
    <w:p w14:paraId="06647555" w14:textId="2D948353"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Howard B, Winkler EAH, Sethi P, Carson V, Ridgers ND, Salmon JO, et al. Associations of Low- and High-Intensity Light Activity with Cardiometabolic B</w:t>
      </w:r>
      <w:r w:rsidR="00BA088D" w:rsidRPr="00B64061">
        <w:rPr>
          <w:rFonts w:ascii="Calibri" w:hAnsi="Calibri" w:cs="Calibri"/>
          <w:sz w:val="22"/>
          <w:szCs w:val="22"/>
        </w:rPr>
        <w:t xml:space="preserve">iomarkers. </w:t>
      </w:r>
      <w:r w:rsidR="00BA088D" w:rsidRPr="00B64061">
        <w:rPr>
          <w:rFonts w:ascii="Calibri" w:hAnsi="Calibri" w:cs="Calibri"/>
          <w:i/>
          <w:sz w:val="22"/>
          <w:szCs w:val="22"/>
        </w:rPr>
        <w:t xml:space="preserve">Med Sci Sports </w:t>
      </w:r>
      <w:proofErr w:type="spellStart"/>
      <w:r w:rsidR="00BA088D" w:rsidRPr="00B64061">
        <w:rPr>
          <w:rFonts w:ascii="Calibri" w:hAnsi="Calibri" w:cs="Calibri"/>
          <w:i/>
          <w:sz w:val="22"/>
          <w:szCs w:val="22"/>
        </w:rPr>
        <w:t>Exerc</w:t>
      </w:r>
      <w:proofErr w:type="spellEnd"/>
      <w:r w:rsidR="00BA088D" w:rsidRPr="00B64061">
        <w:rPr>
          <w:rFonts w:ascii="Calibri" w:hAnsi="Calibri" w:cs="Calibri"/>
          <w:sz w:val="22"/>
          <w:szCs w:val="22"/>
        </w:rPr>
        <w:t>. 2015</w:t>
      </w:r>
      <w:r w:rsidRPr="00B64061">
        <w:rPr>
          <w:rFonts w:ascii="Calibri" w:hAnsi="Calibri" w:cs="Calibri"/>
          <w:sz w:val="22"/>
          <w:szCs w:val="22"/>
        </w:rPr>
        <w:t>;47(10):2093–101.</w:t>
      </w:r>
    </w:p>
    <w:p w14:paraId="56F5E4D7" w14:textId="73F2EF25"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Janssen I, Leblanc AG. Systematic review of the health benefits of physical activity and fitness in school-aged children and youth. </w:t>
      </w:r>
      <w:r w:rsidRPr="00B64061">
        <w:rPr>
          <w:rFonts w:ascii="Calibri" w:hAnsi="Calibri" w:cs="Calibri"/>
          <w:i/>
          <w:sz w:val="22"/>
          <w:szCs w:val="22"/>
        </w:rPr>
        <w:t xml:space="preserve">Int J </w:t>
      </w:r>
      <w:proofErr w:type="spellStart"/>
      <w:r w:rsidRPr="00B64061">
        <w:rPr>
          <w:rFonts w:ascii="Calibri" w:hAnsi="Calibri" w:cs="Calibri"/>
          <w:i/>
          <w:sz w:val="22"/>
          <w:szCs w:val="22"/>
        </w:rPr>
        <w:t>Behav</w:t>
      </w:r>
      <w:proofErr w:type="spellEnd"/>
      <w:r w:rsidRPr="00B64061">
        <w:rPr>
          <w:rFonts w:ascii="Calibri" w:hAnsi="Calibri" w:cs="Calibri"/>
          <w:i/>
          <w:sz w:val="22"/>
          <w:szCs w:val="22"/>
        </w:rPr>
        <w:t xml:space="preserve"> </w:t>
      </w:r>
      <w:proofErr w:type="spellStart"/>
      <w:r w:rsidRPr="00B64061">
        <w:rPr>
          <w:rFonts w:ascii="Calibri" w:hAnsi="Calibri" w:cs="Calibri"/>
          <w:i/>
          <w:sz w:val="22"/>
          <w:szCs w:val="22"/>
        </w:rPr>
        <w:t>Nutr</w:t>
      </w:r>
      <w:proofErr w:type="spellEnd"/>
      <w:r w:rsidRPr="00B64061">
        <w:rPr>
          <w:rFonts w:ascii="Calibri" w:hAnsi="Calibri" w:cs="Calibri"/>
          <w:i/>
          <w:sz w:val="22"/>
          <w:szCs w:val="22"/>
        </w:rPr>
        <w:t xml:space="preserve"> Phys Ac</w:t>
      </w:r>
      <w:r w:rsidR="00BA088D" w:rsidRPr="00B64061">
        <w:rPr>
          <w:rFonts w:ascii="Calibri" w:hAnsi="Calibri" w:cs="Calibri"/>
          <w:i/>
          <w:sz w:val="22"/>
          <w:szCs w:val="22"/>
        </w:rPr>
        <w:t>h</w:t>
      </w:r>
      <w:r w:rsidR="00BA088D" w:rsidRPr="00B64061">
        <w:rPr>
          <w:rFonts w:ascii="Calibri" w:hAnsi="Calibri" w:cs="Calibri"/>
          <w:sz w:val="22"/>
          <w:szCs w:val="22"/>
        </w:rPr>
        <w:t>. 2010</w:t>
      </w:r>
      <w:r w:rsidR="004558B1" w:rsidRPr="00B64061">
        <w:rPr>
          <w:rFonts w:ascii="Calibri" w:hAnsi="Calibri" w:cs="Calibri"/>
          <w:sz w:val="22"/>
          <w:szCs w:val="22"/>
        </w:rPr>
        <w:t>;7:40.</w:t>
      </w:r>
    </w:p>
    <w:p w14:paraId="3258F754" w14:textId="4A6D5BA1"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Johnson WD, George VT. Effect of regression to the mean in the presence of withi</w:t>
      </w:r>
      <w:r w:rsidR="00BA088D" w:rsidRPr="00B64061">
        <w:rPr>
          <w:rFonts w:ascii="Calibri" w:hAnsi="Calibri" w:cs="Calibri"/>
          <w:sz w:val="22"/>
          <w:szCs w:val="22"/>
        </w:rPr>
        <w:t xml:space="preserve">n-subject variability. </w:t>
      </w:r>
      <w:r w:rsidR="00BA088D" w:rsidRPr="00B64061">
        <w:rPr>
          <w:rFonts w:ascii="Calibri" w:hAnsi="Calibri" w:cs="Calibri"/>
          <w:i/>
          <w:sz w:val="22"/>
          <w:szCs w:val="22"/>
        </w:rPr>
        <w:t>Stat Med</w:t>
      </w:r>
      <w:r w:rsidRPr="00B64061">
        <w:rPr>
          <w:rFonts w:ascii="Calibri" w:hAnsi="Calibri" w:cs="Calibri"/>
          <w:sz w:val="22"/>
          <w:szCs w:val="22"/>
        </w:rPr>
        <w:t xml:space="preserve">. 1991;10(8):1295–302. </w:t>
      </w:r>
    </w:p>
    <w:p w14:paraId="1A152896" w14:textId="15DA4DC6"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Lonsdale C, Rosenkranz RR, Peralta LR, Bennie A, Fahey P, Lubans DR. A systematic review and meta-analysis of interventions designed to increase moderate-to-vigorous physical activity in school physi</w:t>
      </w:r>
      <w:r w:rsidR="00BA088D" w:rsidRPr="00B64061">
        <w:rPr>
          <w:rFonts w:ascii="Calibri" w:hAnsi="Calibri" w:cs="Calibri"/>
          <w:sz w:val="22"/>
          <w:szCs w:val="22"/>
        </w:rPr>
        <w:t xml:space="preserve">cal education lessons. </w:t>
      </w:r>
      <w:proofErr w:type="spellStart"/>
      <w:r w:rsidR="00BA088D" w:rsidRPr="00B64061">
        <w:rPr>
          <w:rFonts w:ascii="Calibri" w:hAnsi="Calibri" w:cs="Calibri"/>
          <w:i/>
          <w:sz w:val="22"/>
          <w:szCs w:val="22"/>
        </w:rPr>
        <w:t>Prev</w:t>
      </w:r>
      <w:proofErr w:type="spellEnd"/>
      <w:r w:rsidR="00BA088D" w:rsidRPr="00B64061">
        <w:rPr>
          <w:rFonts w:ascii="Calibri" w:hAnsi="Calibri" w:cs="Calibri"/>
          <w:i/>
          <w:sz w:val="22"/>
          <w:szCs w:val="22"/>
        </w:rPr>
        <w:t xml:space="preserve"> Med</w:t>
      </w:r>
      <w:r w:rsidRPr="00B64061">
        <w:rPr>
          <w:rFonts w:ascii="Calibri" w:hAnsi="Calibri" w:cs="Calibri"/>
          <w:sz w:val="22"/>
          <w:szCs w:val="22"/>
        </w:rPr>
        <w:t xml:space="preserve">. 2013;56(2):152–61. </w:t>
      </w:r>
    </w:p>
    <w:p w14:paraId="38C2B884" w14:textId="0B912501"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Love RE, Adams J, van Sluijs EMF. Equity effects of children’s physical activity interventions: a systematic scoping review. </w:t>
      </w:r>
      <w:r w:rsidRPr="00B64061">
        <w:rPr>
          <w:rFonts w:ascii="Calibri" w:hAnsi="Calibri" w:cs="Calibri"/>
          <w:i/>
          <w:sz w:val="22"/>
          <w:szCs w:val="22"/>
        </w:rPr>
        <w:t xml:space="preserve">Int J </w:t>
      </w:r>
      <w:proofErr w:type="spellStart"/>
      <w:r w:rsidRPr="00B64061">
        <w:rPr>
          <w:rFonts w:ascii="Calibri" w:hAnsi="Calibri" w:cs="Calibri"/>
          <w:i/>
          <w:sz w:val="22"/>
          <w:szCs w:val="22"/>
        </w:rPr>
        <w:t>Behav</w:t>
      </w:r>
      <w:proofErr w:type="spellEnd"/>
      <w:r w:rsidRPr="00B64061">
        <w:rPr>
          <w:rFonts w:ascii="Calibri" w:hAnsi="Calibri" w:cs="Calibri"/>
          <w:i/>
          <w:sz w:val="22"/>
          <w:szCs w:val="22"/>
        </w:rPr>
        <w:t xml:space="preserve"> </w:t>
      </w:r>
      <w:proofErr w:type="spellStart"/>
      <w:r w:rsidRPr="00B64061">
        <w:rPr>
          <w:rFonts w:ascii="Calibri" w:hAnsi="Calibri" w:cs="Calibri"/>
          <w:i/>
          <w:sz w:val="22"/>
          <w:szCs w:val="22"/>
        </w:rPr>
        <w:t>Nutr</w:t>
      </w:r>
      <w:proofErr w:type="spellEnd"/>
      <w:r w:rsidRPr="00B64061">
        <w:rPr>
          <w:rFonts w:ascii="Calibri" w:hAnsi="Calibri" w:cs="Calibri"/>
          <w:i/>
          <w:sz w:val="22"/>
          <w:szCs w:val="22"/>
        </w:rPr>
        <w:t xml:space="preserve"> Phys Act</w:t>
      </w:r>
      <w:r w:rsidRPr="00B64061">
        <w:rPr>
          <w:rFonts w:ascii="Calibri" w:hAnsi="Calibri" w:cs="Calibri"/>
          <w:sz w:val="22"/>
          <w:szCs w:val="22"/>
        </w:rPr>
        <w:t xml:space="preserve">. 2017;14(1):134. </w:t>
      </w:r>
    </w:p>
    <w:p w14:paraId="212D785F" w14:textId="0EE1A676"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proofErr w:type="spellStart"/>
      <w:r w:rsidRPr="00B64061">
        <w:rPr>
          <w:rFonts w:ascii="Calibri" w:hAnsi="Calibri" w:cs="Calibri"/>
          <w:sz w:val="22"/>
          <w:szCs w:val="22"/>
        </w:rPr>
        <w:t>Lubans</w:t>
      </w:r>
      <w:proofErr w:type="spellEnd"/>
      <w:r w:rsidRPr="00B64061">
        <w:rPr>
          <w:rFonts w:ascii="Calibri" w:hAnsi="Calibri" w:cs="Calibri"/>
          <w:sz w:val="22"/>
          <w:szCs w:val="22"/>
        </w:rPr>
        <w:t xml:space="preserve"> D, Richards J, Hillman C, Faulkner G, Beauchamp M, Nilsson M, et al. Physical Activity for Cognitive and Mental Health in Youth: A Systematic Review of Mechanisms. </w:t>
      </w:r>
      <w:proofErr w:type="spellStart"/>
      <w:r w:rsidRPr="00B64061">
        <w:rPr>
          <w:rFonts w:ascii="Calibri" w:hAnsi="Calibri" w:cs="Calibri"/>
          <w:i/>
          <w:sz w:val="22"/>
          <w:szCs w:val="22"/>
        </w:rPr>
        <w:t>Pediatri</w:t>
      </w:r>
      <w:r w:rsidR="00BA088D" w:rsidRPr="00B64061">
        <w:rPr>
          <w:rFonts w:ascii="Calibri" w:hAnsi="Calibri" w:cs="Calibri"/>
          <w:i/>
          <w:sz w:val="22"/>
          <w:szCs w:val="22"/>
        </w:rPr>
        <w:t>cs</w:t>
      </w:r>
      <w:proofErr w:type="spellEnd"/>
      <w:r w:rsidR="00BA088D" w:rsidRPr="00B64061">
        <w:rPr>
          <w:rFonts w:ascii="Calibri" w:hAnsi="Calibri" w:cs="Calibri"/>
          <w:sz w:val="22"/>
          <w:szCs w:val="22"/>
        </w:rPr>
        <w:t>. 2016</w:t>
      </w:r>
      <w:r w:rsidR="004558B1" w:rsidRPr="00B64061">
        <w:rPr>
          <w:rFonts w:ascii="Calibri" w:hAnsi="Calibri" w:cs="Calibri"/>
          <w:sz w:val="22"/>
          <w:szCs w:val="22"/>
        </w:rPr>
        <w:t>;138(3).</w:t>
      </w:r>
    </w:p>
    <w:p w14:paraId="686F94DF" w14:textId="16B17B74"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proofErr w:type="spellStart"/>
      <w:r w:rsidRPr="00B64061">
        <w:rPr>
          <w:rFonts w:ascii="Calibri" w:hAnsi="Calibri" w:cs="Calibri"/>
          <w:sz w:val="22"/>
          <w:szCs w:val="22"/>
        </w:rPr>
        <w:t>Lubans</w:t>
      </w:r>
      <w:proofErr w:type="spellEnd"/>
      <w:r w:rsidRPr="00B64061">
        <w:rPr>
          <w:rFonts w:ascii="Calibri" w:hAnsi="Calibri" w:cs="Calibri"/>
          <w:sz w:val="22"/>
          <w:szCs w:val="22"/>
        </w:rPr>
        <w:t xml:space="preserve"> DR, Morgan PJ, Tudor-Locke C. A systematic review of studies using pedometers to promote physical</w:t>
      </w:r>
      <w:r w:rsidR="00BA088D" w:rsidRPr="00B64061">
        <w:rPr>
          <w:rFonts w:ascii="Calibri" w:hAnsi="Calibri" w:cs="Calibri"/>
          <w:sz w:val="22"/>
          <w:szCs w:val="22"/>
        </w:rPr>
        <w:t xml:space="preserve"> activity among youth. </w:t>
      </w:r>
      <w:proofErr w:type="spellStart"/>
      <w:r w:rsidR="00BA088D" w:rsidRPr="00B64061">
        <w:rPr>
          <w:rFonts w:ascii="Calibri" w:hAnsi="Calibri" w:cs="Calibri"/>
          <w:i/>
          <w:sz w:val="22"/>
          <w:szCs w:val="22"/>
        </w:rPr>
        <w:t>Prev</w:t>
      </w:r>
      <w:proofErr w:type="spellEnd"/>
      <w:r w:rsidR="00BA088D" w:rsidRPr="00B64061">
        <w:rPr>
          <w:rFonts w:ascii="Calibri" w:hAnsi="Calibri" w:cs="Calibri"/>
          <w:i/>
          <w:sz w:val="22"/>
          <w:szCs w:val="22"/>
        </w:rPr>
        <w:t xml:space="preserve"> Med</w:t>
      </w:r>
      <w:r w:rsidRPr="00B64061">
        <w:rPr>
          <w:rFonts w:ascii="Calibri" w:hAnsi="Calibri" w:cs="Calibri"/>
          <w:sz w:val="22"/>
          <w:szCs w:val="22"/>
        </w:rPr>
        <w:t>. 2009;48(4):307–15.</w:t>
      </w:r>
    </w:p>
    <w:p w14:paraId="1BAF3057" w14:textId="04DD4997"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lastRenderedPageBreak/>
        <w:t xml:space="preserve">Mansfield ED, Ducharme N, Koski KG. Individual, social and environmental factors influencing physical activity levels and behaviours of multiethnic socio-economically disadvantaged urban mothers in Canada: a mixed methods approach. </w:t>
      </w:r>
      <w:r w:rsidRPr="00B64061">
        <w:rPr>
          <w:rFonts w:ascii="Calibri" w:hAnsi="Calibri" w:cs="Calibri"/>
          <w:i/>
          <w:sz w:val="22"/>
          <w:szCs w:val="22"/>
        </w:rPr>
        <w:t xml:space="preserve">Int J </w:t>
      </w:r>
      <w:proofErr w:type="spellStart"/>
      <w:r w:rsidRPr="00B64061">
        <w:rPr>
          <w:rFonts w:ascii="Calibri" w:hAnsi="Calibri" w:cs="Calibri"/>
          <w:i/>
          <w:sz w:val="22"/>
          <w:szCs w:val="22"/>
        </w:rPr>
        <w:t>Behav</w:t>
      </w:r>
      <w:proofErr w:type="spellEnd"/>
      <w:r w:rsidRPr="00B64061">
        <w:rPr>
          <w:rFonts w:ascii="Calibri" w:hAnsi="Calibri" w:cs="Calibri"/>
          <w:i/>
          <w:sz w:val="22"/>
          <w:szCs w:val="22"/>
        </w:rPr>
        <w:t xml:space="preserve"> </w:t>
      </w:r>
      <w:proofErr w:type="spellStart"/>
      <w:r w:rsidRPr="00B64061">
        <w:rPr>
          <w:rFonts w:ascii="Calibri" w:hAnsi="Calibri" w:cs="Calibri"/>
          <w:i/>
          <w:sz w:val="22"/>
          <w:szCs w:val="22"/>
        </w:rPr>
        <w:t>Nutr</w:t>
      </w:r>
      <w:proofErr w:type="spellEnd"/>
      <w:r w:rsidRPr="00B64061">
        <w:rPr>
          <w:rFonts w:ascii="Calibri" w:hAnsi="Calibri" w:cs="Calibri"/>
          <w:i/>
          <w:sz w:val="22"/>
          <w:szCs w:val="22"/>
        </w:rPr>
        <w:t xml:space="preserve"> Phys Act</w:t>
      </w:r>
      <w:r w:rsidRPr="00B64061">
        <w:rPr>
          <w:rFonts w:ascii="Calibri" w:hAnsi="Calibri" w:cs="Calibri"/>
          <w:sz w:val="22"/>
          <w:szCs w:val="22"/>
        </w:rPr>
        <w:t xml:space="preserve">. 2012;9:42. </w:t>
      </w:r>
    </w:p>
    <w:p w14:paraId="2ADE40B7" w14:textId="71F72CEA"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Mattocks C, Leary S, Ness A, Deere K, Saunders J, Tilling K, et al. Calibration of an accelerometer during free-living activities </w:t>
      </w:r>
      <w:r w:rsidR="00BA088D" w:rsidRPr="00B64061">
        <w:rPr>
          <w:rFonts w:ascii="Calibri" w:hAnsi="Calibri" w:cs="Calibri"/>
          <w:sz w:val="22"/>
          <w:szCs w:val="22"/>
        </w:rPr>
        <w:t xml:space="preserve">in children. </w:t>
      </w:r>
      <w:proofErr w:type="spellStart"/>
      <w:r w:rsidR="00BA088D" w:rsidRPr="00B64061">
        <w:rPr>
          <w:rFonts w:ascii="Calibri" w:hAnsi="Calibri" w:cs="Calibri"/>
          <w:i/>
          <w:sz w:val="22"/>
          <w:szCs w:val="22"/>
        </w:rPr>
        <w:t>Int</w:t>
      </w:r>
      <w:proofErr w:type="spellEnd"/>
      <w:r w:rsidR="00BA088D" w:rsidRPr="00B64061">
        <w:rPr>
          <w:rFonts w:ascii="Calibri" w:hAnsi="Calibri" w:cs="Calibri"/>
          <w:i/>
          <w:sz w:val="22"/>
          <w:szCs w:val="22"/>
        </w:rPr>
        <w:t xml:space="preserve"> J </w:t>
      </w:r>
      <w:proofErr w:type="spellStart"/>
      <w:r w:rsidR="00BA088D" w:rsidRPr="00B64061">
        <w:rPr>
          <w:rFonts w:ascii="Calibri" w:hAnsi="Calibri" w:cs="Calibri"/>
          <w:i/>
          <w:sz w:val="22"/>
          <w:szCs w:val="22"/>
        </w:rPr>
        <w:t>Pediatr</w:t>
      </w:r>
      <w:proofErr w:type="spellEnd"/>
      <w:r w:rsidR="00BA088D" w:rsidRPr="00B64061">
        <w:rPr>
          <w:rFonts w:ascii="Calibri" w:hAnsi="Calibri" w:cs="Calibri"/>
          <w:i/>
          <w:sz w:val="22"/>
          <w:szCs w:val="22"/>
        </w:rPr>
        <w:t xml:space="preserve"> </w:t>
      </w:r>
      <w:proofErr w:type="spellStart"/>
      <w:r w:rsidR="00BA088D" w:rsidRPr="00B64061">
        <w:rPr>
          <w:rFonts w:ascii="Calibri" w:hAnsi="Calibri" w:cs="Calibri"/>
          <w:i/>
          <w:sz w:val="22"/>
          <w:szCs w:val="22"/>
        </w:rPr>
        <w:t>Obes</w:t>
      </w:r>
      <w:proofErr w:type="spellEnd"/>
      <w:r w:rsidRPr="00B64061">
        <w:rPr>
          <w:rFonts w:ascii="Calibri" w:hAnsi="Calibri" w:cs="Calibri"/>
          <w:sz w:val="22"/>
          <w:szCs w:val="22"/>
        </w:rPr>
        <w:t>. 2007;2(4):218–26.</w:t>
      </w:r>
    </w:p>
    <w:p w14:paraId="2B656E6B" w14:textId="4CDE9212"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proofErr w:type="spellStart"/>
      <w:r w:rsidRPr="00B64061">
        <w:rPr>
          <w:rFonts w:ascii="Calibri" w:hAnsi="Calibri" w:cs="Calibri"/>
          <w:sz w:val="22"/>
          <w:szCs w:val="22"/>
        </w:rPr>
        <w:t>Migueles</w:t>
      </w:r>
      <w:proofErr w:type="spellEnd"/>
      <w:r w:rsidRPr="00B64061">
        <w:rPr>
          <w:rFonts w:ascii="Calibri" w:hAnsi="Calibri" w:cs="Calibri"/>
          <w:sz w:val="22"/>
          <w:szCs w:val="22"/>
        </w:rPr>
        <w:t xml:space="preserve"> JH, </w:t>
      </w:r>
      <w:proofErr w:type="spellStart"/>
      <w:r w:rsidRPr="00B64061">
        <w:rPr>
          <w:rFonts w:ascii="Calibri" w:hAnsi="Calibri" w:cs="Calibri"/>
          <w:sz w:val="22"/>
          <w:szCs w:val="22"/>
        </w:rPr>
        <w:t>Cadenas</w:t>
      </w:r>
      <w:proofErr w:type="spellEnd"/>
      <w:r w:rsidRPr="00B64061">
        <w:rPr>
          <w:rFonts w:ascii="Calibri" w:hAnsi="Calibri" w:cs="Calibri"/>
          <w:sz w:val="22"/>
          <w:szCs w:val="22"/>
        </w:rPr>
        <w:t>-Sanchez C, Ekelund U, Delisle Nyström C, Mora-Gonzalez J, Löf M, et al. Accelerometer Data Collection and Processing Criteria to Assess Physical Activity and Other Outcomes: A Systematic Review and Pract</w:t>
      </w:r>
      <w:r w:rsidR="00BA088D" w:rsidRPr="00B64061">
        <w:rPr>
          <w:rFonts w:ascii="Calibri" w:hAnsi="Calibri" w:cs="Calibri"/>
          <w:sz w:val="22"/>
          <w:szCs w:val="22"/>
        </w:rPr>
        <w:t xml:space="preserve">ical Considerations. </w:t>
      </w:r>
      <w:r w:rsidR="00BA088D" w:rsidRPr="00B64061">
        <w:rPr>
          <w:rFonts w:ascii="Calibri" w:hAnsi="Calibri" w:cs="Calibri"/>
          <w:i/>
          <w:sz w:val="22"/>
          <w:szCs w:val="22"/>
        </w:rPr>
        <w:t>Sports Med</w:t>
      </w:r>
      <w:r w:rsidR="00BA088D" w:rsidRPr="00B64061">
        <w:rPr>
          <w:rFonts w:ascii="Calibri" w:hAnsi="Calibri" w:cs="Calibri"/>
          <w:sz w:val="22"/>
          <w:szCs w:val="22"/>
        </w:rPr>
        <w:t>. 2017</w:t>
      </w:r>
      <w:r w:rsidRPr="00B64061">
        <w:rPr>
          <w:rFonts w:ascii="Calibri" w:hAnsi="Calibri" w:cs="Calibri"/>
          <w:sz w:val="22"/>
          <w:szCs w:val="22"/>
        </w:rPr>
        <w:t>;47(9):1821–45.</w:t>
      </w:r>
    </w:p>
    <w:p w14:paraId="6D49D2B7" w14:textId="6BAEA2EF"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Moore SA, McKay HA, Macdonald H, Nettlefold L, Baxter-Jones ADG, Cameron N, et al. Enhancing a Somatic Maturity Prediction Model. </w:t>
      </w:r>
      <w:r w:rsidRPr="00B64061">
        <w:rPr>
          <w:rFonts w:ascii="Calibri" w:hAnsi="Calibri" w:cs="Calibri"/>
          <w:i/>
          <w:sz w:val="22"/>
          <w:szCs w:val="22"/>
        </w:rPr>
        <w:t xml:space="preserve">Med Sci Sports </w:t>
      </w:r>
      <w:proofErr w:type="spellStart"/>
      <w:r w:rsidRPr="00B64061">
        <w:rPr>
          <w:rFonts w:ascii="Calibri" w:hAnsi="Calibri" w:cs="Calibri"/>
          <w:i/>
          <w:sz w:val="22"/>
          <w:szCs w:val="22"/>
        </w:rPr>
        <w:t>Exerc</w:t>
      </w:r>
      <w:proofErr w:type="spellEnd"/>
      <w:r w:rsidRPr="00B64061">
        <w:rPr>
          <w:rFonts w:ascii="Calibri" w:hAnsi="Calibri" w:cs="Calibri"/>
          <w:sz w:val="22"/>
          <w:szCs w:val="22"/>
        </w:rPr>
        <w:t>. 2015 Aug;47(8):1755–64.</w:t>
      </w:r>
      <w:r w:rsidR="004558B1" w:rsidRPr="00B64061">
        <w:rPr>
          <w:rFonts w:ascii="Calibri" w:hAnsi="Calibri" w:cs="Calibri"/>
          <w:sz w:val="22"/>
          <w:szCs w:val="22"/>
        </w:rPr>
        <w:t xml:space="preserve"> </w:t>
      </w:r>
    </w:p>
    <w:p w14:paraId="44259A23" w14:textId="62FDEC52"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Nayak BK. Understanding the relevance of sample size calculation. </w:t>
      </w:r>
      <w:r w:rsidRPr="00B64061">
        <w:rPr>
          <w:rFonts w:ascii="Calibri" w:hAnsi="Calibri" w:cs="Calibri"/>
          <w:i/>
          <w:sz w:val="22"/>
          <w:szCs w:val="22"/>
        </w:rPr>
        <w:t>Ind</w:t>
      </w:r>
      <w:r w:rsidR="00BA088D" w:rsidRPr="00B64061">
        <w:rPr>
          <w:rFonts w:ascii="Calibri" w:hAnsi="Calibri" w:cs="Calibri"/>
          <w:i/>
          <w:sz w:val="22"/>
          <w:szCs w:val="22"/>
        </w:rPr>
        <w:t xml:space="preserve">ian J </w:t>
      </w:r>
      <w:proofErr w:type="spellStart"/>
      <w:r w:rsidR="00BA088D" w:rsidRPr="00B64061">
        <w:rPr>
          <w:rFonts w:ascii="Calibri" w:hAnsi="Calibri" w:cs="Calibri"/>
          <w:i/>
          <w:sz w:val="22"/>
          <w:szCs w:val="22"/>
        </w:rPr>
        <w:t>Ophthalmol</w:t>
      </w:r>
      <w:proofErr w:type="spellEnd"/>
      <w:r w:rsidR="00BA088D" w:rsidRPr="00B64061">
        <w:rPr>
          <w:rFonts w:ascii="Calibri" w:hAnsi="Calibri" w:cs="Calibri"/>
          <w:sz w:val="22"/>
          <w:szCs w:val="22"/>
        </w:rPr>
        <w:t>. 2010</w:t>
      </w:r>
      <w:r w:rsidR="004558B1" w:rsidRPr="00B64061">
        <w:rPr>
          <w:rFonts w:ascii="Calibri" w:hAnsi="Calibri" w:cs="Calibri"/>
          <w:sz w:val="22"/>
          <w:szCs w:val="22"/>
        </w:rPr>
        <w:t>;58(6):469–70.</w:t>
      </w:r>
    </w:p>
    <w:p w14:paraId="7196FAAB" w14:textId="56E28491"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proofErr w:type="spellStart"/>
      <w:r w:rsidRPr="00B64061">
        <w:rPr>
          <w:rFonts w:ascii="Calibri" w:hAnsi="Calibri" w:cs="Calibri"/>
          <w:sz w:val="22"/>
          <w:szCs w:val="22"/>
        </w:rPr>
        <w:t>Nettlefold</w:t>
      </w:r>
      <w:proofErr w:type="spellEnd"/>
      <w:r w:rsidRPr="00B64061">
        <w:rPr>
          <w:rFonts w:ascii="Calibri" w:hAnsi="Calibri" w:cs="Calibri"/>
          <w:sz w:val="22"/>
          <w:szCs w:val="22"/>
        </w:rPr>
        <w:t xml:space="preserve"> L, McKay HA, Warburton DER, McGuire KA, Bredin SSD, Naylor PJ. The challenge of low physical activity during the school day: at recess, lunch and in phys</w:t>
      </w:r>
      <w:r w:rsidR="00BA088D" w:rsidRPr="00B64061">
        <w:rPr>
          <w:rFonts w:ascii="Calibri" w:hAnsi="Calibri" w:cs="Calibri"/>
          <w:sz w:val="22"/>
          <w:szCs w:val="22"/>
        </w:rPr>
        <w:t>ical education.</w:t>
      </w:r>
      <w:r w:rsidR="00BA088D" w:rsidRPr="00B64061">
        <w:rPr>
          <w:rFonts w:ascii="Calibri" w:hAnsi="Calibri" w:cs="Calibri"/>
          <w:i/>
          <w:sz w:val="22"/>
          <w:szCs w:val="22"/>
        </w:rPr>
        <w:t xml:space="preserve"> Br J Sports Med</w:t>
      </w:r>
      <w:r w:rsidR="00BA088D" w:rsidRPr="00B64061">
        <w:rPr>
          <w:rFonts w:ascii="Calibri" w:hAnsi="Calibri" w:cs="Calibri"/>
          <w:sz w:val="22"/>
          <w:szCs w:val="22"/>
        </w:rPr>
        <w:t>. 2011</w:t>
      </w:r>
      <w:r w:rsidRPr="00B64061">
        <w:rPr>
          <w:rFonts w:ascii="Calibri" w:hAnsi="Calibri" w:cs="Calibri"/>
          <w:sz w:val="22"/>
          <w:szCs w:val="22"/>
        </w:rPr>
        <w:t>;45(10):813–9.</w:t>
      </w:r>
    </w:p>
    <w:p w14:paraId="481B56AD" w14:textId="2E417F4B"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Norris E, Shelton N, Dunsmuir S, Duke-Williams O, Stamatakis E. Physically active lessons as physical activity and educational interventions: a systematic review o</w:t>
      </w:r>
      <w:r w:rsidR="00BA088D" w:rsidRPr="00B64061">
        <w:rPr>
          <w:rFonts w:ascii="Calibri" w:hAnsi="Calibri" w:cs="Calibri"/>
          <w:sz w:val="22"/>
          <w:szCs w:val="22"/>
        </w:rPr>
        <w:t xml:space="preserve">f methods and results. </w:t>
      </w:r>
      <w:proofErr w:type="spellStart"/>
      <w:r w:rsidR="00BA088D" w:rsidRPr="00B64061">
        <w:rPr>
          <w:rFonts w:ascii="Calibri" w:hAnsi="Calibri" w:cs="Calibri"/>
          <w:i/>
          <w:sz w:val="22"/>
          <w:szCs w:val="22"/>
        </w:rPr>
        <w:t>Prev</w:t>
      </w:r>
      <w:proofErr w:type="spellEnd"/>
      <w:r w:rsidR="00BA088D" w:rsidRPr="00B64061">
        <w:rPr>
          <w:rFonts w:ascii="Calibri" w:hAnsi="Calibri" w:cs="Calibri"/>
          <w:i/>
          <w:sz w:val="22"/>
          <w:szCs w:val="22"/>
        </w:rPr>
        <w:t xml:space="preserve"> Med</w:t>
      </w:r>
      <w:r w:rsidR="004558B1" w:rsidRPr="00B64061">
        <w:rPr>
          <w:rFonts w:ascii="Calibri" w:hAnsi="Calibri" w:cs="Calibri"/>
          <w:sz w:val="22"/>
          <w:szCs w:val="22"/>
        </w:rPr>
        <w:t>. 2015;72:116–25.</w:t>
      </w:r>
    </w:p>
    <w:p w14:paraId="5BD8FBB2" w14:textId="200B75AA"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Oliver M, Schofield G, McEvoy E. An integrated curriculum approach to increasing habitual physical activity in children: a feasibility study. </w:t>
      </w:r>
      <w:r w:rsidRPr="00B64061">
        <w:rPr>
          <w:rFonts w:ascii="Calibri" w:hAnsi="Calibri" w:cs="Calibri"/>
          <w:i/>
          <w:sz w:val="22"/>
          <w:szCs w:val="22"/>
        </w:rPr>
        <w:t xml:space="preserve">J </w:t>
      </w:r>
      <w:proofErr w:type="spellStart"/>
      <w:r w:rsidRPr="00B64061">
        <w:rPr>
          <w:rFonts w:ascii="Calibri" w:hAnsi="Calibri" w:cs="Calibri"/>
          <w:i/>
          <w:sz w:val="22"/>
          <w:szCs w:val="22"/>
        </w:rPr>
        <w:t>Sch</w:t>
      </w:r>
      <w:proofErr w:type="spellEnd"/>
      <w:r w:rsidRPr="00B64061">
        <w:rPr>
          <w:rFonts w:ascii="Calibri" w:hAnsi="Calibri" w:cs="Calibri"/>
          <w:i/>
          <w:sz w:val="22"/>
          <w:szCs w:val="22"/>
        </w:rPr>
        <w:t xml:space="preserve"> Health</w:t>
      </w:r>
      <w:r w:rsidR="00BA088D" w:rsidRPr="00B64061">
        <w:rPr>
          <w:rFonts w:ascii="Calibri" w:hAnsi="Calibri" w:cs="Calibri"/>
          <w:sz w:val="22"/>
          <w:szCs w:val="22"/>
        </w:rPr>
        <w:t>. 2006</w:t>
      </w:r>
      <w:r w:rsidRPr="00B64061">
        <w:rPr>
          <w:rFonts w:ascii="Calibri" w:hAnsi="Calibri" w:cs="Calibri"/>
          <w:sz w:val="22"/>
          <w:szCs w:val="22"/>
        </w:rPr>
        <w:t xml:space="preserve">;76(2):74–9. </w:t>
      </w:r>
    </w:p>
    <w:p w14:paraId="2E3CB521" w14:textId="600392A8"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ONS. </w:t>
      </w:r>
      <w:r w:rsidRPr="00B64061">
        <w:rPr>
          <w:rFonts w:ascii="Calibri" w:hAnsi="Calibri" w:cs="Calibri"/>
          <w:i/>
          <w:sz w:val="22"/>
          <w:szCs w:val="22"/>
        </w:rPr>
        <w:t>Population Estimates for UK, England and Wales, Scotland and Northern Ireland.</w:t>
      </w:r>
      <w:r w:rsidRPr="00B64061">
        <w:rPr>
          <w:rFonts w:ascii="Calibri" w:hAnsi="Calibri" w:cs="Calibri"/>
          <w:sz w:val="22"/>
          <w:szCs w:val="22"/>
        </w:rPr>
        <w:t xml:space="preserve"> Office for National Statistics; 2016.</w:t>
      </w:r>
    </w:p>
    <w:p w14:paraId="69FD882E" w14:textId="7AFBA207"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lastRenderedPageBreak/>
        <w:t>Pate RR, Brown WH, Pfeiffer KA, Howie EK, Saunders RP, Addy CL, et al. An Intervention to Increase Physical Activity in Children: A Randomized Controlled Trial With 4-Year-Ol</w:t>
      </w:r>
      <w:r w:rsidR="00BA088D" w:rsidRPr="00B64061">
        <w:rPr>
          <w:rFonts w:ascii="Calibri" w:hAnsi="Calibri" w:cs="Calibri"/>
          <w:sz w:val="22"/>
          <w:szCs w:val="22"/>
        </w:rPr>
        <w:t xml:space="preserve">ds in Preschools. </w:t>
      </w:r>
      <w:r w:rsidR="00BA088D" w:rsidRPr="00B64061">
        <w:rPr>
          <w:rFonts w:ascii="Calibri" w:hAnsi="Calibri" w:cs="Calibri"/>
          <w:i/>
          <w:sz w:val="22"/>
          <w:szCs w:val="22"/>
        </w:rPr>
        <w:t xml:space="preserve">Am J </w:t>
      </w:r>
      <w:proofErr w:type="spellStart"/>
      <w:r w:rsidR="00BA088D" w:rsidRPr="00B64061">
        <w:rPr>
          <w:rFonts w:ascii="Calibri" w:hAnsi="Calibri" w:cs="Calibri"/>
          <w:i/>
          <w:sz w:val="22"/>
          <w:szCs w:val="22"/>
        </w:rPr>
        <w:t>Prev</w:t>
      </w:r>
      <w:proofErr w:type="spellEnd"/>
      <w:r w:rsidR="00BA088D" w:rsidRPr="00B64061">
        <w:rPr>
          <w:rFonts w:ascii="Calibri" w:hAnsi="Calibri" w:cs="Calibri"/>
          <w:i/>
          <w:sz w:val="22"/>
          <w:szCs w:val="22"/>
        </w:rPr>
        <w:t xml:space="preserve"> Med</w:t>
      </w:r>
      <w:r w:rsidRPr="00B64061">
        <w:rPr>
          <w:rFonts w:ascii="Calibri" w:hAnsi="Calibri" w:cs="Calibri"/>
          <w:sz w:val="22"/>
          <w:szCs w:val="22"/>
        </w:rPr>
        <w:t>. 2016;51(1):12–22</w:t>
      </w:r>
      <w:r w:rsidR="004558B1" w:rsidRPr="00B64061">
        <w:rPr>
          <w:rFonts w:ascii="Calibri" w:hAnsi="Calibri" w:cs="Calibri"/>
          <w:sz w:val="22"/>
          <w:szCs w:val="22"/>
        </w:rPr>
        <w:t>.</w:t>
      </w:r>
    </w:p>
    <w:p w14:paraId="3E5E3AB5" w14:textId="1E6747D4"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Quarmby W, Daly-Smith A, </w:t>
      </w:r>
      <w:proofErr w:type="spellStart"/>
      <w:r w:rsidRPr="00B64061">
        <w:rPr>
          <w:rFonts w:ascii="Calibri" w:hAnsi="Calibri" w:cs="Calibri"/>
          <w:sz w:val="22"/>
          <w:szCs w:val="22"/>
        </w:rPr>
        <w:t>Kime</w:t>
      </w:r>
      <w:proofErr w:type="spellEnd"/>
      <w:r w:rsidRPr="00B64061">
        <w:rPr>
          <w:rFonts w:ascii="Calibri" w:hAnsi="Calibri" w:cs="Calibri"/>
          <w:sz w:val="22"/>
          <w:szCs w:val="22"/>
        </w:rPr>
        <w:t xml:space="preserve"> N. ‘You get some very archaic ideas of what teaching is…’: primary school teachers’ perceptions of the barriers to physically ac</w:t>
      </w:r>
      <w:r w:rsidR="004558B1" w:rsidRPr="00B64061">
        <w:rPr>
          <w:rFonts w:ascii="Calibri" w:hAnsi="Calibri" w:cs="Calibri"/>
          <w:sz w:val="22"/>
          <w:szCs w:val="22"/>
        </w:rPr>
        <w:t xml:space="preserve">tive learning. </w:t>
      </w:r>
      <w:r w:rsidR="004558B1" w:rsidRPr="00B64061">
        <w:rPr>
          <w:rFonts w:ascii="Calibri" w:hAnsi="Calibri" w:cs="Calibri"/>
          <w:i/>
          <w:sz w:val="22"/>
          <w:szCs w:val="22"/>
        </w:rPr>
        <w:t>Education.</w:t>
      </w:r>
      <w:r w:rsidR="004558B1" w:rsidRPr="00B64061">
        <w:rPr>
          <w:rFonts w:ascii="Calibri" w:hAnsi="Calibri" w:cs="Calibri"/>
          <w:sz w:val="22"/>
          <w:szCs w:val="22"/>
        </w:rPr>
        <w:t xml:space="preserve"> </w:t>
      </w:r>
      <w:r w:rsidR="00E3752C" w:rsidRPr="00B64061">
        <w:rPr>
          <w:rFonts w:ascii="Calibri" w:hAnsi="Calibri" w:cs="Calibri"/>
          <w:sz w:val="22"/>
          <w:szCs w:val="22"/>
        </w:rPr>
        <w:t>2018:</w:t>
      </w:r>
      <w:r w:rsidR="004558B1" w:rsidRPr="00B64061">
        <w:rPr>
          <w:rFonts w:ascii="Calibri" w:hAnsi="Calibri" w:cs="Calibri"/>
          <w:sz w:val="22"/>
          <w:szCs w:val="22"/>
        </w:rPr>
        <w:t>3-13.</w:t>
      </w:r>
    </w:p>
    <w:p w14:paraId="3FFEFE1B" w14:textId="59D442BA"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proofErr w:type="spellStart"/>
      <w:r w:rsidRPr="00B64061">
        <w:rPr>
          <w:rFonts w:ascii="Calibri" w:hAnsi="Calibri" w:cs="Calibri"/>
          <w:sz w:val="22"/>
          <w:szCs w:val="22"/>
        </w:rPr>
        <w:t>Resaland</w:t>
      </w:r>
      <w:proofErr w:type="spellEnd"/>
      <w:r w:rsidRPr="00B64061">
        <w:rPr>
          <w:rFonts w:ascii="Calibri" w:hAnsi="Calibri" w:cs="Calibri"/>
          <w:sz w:val="22"/>
          <w:szCs w:val="22"/>
        </w:rPr>
        <w:t xml:space="preserve"> GK, </w:t>
      </w:r>
      <w:proofErr w:type="spellStart"/>
      <w:r w:rsidRPr="00B64061">
        <w:rPr>
          <w:rFonts w:ascii="Calibri" w:hAnsi="Calibri" w:cs="Calibri"/>
          <w:sz w:val="22"/>
          <w:szCs w:val="22"/>
        </w:rPr>
        <w:t>Aadland</w:t>
      </w:r>
      <w:proofErr w:type="spellEnd"/>
      <w:r w:rsidRPr="00B64061">
        <w:rPr>
          <w:rFonts w:ascii="Calibri" w:hAnsi="Calibri" w:cs="Calibri"/>
          <w:sz w:val="22"/>
          <w:szCs w:val="22"/>
        </w:rPr>
        <w:t xml:space="preserve"> E, Moe VF, Aadland KN, Skrede T, Stavnsbo M, et al. Effects of physical activity on schoolchildren’s academic performance: The Active Smarter Kids (ASK) cluster-random</w:t>
      </w:r>
      <w:r w:rsidR="00E3752C" w:rsidRPr="00B64061">
        <w:rPr>
          <w:rFonts w:ascii="Calibri" w:hAnsi="Calibri" w:cs="Calibri"/>
          <w:sz w:val="22"/>
          <w:szCs w:val="22"/>
        </w:rPr>
        <w:t xml:space="preserve">ized controlled trial. </w:t>
      </w:r>
      <w:proofErr w:type="spellStart"/>
      <w:r w:rsidR="00E3752C" w:rsidRPr="00B64061">
        <w:rPr>
          <w:rFonts w:ascii="Calibri" w:hAnsi="Calibri" w:cs="Calibri"/>
          <w:i/>
          <w:sz w:val="22"/>
          <w:szCs w:val="22"/>
        </w:rPr>
        <w:t>Prev</w:t>
      </w:r>
      <w:proofErr w:type="spellEnd"/>
      <w:r w:rsidR="00E3752C" w:rsidRPr="00B64061">
        <w:rPr>
          <w:rFonts w:ascii="Calibri" w:hAnsi="Calibri" w:cs="Calibri"/>
          <w:i/>
          <w:sz w:val="22"/>
          <w:szCs w:val="22"/>
        </w:rPr>
        <w:t xml:space="preserve"> Med</w:t>
      </w:r>
      <w:r w:rsidRPr="00B64061">
        <w:rPr>
          <w:rFonts w:ascii="Calibri" w:hAnsi="Calibri" w:cs="Calibri"/>
          <w:sz w:val="22"/>
          <w:szCs w:val="22"/>
        </w:rPr>
        <w:t>. 2016;91:322–8.</w:t>
      </w:r>
    </w:p>
    <w:p w14:paraId="34672F2C" w14:textId="5D0CC32A"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Spear BA, Barlow SE, Ervin C, Ludwig DS, Saelens BE, Schetzina KE, et al. Recommendations for treatment of child and adolescent overweight and obesity. </w:t>
      </w:r>
      <w:proofErr w:type="spellStart"/>
      <w:r w:rsidRPr="00B64061">
        <w:rPr>
          <w:rFonts w:ascii="Calibri" w:hAnsi="Calibri" w:cs="Calibri"/>
          <w:i/>
          <w:sz w:val="22"/>
          <w:szCs w:val="22"/>
        </w:rPr>
        <w:t>Pediatrics</w:t>
      </w:r>
      <w:proofErr w:type="spellEnd"/>
      <w:r w:rsidR="00E3752C" w:rsidRPr="00B64061">
        <w:rPr>
          <w:rFonts w:ascii="Calibri" w:hAnsi="Calibri" w:cs="Calibri"/>
          <w:sz w:val="22"/>
          <w:szCs w:val="22"/>
        </w:rPr>
        <w:t>. 2007</w:t>
      </w:r>
      <w:r w:rsidR="004558B1" w:rsidRPr="00B64061">
        <w:rPr>
          <w:rFonts w:ascii="Calibri" w:hAnsi="Calibri" w:cs="Calibri"/>
          <w:sz w:val="22"/>
          <w:szCs w:val="22"/>
        </w:rPr>
        <w:t xml:space="preserve">;120 </w:t>
      </w:r>
      <w:proofErr w:type="spellStart"/>
      <w:r w:rsidR="004558B1" w:rsidRPr="00B64061">
        <w:rPr>
          <w:rFonts w:ascii="Calibri" w:hAnsi="Calibri" w:cs="Calibri"/>
          <w:sz w:val="22"/>
          <w:szCs w:val="22"/>
        </w:rPr>
        <w:t>Suppl</w:t>
      </w:r>
      <w:proofErr w:type="spellEnd"/>
      <w:r w:rsidR="004558B1" w:rsidRPr="00B64061">
        <w:rPr>
          <w:rFonts w:ascii="Calibri" w:hAnsi="Calibri" w:cs="Calibri"/>
          <w:sz w:val="22"/>
          <w:szCs w:val="22"/>
        </w:rPr>
        <w:t xml:space="preserve"> 4:S254–88.</w:t>
      </w:r>
    </w:p>
    <w:p w14:paraId="75896AE5" w14:textId="50B0E448"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Taylor SL, Curry WB, Knowles ZR, Noonan RJ, McGrane B, Fairclough SJ. Predictors of Segmented School Day Physical Activity and Sedentary Time in Children from a Northwest England Low-Income Community. </w:t>
      </w:r>
      <w:r w:rsidR="00E3752C" w:rsidRPr="00B64061">
        <w:rPr>
          <w:rFonts w:ascii="Calibri" w:hAnsi="Calibri" w:cs="Calibri"/>
          <w:i/>
          <w:sz w:val="22"/>
          <w:szCs w:val="22"/>
        </w:rPr>
        <w:t>Int J Environ Res Public Health</w:t>
      </w:r>
      <w:r w:rsidRPr="00B64061">
        <w:rPr>
          <w:rFonts w:ascii="Calibri" w:hAnsi="Calibri" w:cs="Calibri"/>
          <w:sz w:val="22"/>
          <w:szCs w:val="22"/>
        </w:rPr>
        <w:t xml:space="preserve">. 2017;14(5). </w:t>
      </w:r>
    </w:p>
    <w:p w14:paraId="33D6D112" w14:textId="4121D5B4"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Tremblay MS, Barnes JD, González SA, Katzmarzyk PT, Onywera VO, Reilly JJ, et al. Global Matrix 2.0: Report Card Grades on the Physical Activity of Children and Youth Comparing 38 Countri</w:t>
      </w:r>
      <w:r w:rsidR="00BA088D" w:rsidRPr="00B64061">
        <w:rPr>
          <w:rFonts w:ascii="Calibri" w:hAnsi="Calibri" w:cs="Calibri"/>
          <w:sz w:val="22"/>
          <w:szCs w:val="22"/>
        </w:rPr>
        <w:t xml:space="preserve">es. </w:t>
      </w:r>
      <w:r w:rsidR="00BA088D" w:rsidRPr="00B64061">
        <w:rPr>
          <w:rFonts w:ascii="Calibri" w:hAnsi="Calibri" w:cs="Calibri"/>
          <w:i/>
          <w:sz w:val="22"/>
          <w:szCs w:val="22"/>
        </w:rPr>
        <w:t>J Phys Act Health</w:t>
      </w:r>
      <w:r w:rsidRPr="00B64061">
        <w:rPr>
          <w:rFonts w:ascii="Calibri" w:hAnsi="Calibri" w:cs="Calibri"/>
          <w:i/>
          <w:sz w:val="22"/>
          <w:szCs w:val="22"/>
        </w:rPr>
        <w:t>.</w:t>
      </w:r>
      <w:r w:rsidRPr="00B64061">
        <w:rPr>
          <w:rFonts w:ascii="Calibri" w:hAnsi="Calibri" w:cs="Calibri"/>
          <w:sz w:val="22"/>
          <w:szCs w:val="22"/>
        </w:rPr>
        <w:t xml:space="preserve"> 2</w:t>
      </w:r>
      <w:r w:rsidR="00BA088D" w:rsidRPr="00B64061">
        <w:rPr>
          <w:rFonts w:ascii="Calibri" w:hAnsi="Calibri" w:cs="Calibri"/>
          <w:sz w:val="22"/>
          <w:szCs w:val="22"/>
        </w:rPr>
        <w:t>016</w:t>
      </w:r>
      <w:r w:rsidR="004558B1" w:rsidRPr="00B64061">
        <w:rPr>
          <w:rFonts w:ascii="Calibri" w:hAnsi="Calibri" w:cs="Calibri"/>
          <w:sz w:val="22"/>
          <w:szCs w:val="22"/>
        </w:rPr>
        <w:t xml:space="preserve">;13(11 </w:t>
      </w:r>
      <w:proofErr w:type="spellStart"/>
      <w:r w:rsidR="004558B1" w:rsidRPr="00B64061">
        <w:rPr>
          <w:rFonts w:ascii="Calibri" w:hAnsi="Calibri" w:cs="Calibri"/>
          <w:sz w:val="22"/>
          <w:szCs w:val="22"/>
        </w:rPr>
        <w:t>Suppl</w:t>
      </w:r>
      <w:proofErr w:type="spellEnd"/>
      <w:r w:rsidR="004558B1" w:rsidRPr="00B64061">
        <w:rPr>
          <w:rFonts w:ascii="Calibri" w:hAnsi="Calibri" w:cs="Calibri"/>
          <w:sz w:val="22"/>
          <w:szCs w:val="22"/>
        </w:rPr>
        <w:t xml:space="preserve"> 2):S343–66.</w:t>
      </w:r>
    </w:p>
    <w:p w14:paraId="531F7F5F" w14:textId="00961C2B"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Tremblay MS, Warburton DER, Janssen I, Paterson DH, Latimer AE, Rhodes RE, et al. New Canadian physical activity guid</w:t>
      </w:r>
      <w:r w:rsidR="00E3752C" w:rsidRPr="00B64061">
        <w:rPr>
          <w:rFonts w:ascii="Calibri" w:hAnsi="Calibri" w:cs="Calibri"/>
          <w:sz w:val="22"/>
          <w:szCs w:val="22"/>
        </w:rPr>
        <w:t xml:space="preserve">elines. </w:t>
      </w:r>
      <w:proofErr w:type="spellStart"/>
      <w:r w:rsidR="00E3752C" w:rsidRPr="00B64061">
        <w:rPr>
          <w:rFonts w:ascii="Calibri" w:hAnsi="Calibri" w:cs="Calibri"/>
          <w:i/>
          <w:sz w:val="22"/>
          <w:szCs w:val="22"/>
        </w:rPr>
        <w:t>Appl</w:t>
      </w:r>
      <w:proofErr w:type="spellEnd"/>
      <w:r w:rsidR="00E3752C" w:rsidRPr="00B64061">
        <w:rPr>
          <w:rFonts w:ascii="Calibri" w:hAnsi="Calibri" w:cs="Calibri"/>
          <w:i/>
          <w:sz w:val="22"/>
          <w:szCs w:val="22"/>
        </w:rPr>
        <w:t xml:space="preserve"> </w:t>
      </w:r>
      <w:proofErr w:type="spellStart"/>
      <w:r w:rsidR="00E3752C" w:rsidRPr="00B64061">
        <w:rPr>
          <w:rFonts w:ascii="Calibri" w:hAnsi="Calibri" w:cs="Calibri"/>
          <w:i/>
          <w:sz w:val="22"/>
          <w:szCs w:val="22"/>
        </w:rPr>
        <w:t>Physiol</w:t>
      </w:r>
      <w:proofErr w:type="spellEnd"/>
      <w:r w:rsidR="00E3752C" w:rsidRPr="00B64061">
        <w:rPr>
          <w:rFonts w:ascii="Calibri" w:hAnsi="Calibri" w:cs="Calibri"/>
          <w:i/>
          <w:sz w:val="22"/>
          <w:szCs w:val="22"/>
        </w:rPr>
        <w:t xml:space="preserve"> </w:t>
      </w:r>
      <w:proofErr w:type="spellStart"/>
      <w:r w:rsidR="00E3752C" w:rsidRPr="00B64061">
        <w:rPr>
          <w:rFonts w:ascii="Calibri" w:hAnsi="Calibri" w:cs="Calibri"/>
          <w:i/>
          <w:sz w:val="22"/>
          <w:szCs w:val="22"/>
        </w:rPr>
        <w:t>Nutr</w:t>
      </w:r>
      <w:proofErr w:type="spellEnd"/>
      <w:r w:rsidR="00E3752C" w:rsidRPr="00B64061">
        <w:rPr>
          <w:rFonts w:ascii="Calibri" w:hAnsi="Calibri" w:cs="Calibri"/>
          <w:i/>
          <w:sz w:val="22"/>
          <w:szCs w:val="22"/>
        </w:rPr>
        <w:t xml:space="preserve"> </w:t>
      </w:r>
      <w:proofErr w:type="spellStart"/>
      <w:r w:rsidR="00E3752C" w:rsidRPr="00B64061">
        <w:rPr>
          <w:rFonts w:ascii="Calibri" w:hAnsi="Calibri" w:cs="Calibri"/>
          <w:i/>
          <w:sz w:val="22"/>
          <w:szCs w:val="22"/>
        </w:rPr>
        <w:t>Metab</w:t>
      </w:r>
      <w:proofErr w:type="spellEnd"/>
      <w:r w:rsidR="00E3752C" w:rsidRPr="00B64061">
        <w:rPr>
          <w:rFonts w:ascii="Calibri" w:hAnsi="Calibri" w:cs="Calibri"/>
          <w:sz w:val="22"/>
          <w:szCs w:val="22"/>
        </w:rPr>
        <w:t>. 2011</w:t>
      </w:r>
      <w:r w:rsidRPr="00B64061">
        <w:rPr>
          <w:rFonts w:ascii="Calibri" w:hAnsi="Calibri" w:cs="Calibri"/>
          <w:sz w:val="22"/>
          <w:szCs w:val="22"/>
        </w:rPr>
        <w:t xml:space="preserve">;36(1):36–46; 47–58. </w:t>
      </w:r>
    </w:p>
    <w:p w14:paraId="24565B25" w14:textId="257F76B5" w:rsidR="00FF3E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t xml:space="preserve">U.S. Department of Health and Human Services. 2008 </w:t>
      </w:r>
      <w:r w:rsidRPr="00B64061">
        <w:rPr>
          <w:rFonts w:ascii="Calibri" w:hAnsi="Calibri" w:cs="Calibri"/>
          <w:i/>
          <w:sz w:val="22"/>
          <w:szCs w:val="22"/>
        </w:rPr>
        <w:t xml:space="preserve">Physical Activity Guidelines </w:t>
      </w:r>
      <w:r w:rsidR="00BA088D" w:rsidRPr="00B64061">
        <w:rPr>
          <w:rFonts w:ascii="Calibri" w:hAnsi="Calibri" w:cs="Calibri"/>
          <w:i/>
          <w:sz w:val="22"/>
          <w:szCs w:val="22"/>
        </w:rPr>
        <w:t>f</w:t>
      </w:r>
      <w:r w:rsidRPr="00B64061">
        <w:rPr>
          <w:rFonts w:ascii="Calibri" w:hAnsi="Calibri" w:cs="Calibri"/>
          <w:i/>
          <w:sz w:val="22"/>
          <w:szCs w:val="22"/>
        </w:rPr>
        <w:t xml:space="preserve">or Americans. Be Active, Healthy </w:t>
      </w:r>
      <w:r w:rsidR="00BA088D" w:rsidRPr="00B64061">
        <w:rPr>
          <w:rFonts w:ascii="Calibri" w:hAnsi="Calibri" w:cs="Calibri"/>
          <w:i/>
          <w:sz w:val="22"/>
          <w:szCs w:val="22"/>
        </w:rPr>
        <w:t>a</w:t>
      </w:r>
      <w:r w:rsidRPr="00B64061">
        <w:rPr>
          <w:rFonts w:ascii="Calibri" w:hAnsi="Calibri" w:cs="Calibri"/>
          <w:i/>
          <w:sz w:val="22"/>
          <w:szCs w:val="22"/>
        </w:rPr>
        <w:t>nd Happy!</w:t>
      </w:r>
      <w:r w:rsidRPr="00B64061">
        <w:rPr>
          <w:rFonts w:ascii="Calibri" w:hAnsi="Calibri" w:cs="Calibri"/>
          <w:sz w:val="22"/>
          <w:szCs w:val="22"/>
        </w:rPr>
        <w:t xml:space="preserve"> U.S: Centers for Disease Control and Prevention.; 2008.</w:t>
      </w:r>
    </w:p>
    <w:p w14:paraId="0D9273EC" w14:textId="7908807B" w:rsidR="007860CA" w:rsidRPr="00B64061" w:rsidRDefault="00FF3ECA" w:rsidP="004558B1">
      <w:pPr>
        <w:pStyle w:val="NormalWeb"/>
        <w:numPr>
          <w:ilvl w:val="0"/>
          <w:numId w:val="5"/>
        </w:numPr>
        <w:spacing w:before="120" w:beforeAutospacing="0" w:after="120" w:afterAutospacing="0" w:line="480" w:lineRule="auto"/>
        <w:jc w:val="both"/>
        <w:textAlignment w:val="baseline"/>
        <w:rPr>
          <w:rFonts w:ascii="Calibri" w:hAnsi="Calibri" w:cs="Calibri"/>
          <w:sz w:val="22"/>
          <w:szCs w:val="22"/>
        </w:rPr>
      </w:pPr>
      <w:r w:rsidRPr="00B64061">
        <w:rPr>
          <w:rFonts w:ascii="Calibri" w:hAnsi="Calibri" w:cs="Calibri"/>
          <w:sz w:val="22"/>
          <w:szCs w:val="22"/>
        </w:rPr>
        <w:lastRenderedPageBreak/>
        <w:t xml:space="preserve">Watson A, Timperio A, Brown H, Best K, </w:t>
      </w:r>
      <w:proofErr w:type="spellStart"/>
      <w:r w:rsidRPr="00B64061">
        <w:rPr>
          <w:rFonts w:ascii="Calibri" w:hAnsi="Calibri" w:cs="Calibri"/>
          <w:sz w:val="22"/>
          <w:szCs w:val="22"/>
        </w:rPr>
        <w:t>Hesketh</w:t>
      </w:r>
      <w:proofErr w:type="spellEnd"/>
      <w:r w:rsidRPr="00B64061">
        <w:rPr>
          <w:rFonts w:ascii="Calibri" w:hAnsi="Calibri" w:cs="Calibri"/>
          <w:sz w:val="22"/>
          <w:szCs w:val="22"/>
        </w:rPr>
        <w:t xml:space="preserve"> KD. Effect of classroom-based physical activity interventions on academic and physical activity outcomes: a systematic review and meta-analysi</w:t>
      </w:r>
      <w:r w:rsidR="00BA088D" w:rsidRPr="00B64061">
        <w:rPr>
          <w:rFonts w:ascii="Calibri" w:hAnsi="Calibri" w:cs="Calibri"/>
          <w:sz w:val="22"/>
          <w:szCs w:val="22"/>
        </w:rPr>
        <w:t xml:space="preserve">s. </w:t>
      </w:r>
      <w:proofErr w:type="spellStart"/>
      <w:r w:rsidR="00BA088D" w:rsidRPr="00B64061">
        <w:rPr>
          <w:rFonts w:ascii="Calibri" w:hAnsi="Calibri" w:cs="Calibri"/>
          <w:i/>
          <w:sz w:val="22"/>
          <w:szCs w:val="22"/>
        </w:rPr>
        <w:t>Int</w:t>
      </w:r>
      <w:proofErr w:type="spellEnd"/>
      <w:r w:rsidR="00BA088D" w:rsidRPr="00B64061">
        <w:rPr>
          <w:rFonts w:ascii="Calibri" w:hAnsi="Calibri" w:cs="Calibri"/>
          <w:i/>
          <w:sz w:val="22"/>
          <w:szCs w:val="22"/>
        </w:rPr>
        <w:t xml:space="preserve"> J </w:t>
      </w:r>
      <w:proofErr w:type="spellStart"/>
      <w:r w:rsidR="00BA088D" w:rsidRPr="00B64061">
        <w:rPr>
          <w:rFonts w:ascii="Calibri" w:hAnsi="Calibri" w:cs="Calibri"/>
          <w:i/>
          <w:sz w:val="22"/>
          <w:szCs w:val="22"/>
        </w:rPr>
        <w:t>Behav</w:t>
      </w:r>
      <w:proofErr w:type="spellEnd"/>
      <w:r w:rsidR="00BA088D" w:rsidRPr="00B64061">
        <w:rPr>
          <w:rFonts w:ascii="Calibri" w:hAnsi="Calibri" w:cs="Calibri"/>
          <w:i/>
          <w:sz w:val="22"/>
          <w:szCs w:val="22"/>
        </w:rPr>
        <w:t xml:space="preserve"> </w:t>
      </w:r>
      <w:proofErr w:type="spellStart"/>
      <w:r w:rsidR="00BA088D" w:rsidRPr="00B64061">
        <w:rPr>
          <w:rFonts w:ascii="Calibri" w:hAnsi="Calibri" w:cs="Calibri"/>
          <w:i/>
          <w:sz w:val="22"/>
          <w:szCs w:val="22"/>
        </w:rPr>
        <w:t>Nutr</w:t>
      </w:r>
      <w:proofErr w:type="spellEnd"/>
      <w:r w:rsidR="00BA088D" w:rsidRPr="00B64061">
        <w:rPr>
          <w:rFonts w:ascii="Calibri" w:hAnsi="Calibri" w:cs="Calibri"/>
          <w:i/>
          <w:sz w:val="22"/>
          <w:szCs w:val="22"/>
        </w:rPr>
        <w:t xml:space="preserve"> Phys Act.</w:t>
      </w:r>
      <w:r w:rsidR="00BA088D" w:rsidRPr="00B64061">
        <w:rPr>
          <w:rFonts w:ascii="Calibri" w:hAnsi="Calibri" w:cs="Calibri"/>
          <w:sz w:val="22"/>
          <w:szCs w:val="22"/>
        </w:rPr>
        <w:t xml:space="preserve"> 2017</w:t>
      </w:r>
      <w:r w:rsidR="004558B1" w:rsidRPr="00B64061">
        <w:rPr>
          <w:rFonts w:ascii="Calibri" w:hAnsi="Calibri" w:cs="Calibri"/>
          <w:sz w:val="22"/>
          <w:szCs w:val="22"/>
        </w:rPr>
        <w:t>;14(1):114.</w:t>
      </w:r>
      <w:r w:rsidR="007860CA" w:rsidRPr="00B64061">
        <w:rPr>
          <w:i/>
        </w:rPr>
        <w:br w:type="page"/>
      </w:r>
    </w:p>
    <w:p w14:paraId="4675E120" w14:textId="77777777" w:rsidR="007860CA" w:rsidRPr="00B64061" w:rsidRDefault="007860CA" w:rsidP="007860CA">
      <w:pPr>
        <w:spacing w:after="0" w:line="480" w:lineRule="auto"/>
      </w:pPr>
      <w:r w:rsidRPr="00B64061">
        <w:rPr>
          <w:i/>
        </w:rPr>
        <w:lastRenderedPageBreak/>
        <w:t>Table 1:  Descriptive characteristics of the intervention and control conditions.</w:t>
      </w:r>
    </w:p>
    <w:tbl>
      <w:tblPr>
        <w:tblStyle w:val="a"/>
        <w:tblW w:w="8055" w:type="dxa"/>
        <w:jc w:val="center"/>
        <w:tblBorders>
          <w:top w:val="nil"/>
          <w:left w:val="nil"/>
          <w:bottom w:val="nil"/>
          <w:right w:val="nil"/>
          <w:insideH w:val="nil"/>
          <w:insideV w:val="nil"/>
        </w:tblBorders>
        <w:tblLayout w:type="fixed"/>
        <w:tblLook w:val="0600" w:firstRow="0" w:lastRow="0" w:firstColumn="0" w:lastColumn="0" w:noHBand="1" w:noVBand="1"/>
      </w:tblPr>
      <w:tblGrid>
        <w:gridCol w:w="2880"/>
        <w:gridCol w:w="1995"/>
        <w:gridCol w:w="1590"/>
        <w:gridCol w:w="1590"/>
      </w:tblGrid>
      <w:tr w:rsidR="00B64061" w:rsidRPr="00B64061" w14:paraId="7579E0DC" w14:textId="77777777" w:rsidTr="00DA5EA0">
        <w:trPr>
          <w:trHeight w:val="500"/>
          <w:jc w:val="center"/>
        </w:trPr>
        <w:tc>
          <w:tcPr>
            <w:tcW w:w="2880" w:type="dxa"/>
            <w:tcBorders>
              <w:top w:val="single" w:sz="12" w:space="0" w:color="auto"/>
              <w:bottom w:val="single" w:sz="12" w:space="0" w:color="auto"/>
            </w:tcBorders>
            <w:shd w:val="clear" w:color="auto" w:fill="FFFFFF"/>
            <w:tcMar>
              <w:top w:w="100" w:type="dxa"/>
              <w:left w:w="100" w:type="dxa"/>
              <w:bottom w:w="100" w:type="dxa"/>
              <w:right w:w="100" w:type="dxa"/>
            </w:tcMar>
            <w:vAlign w:val="center"/>
          </w:tcPr>
          <w:p w14:paraId="334A71E6" w14:textId="77777777" w:rsidR="007860CA" w:rsidRPr="00B64061" w:rsidRDefault="007860CA" w:rsidP="007860CA">
            <w:pPr>
              <w:spacing w:line="480" w:lineRule="auto"/>
              <w:ind w:firstLine="720"/>
            </w:pPr>
          </w:p>
        </w:tc>
        <w:tc>
          <w:tcPr>
            <w:tcW w:w="1995" w:type="dxa"/>
            <w:tcBorders>
              <w:top w:val="single" w:sz="12" w:space="0" w:color="auto"/>
              <w:bottom w:val="single" w:sz="12" w:space="0" w:color="auto"/>
            </w:tcBorders>
            <w:shd w:val="clear" w:color="auto" w:fill="FFFFFF"/>
            <w:tcMar>
              <w:top w:w="100" w:type="dxa"/>
              <w:left w:w="100" w:type="dxa"/>
              <w:bottom w:w="100" w:type="dxa"/>
              <w:right w:w="100" w:type="dxa"/>
            </w:tcMar>
            <w:vAlign w:val="center"/>
          </w:tcPr>
          <w:p w14:paraId="4A006643" w14:textId="77777777" w:rsidR="007860CA" w:rsidRPr="00B64061" w:rsidRDefault="007860CA" w:rsidP="007860CA">
            <w:pPr>
              <w:spacing w:after="0" w:line="480" w:lineRule="auto"/>
              <w:jc w:val="left"/>
            </w:pPr>
            <w:r w:rsidRPr="00B64061">
              <w:t>Intervention (n=52)</w:t>
            </w:r>
          </w:p>
        </w:tc>
        <w:tc>
          <w:tcPr>
            <w:tcW w:w="1590" w:type="dxa"/>
            <w:tcBorders>
              <w:top w:val="single" w:sz="12" w:space="0" w:color="auto"/>
              <w:bottom w:val="single" w:sz="12" w:space="0" w:color="auto"/>
            </w:tcBorders>
            <w:shd w:val="clear" w:color="auto" w:fill="FFFFFF"/>
            <w:tcMar>
              <w:top w:w="100" w:type="dxa"/>
              <w:left w:w="100" w:type="dxa"/>
              <w:bottom w:w="100" w:type="dxa"/>
              <w:right w:w="100" w:type="dxa"/>
            </w:tcMar>
            <w:vAlign w:val="center"/>
          </w:tcPr>
          <w:p w14:paraId="0C5FECCA" w14:textId="77777777" w:rsidR="007860CA" w:rsidRPr="00B64061" w:rsidRDefault="007860CA" w:rsidP="007860CA">
            <w:pPr>
              <w:spacing w:after="0" w:line="480" w:lineRule="auto"/>
              <w:jc w:val="left"/>
            </w:pPr>
            <w:r w:rsidRPr="00B64061">
              <w:t>Control (n=31)</w:t>
            </w:r>
          </w:p>
        </w:tc>
        <w:tc>
          <w:tcPr>
            <w:tcW w:w="1590" w:type="dxa"/>
            <w:tcBorders>
              <w:top w:val="single" w:sz="12" w:space="0" w:color="auto"/>
              <w:bottom w:val="single" w:sz="12" w:space="0" w:color="auto"/>
            </w:tcBorders>
            <w:shd w:val="clear" w:color="auto" w:fill="FFFFFF"/>
            <w:tcMar>
              <w:top w:w="100" w:type="dxa"/>
              <w:left w:w="100" w:type="dxa"/>
              <w:bottom w:w="100" w:type="dxa"/>
              <w:right w:w="100" w:type="dxa"/>
            </w:tcMar>
            <w:vAlign w:val="center"/>
          </w:tcPr>
          <w:p w14:paraId="570BA9B1" w14:textId="77777777" w:rsidR="007860CA" w:rsidRPr="00B64061" w:rsidRDefault="007860CA" w:rsidP="007860CA">
            <w:pPr>
              <w:spacing w:after="0" w:line="480" w:lineRule="auto"/>
              <w:jc w:val="center"/>
              <w:rPr>
                <w:i/>
              </w:rPr>
            </w:pPr>
            <w:r w:rsidRPr="00B64061">
              <w:rPr>
                <w:i/>
              </w:rPr>
              <w:t>p</w:t>
            </w:r>
          </w:p>
        </w:tc>
      </w:tr>
      <w:tr w:rsidR="00B64061" w:rsidRPr="00B64061" w14:paraId="52229AB7" w14:textId="77777777" w:rsidTr="00DA5EA0">
        <w:trPr>
          <w:trHeight w:val="500"/>
          <w:jc w:val="center"/>
        </w:trPr>
        <w:tc>
          <w:tcPr>
            <w:tcW w:w="2880" w:type="dxa"/>
            <w:tcBorders>
              <w:top w:val="single" w:sz="12" w:space="0" w:color="auto"/>
            </w:tcBorders>
            <w:shd w:val="clear" w:color="auto" w:fill="FFFFFF"/>
            <w:tcMar>
              <w:top w:w="100" w:type="dxa"/>
              <w:left w:w="100" w:type="dxa"/>
              <w:bottom w:w="100" w:type="dxa"/>
              <w:right w:w="100" w:type="dxa"/>
            </w:tcMar>
            <w:vAlign w:val="center"/>
          </w:tcPr>
          <w:p w14:paraId="5FB457E6" w14:textId="77777777" w:rsidR="007860CA" w:rsidRPr="00B64061" w:rsidRDefault="007860CA" w:rsidP="007860CA">
            <w:pPr>
              <w:spacing w:after="0" w:line="480" w:lineRule="auto"/>
              <w:jc w:val="left"/>
            </w:pPr>
            <w:r w:rsidRPr="00B64061">
              <w:t>Gender (Girls/Boys)</w:t>
            </w:r>
          </w:p>
        </w:tc>
        <w:tc>
          <w:tcPr>
            <w:tcW w:w="1995" w:type="dxa"/>
            <w:tcBorders>
              <w:top w:val="single" w:sz="12" w:space="0" w:color="auto"/>
            </w:tcBorders>
            <w:shd w:val="clear" w:color="auto" w:fill="FFFFFF"/>
            <w:tcMar>
              <w:top w:w="100" w:type="dxa"/>
              <w:left w:w="100" w:type="dxa"/>
              <w:bottom w:w="100" w:type="dxa"/>
              <w:right w:w="100" w:type="dxa"/>
            </w:tcMar>
            <w:vAlign w:val="center"/>
          </w:tcPr>
          <w:p w14:paraId="249CF5B0" w14:textId="77777777" w:rsidR="007860CA" w:rsidRPr="00B64061" w:rsidRDefault="007860CA" w:rsidP="007860CA">
            <w:pPr>
              <w:spacing w:after="0" w:line="480" w:lineRule="auto"/>
              <w:jc w:val="center"/>
            </w:pPr>
            <w:r w:rsidRPr="00B64061">
              <w:t>31 / 21</w:t>
            </w:r>
          </w:p>
        </w:tc>
        <w:tc>
          <w:tcPr>
            <w:tcW w:w="1590" w:type="dxa"/>
            <w:tcBorders>
              <w:top w:val="single" w:sz="12" w:space="0" w:color="auto"/>
            </w:tcBorders>
            <w:shd w:val="clear" w:color="auto" w:fill="FFFFFF"/>
            <w:tcMar>
              <w:top w:w="100" w:type="dxa"/>
              <w:left w:w="100" w:type="dxa"/>
              <w:bottom w:w="100" w:type="dxa"/>
              <w:right w:w="100" w:type="dxa"/>
            </w:tcMar>
            <w:vAlign w:val="center"/>
          </w:tcPr>
          <w:p w14:paraId="348A2054" w14:textId="77777777" w:rsidR="007860CA" w:rsidRPr="00B64061" w:rsidRDefault="007860CA" w:rsidP="007860CA">
            <w:pPr>
              <w:spacing w:after="0" w:line="480" w:lineRule="auto"/>
              <w:jc w:val="center"/>
            </w:pPr>
            <w:r w:rsidRPr="00B64061">
              <w:t>18 / 13</w:t>
            </w:r>
          </w:p>
        </w:tc>
        <w:tc>
          <w:tcPr>
            <w:tcW w:w="1590" w:type="dxa"/>
            <w:tcBorders>
              <w:top w:val="single" w:sz="12" w:space="0" w:color="auto"/>
            </w:tcBorders>
            <w:shd w:val="clear" w:color="auto" w:fill="FFFFFF"/>
            <w:tcMar>
              <w:top w:w="100" w:type="dxa"/>
              <w:left w:w="100" w:type="dxa"/>
              <w:bottom w:w="100" w:type="dxa"/>
              <w:right w:w="100" w:type="dxa"/>
            </w:tcMar>
            <w:vAlign w:val="center"/>
          </w:tcPr>
          <w:p w14:paraId="3207039E" w14:textId="77777777" w:rsidR="007860CA" w:rsidRPr="00B64061" w:rsidRDefault="007860CA" w:rsidP="007860CA">
            <w:pPr>
              <w:spacing w:after="0" w:line="480" w:lineRule="auto"/>
              <w:jc w:val="center"/>
            </w:pPr>
          </w:p>
        </w:tc>
      </w:tr>
      <w:tr w:rsidR="00B64061" w:rsidRPr="00B64061" w14:paraId="134CF6E1" w14:textId="77777777" w:rsidTr="00FD6311">
        <w:trPr>
          <w:trHeight w:val="480"/>
          <w:jc w:val="center"/>
        </w:trPr>
        <w:tc>
          <w:tcPr>
            <w:tcW w:w="2880" w:type="dxa"/>
            <w:shd w:val="clear" w:color="auto" w:fill="FFFFFF"/>
            <w:tcMar>
              <w:top w:w="100" w:type="dxa"/>
              <w:left w:w="100" w:type="dxa"/>
              <w:bottom w:w="100" w:type="dxa"/>
              <w:right w:w="100" w:type="dxa"/>
            </w:tcMar>
            <w:vAlign w:val="center"/>
          </w:tcPr>
          <w:p w14:paraId="149641EA" w14:textId="77777777" w:rsidR="007860CA" w:rsidRPr="00B64061" w:rsidRDefault="007860CA" w:rsidP="007860CA">
            <w:pPr>
              <w:spacing w:after="0" w:line="480" w:lineRule="auto"/>
              <w:jc w:val="left"/>
            </w:pPr>
            <w:r w:rsidRPr="00B64061">
              <w:t>Age</w:t>
            </w:r>
          </w:p>
        </w:tc>
        <w:tc>
          <w:tcPr>
            <w:tcW w:w="1995" w:type="dxa"/>
            <w:shd w:val="clear" w:color="auto" w:fill="FFFFFF"/>
            <w:tcMar>
              <w:top w:w="100" w:type="dxa"/>
              <w:left w:w="100" w:type="dxa"/>
              <w:bottom w:w="100" w:type="dxa"/>
              <w:right w:w="100" w:type="dxa"/>
            </w:tcMar>
            <w:vAlign w:val="center"/>
          </w:tcPr>
          <w:p w14:paraId="636B62E8" w14:textId="77777777" w:rsidR="007860CA" w:rsidRPr="00B64061" w:rsidRDefault="007860CA" w:rsidP="007860CA">
            <w:pPr>
              <w:spacing w:after="0" w:line="480" w:lineRule="auto"/>
              <w:jc w:val="center"/>
            </w:pPr>
            <w:r w:rsidRPr="00B64061">
              <w:t>9.92 (0.34)</w:t>
            </w:r>
          </w:p>
        </w:tc>
        <w:tc>
          <w:tcPr>
            <w:tcW w:w="1590" w:type="dxa"/>
            <w:shd w:val="clear" w:color="auto" w:fill="FFFFFF"/>
            <w:tcMar>
              <w:top w:w="100" w:type="dxa"/>
              <w:left w:w="100" w:type="dxa"/>
              <w:bottom w:w="100" w:type="dxa"/>
              <w:right w:w="100" w:type="dxa"/>
            </w:tcMar>
            <w:vAlign w:val="center"/>
          </w:tcPr>
          <w:p w14:paraId="29BE4143" w14:textId="77777777" w:rsidR="007860CA" w:rsidRPr="00B64061" w:rsidRDefault="007860CA" w:rsidP="007860CA">
            <w:pPr>
              <w:spacing w:after="0" w:line="480" w:lineRule="auto"/>
              <w:jc w:val="center"/>
            </w:pPr>
            <w:r w:rsidRPr="00B64061">
              <w:t>9.95 (0.26)</w:t>
            </w:r>
          </w:p>
        </w:tc>
        <w:tc>
          <w:tcPr>
            <w:tcW w:w="1590" w:type="dxa"/>
            <w:shd w:val="clear" w:color="auto" w:fill="FFFFFF"/>
            <w:tcMar>
              <w:top w:w="100" w:type="dxa"/>
              <w:left w:w="100" w:type="dxa"/>
              <w:bottom w:w="100" w:type="dxa"/>
              <w:right w:w="100" w:type="dxa"/>
            </w:tcMar>
            <w:vAlign w:val="center"/>
          </w:tcPr>
          <w:p w14:paraId="02DA7F29" w14:textId="77777777" w:rsidR="007860CA" w:rsidRPr="00B64061" w:rsidRDefault="007860CA" w:rsidP="007860CA">
            <w:pPr>
              <w:spacing w:after="0" w:line="480" w:lineRule="auto"/>
              <w:jc w:val="center"/>
            </w:pPr>
            <w:r w:rsidRPr="00B64061">
              <w:t>0.69</w:t>
            </w:r>
          </w:p>
        </w:tc>
      </w:tr>
      <w:tr w:rsidR="00B64061" w:rsidRPr="00B64061" w14:paraId="3A58EFD1" w14:textId="77777777" w:rsidTr="00FD6311">
        <w:trPr>
          <w:trHeight w:val="480"/>
          <w:jc w:val="center"/>
        </w:trPr>
        <w:tc>
          <w:tcPr>
            <w:tcW w:w="2880" w:type="dxa"/>
            <w:shd w:val="clear" w:color="auto" w:fill="FFFFFF"/>
            <w:tcMar>
              <w:top w:w="100" w:type="dxa"/>
              <w:left w:w="100" w:type="dxa"/>
              <w:bottom w:w="100" w:type="dxa"/>
              <w:right w:w="100" w:type="dxa"/>
            </w:tcMar>
            <w:vAlign w:val="center"/>
          </w:tcPr>
          <w:p w14:paraId="0AA7C4F3" w14:textId="77777777" w:rsidR="007860CA" w:rsidRPr="00B64061" w:rsidRDefault="007860CA" w:rsidP="007860CA">
            <w:pPr>
              <w:spacing w:after="0" w:line="480" w:lineRule="auto"/>
              <w:jc w:val="left"/>
            </w:pPr>
            <w:r w:rsidRPr="00B64061">
              <w:t>Maturity Offset</w:t>
            </w:r>
          </w:p>
        </w:tc>
        <w:tc>
          <w:tcPr>
            <w:tcW w:w="1995" w:type="dxa"/>
            <w:shd w:val="clear" w:color="auto" w:fill="FFFFFF"/>
            <w:tcMar>
              <w:top w:w="100" w:type="dxa"/>
              <w:left w:w="100" w:type="dxa"/>
              <w:bottom w:w="100" w:type="dxa"/>
              <w:right w:w="100" w:type="dxa"/>
            </w:tcMar>
            <w:vAlign w:val="center"/>
          </w:tcPr>
          <w:p w14:paraId="613B5306" w14:textId="77777777" w:rsidR="007860CA" w:rsidRPr="00B64061" w:rsidRDefault="007860CA" w:rsidP="007860CA">
            <w:pPr>
              <w:spacing w:after="0" w:line="480" w:lineRule="auto"/>
              <w:jc w:val="center"/>
            </w:pPr>
            <w:r w:rsidRPr="00B64061">
              <w:t>-2.23 (0.66)</w:t>
            </w:r>
          </w:p>
        </w:tc>
        <w:tc>
          <w:tcPr>
            <w:tcW w:w="1590" w:type="dxa"/>
            <w:shd w:val="clear" w:color="auto" w:fill="FFFFFF"/>
            <w:tcMar>
              <w:top w:w="100" w:type="dxa"/>
              <w:left w:w="100" w:type="dxa"/>
              <w:bottom w:w="100" w:type="dxa"/>
              <w:right w:w="100" w:type="dxa"/>
            </w:tcMar>
            <w:vAlign w:val="center"/>
          </w:tcPr>
          <w:p w14:paraId="3BED0896" w14:textId="77777777" w:rsidR="007860CA" w:rsidRPr="00B64061" w:rsidRDefault="007860CA" w:rsidP="007860CA">
            <w:pPr>
              <w:spacing w:after="0" w:line="480" w:lineRule="auto"/>
              <w:jc w:val="center"/>
            </w:pPr>
            <w:r w:rsidRPr="00B64061">
              <w:t>-2.29 (0.67)</w:t>
            </w:r>
          </w:p>
        </w:tc>
        <w:tc>
          <w:tcPr>
            <w:tcW w:w="1590" w:type="dxa"/>
            <w:shd w:val="clear" w:color="auto" w:fill="FFFFFF"/>
            <w:tcMar>
              <w:top w:w="100" w:type="dxa"/>
              <w:left w:w="100" w:type="dxa"/>
              <w:bottom w:w="100" w:type="dxa"/>
              <w:right w:w="100" w:type="dxa"/>
            </w:tcMar>
            <w:vAlign w:val="center"/>
          </w:tcPr>
          <w:p w14:paraId="0F6F428E" w14:textId="77777777" w:rsidR="007860CA" w:rsidRPr="00B64061" w:rsidRDefault="007860CA" w:rsidP="007860CA">
            <w:pPr>
              <w:spacing w:after="0" w:line="480" w:lineRule="auto"/>
              <w:jc w:val="center"/>
            </w:pPr>
            <w:r w:rsidRPr="00B64061">
              <w:t>0.70</w:t>
            </w:r>
          </w:p>
        </w:tc>
      </w:tr>
      <w:tr w:rsidR="00B64061" w:rsidRPr="00B64061" w14:paraId="0C501595" w14:textId="77777777" w:rsidTr="00FD6311">
        <w:trPr>
          <w:trHeight w:val="480"/>
          <w:jc w:val="center"/>
        </w:trPr>
        <w:tc>
          <w:tcPr>
            <w:tcW w:w="2880" w:type="dxa"/>
            <w:shd w:val="clear" w:color="auto" w:fill="FFFFFF"/>
            <w:tcMar>
              <w:top w:w="100" w:type="dxa"/>
              <w:left w:w="100" w:type="dxa"/>
              <w:bottom w:w="100" w:type="dxa"/>
              <w:right w:w="100" w:type="dxa"/>
            </w:tcMar>
            <w:vAlign w:val="center"/>
          </w:tcPr>
          <w:p w14:paraId="00F5018B" w14:textId="77777777" w:rsidR="007860CA" w:rsidRPr="00B64061" w:rsidRDefault="007860CA" w:rsidP="007860CA">
            <w:pPr>
              <w:spacing w:after="0" w:line="480" w:lineRule="auto"/>
              <w:jc w:val="left"/>
            </w:pPr>
            <w:r w:rsidRPr="00B64061">
              <w:t>BMI</w:t>
            </w:r>
          </w:p>
        </w:tc>
        <w:tc>
          <w:tcPr>
            <w:tcW w:w="1995" w:type="dxa"/>
            <w:shd w:val="clear" w:color="auto" w:fill="FFFFFF"/>
            <w:tcMar>
              <w:top w:w="100" w:type="dxa"/>
              <w:left w:w="100" w:type="dxa"/>
              <w:bottom w:w="100" w:type="dxa"/>
              <w:right w:w="100" w:type="dxa"/>
            </w:tcMar>
            <w:vAlign w:val="center"/>
          </w:tcPr>
          <w:p w14:paraId="5248D217" w14:textId="77777777" w:rsidR="007860CA" w:rsidRPr="00B64061" w:rsidRDefault="007860CA" w:rsidP="007860CA">
            <w:pPr>
              <w:spacing w:after="0" w:line="480" w:lineRule="auto"/>
              <w:jc w:val="center"/>
            </w:pPr>
            <w:r w:rsidRPr="00B64061">
              <w:t>18.69 (3.47)</w:t>
            </w:r>
          </w:p>
        </w:tc>
        <w:tc>
          <w:tcPr>
            <w:tcW w:w="1590" w:type="dxa"/>
            <w:shd w:val="clear" w:color="auto" w:fill="FFFFFF"/>
            <w:tcMar>
              <w:top w:w="100" w:type="dxa"/>
              <w:left w:w="100" w:type="dxa"/>
              <w:bottom w:w="100" w:type="dxa"/>
              <w:right w:w="100" w:type="dxa"/>
            </w:tcMar>
            <w:vAlign w:val="center"/>
          </w:tcPr>
          <w:p w14:paraId="4EB096B8" w14:textId="77777777" w:rsidR="007860CA" w:rsidRPr="00B64061" w:rsidRDefault="007860CA" w:rsidP="007860CA">
            <w:pPr>
              <w:spacing w:after="0" w:line="480" w:lineRule="auto"/>
              <w:jc w:val="center"/>
            </w:pPr>
            <w:r w:rsidRPr="00B64061">
              <w:t>17.85 (2.74)</w:t>
            </w:r>
          </w:p>
        </w:tc>
        <w:tc>
          <w:tcPr>
            <w:tcW w:w="1590" w:type="dxa"/>
            <w:shd w:val="clear" w:color="auto" w:fill="FFFFFF"/>
            <w:tcMar>
              <w:top w:w="100" w:type="dxa"/>
              <w:left w:w="100" w:type="dxa"/>
              <w:bottom w:w="100" w:type="dxa"/>
              <w:right w:w="100" w:type="dxa"/>
            </w:tcMar>
            <w:vAlign w:val="center"/>
          </w:tcPr>
          <w:p w14:paraId="6792F864" w14:textId="77777777" w:rsidR="007860CA" w:rsidRPr="00B64061" w:rsidRDefault="007860CA" w:rsidP="007860CA">
            <w:pPr>
              <w:spacing w:after="0" w:line="480" w:lineRule="auto"/>
              <w:jc w:val="center"/>
            </w:pPr>
            <w:r w:rsidRPr="00B64061">
              <w:t>0.25</w:t>
            </w:r>
          </w:p>
        </w:tc>
      </w:tr>
      <w:tr w:rsidR="00B64061" w:rsidRPr="00B64061" w14:paraId="72E0E97D" w14:textId="77777777" w:rsidTr="00FD6311">
        <w:trPr>
          <w:trHeight w:val="480"/>
          <w:jc w:val="center"/>
        </w:trPr>
        <w:tc>
          <w:tcPr>
            <w:tcW w:w="2880" w:type="dxa"/>
            <w:tcBorders>
              <w:bottom w:val="nil"/>
            </w:tcBorders>
            <w:shd w:val="clear" w:color="auto" w:fill="FFFFFF"/>
            <w:tcMar>
              <w:top w:w="100" w:type="dxa"/>
              <w:left w:w="100" w:type="dxa"/>
              <w:bottom w:w="100" w:type="dxa"/>
              <w:right w:w="100" w:type="dxa"/>
            </w:tcMar>
            <w:vAlign w:val="center"/>
          </w:tcPr>
          <w:p w14:paraId="7758B544" w14:textId="275D388F" w:rsidR="007860CA" w:rsidRPr="00B64061" w:rsidRDefault="007860CA" w:rsidP="007860CA">
            <w:pPr>
              <w:spacing w:after="0" w:line="480" w:lineRule="auto"/>
              <w:jc w:val="left"/>
            </w:pPr>
            <w:r w:rsidRPr="00B64061">
              <w:t>BMI</w:t>
            </w:r>
            <w:r w:rsidR="00261FD1" w:rsidRPr="00B64061">
              <w:t xml:space="preserve"> SDS</w:t>
            </w:r>
            <w:r w:rsidRPr="00B64061">
              <w:t xml:space="preserve"> </w:t>
            </w:r>
          </w:p>
        </w:tc>
        <w:tc>
          <w:tcPr>
            <w:tcW w:w="1995" w:type="dxa"/>
            <w:tcBorders>
              <w:bottom w:val="nil"/>
            </w:tcBorders>
            <w:shd w:val="clear" w:color="auto" w:fill="FFFFFF"/>
            <w:tcMar>
              <w:top w:w="100" w:type="dxa"/>
              <w:left w:w="100" w:type="dxa"/>
              <w:bottom w:w="100" w:type="dxa"/>
              <w:right w:w="100" w:type="dxa"/>
            </w:tcMar>
            <w:vAlign w:val="center"/>
          </w:tcPr>
          <w:p w14:paraId="212EDE20" w14:textId="77777777" w:rsidR="007860CA" w:rsidRPr="00B64061" w:rsidRDefault="007860CA" w:rsidP="007860CA">
            <w:pPr>
              <w:spacing w:after="0" w:line="480" w:lineRule="auto"/>
              <w:jc w:val="center"/>
            </w:pPr>
            <w:r w:rsidRPr="00B64061">
              <w:t>0.64 (1.13)</w:t>
            </w:r>
          </w:p>
        </w:tc>
        <w:tc>
          <w:tcPr>
            <w:tcW w:w="1590" w:type="dxa"/>
            <w:tcBorders>
              <w:bottom w:val="nil"/>
            </w:tcBorders>
            <w:shd w:val="clear" w:color="auto" w:fill="FFFFFF"/>
            <w:tcMar>
              <w:top w:w="100" w:type="dxa"/>
              <w:left w:w="100" w:type="dxa"/>
              <w:bottom w:w="100" w:type="dxa"/>
              <w:right w:w="100" w:type="dxa"/>
            </w:tcMar>
            <w:vAlign w:val="center"/>
          </w:tcPr>
          <w:p w14:paraId="1E0C452C" w14:textId="77777777" w:rsidR="007860CA" w:rsidRPr="00B64061" w:rsidRDefault="007860CA" w:rsidP="007860CA">
            <w:pPr>
              <w:spacing w:after="0" w:line="480" w:lineRule="auto"/>
              <w:jc w:val="center"/>
            </w:pPr>
            <w:r w:rsidRPr="00B64061">
              <w:t>0.37 (1.11)</w:t>
            </w:r>
          </w:p>
        </w:tc>
        <w:tc>
          <w:tcPr>
            <w:tcW w:w="1590" w:type="dxa"/>
            <w:tcBorders>
              <w:bottom w:val="nil"/>
            </w:tcBorders>
            <w:shd w:val="clear" w:color="auto" w:fill="FFFFFF"/>
            <w:tcMar>
              <w:top w:w="100" w:type="dxa"/>
              <w:left w:w="100" w:type="dxa"/>
              <w:bottom w:w="100" w:type="dxa"/>
              <w:right w:w="100" w:type="dxa"/>
            </w:tcMar>
            <w:vAlign w:val="center"/>
          </w:tcPr>
          <w:p w14:paraId="57C670C4" w14:textId="77777777" w:rsidR="007860CA" w:rsidRPr="00B64061" w:rsidRDefault="007860CA" w:rsidP="007860CA">
            <w:pPr>
              <w:spacing w:after="0" w:line="480" w:lineRule="auto"/>
              <w:jc w:val="center"/>
            </w:pPr>
            <w:r w:rsidRPr="00B64061">
              <w:t>0.29</w:t>
            </w:r>
          </w:p>
        </w:tc>
      </w:tr>
      <w:tr w:rsidR="00B64061" w:rsidRPr="00B64061" w14:paraId="459759B4" w14:textId="77777777" w:rsidTr="00FD6311">
        <w:trPr>
          <w:trHeight w:val="580"/>
          <w:jc w:val="center"/>
        </w:trPr>
        <w:tc>
          <w:tcPr>
            <w:tcW w:w="2880" w:type="dxa"/>
            <w:tcBorders>
              <w:top w:val="nil"/>
              <w:left w:val="nil"/>
              <w:bottom w:val="nil"/>
              <w:right w:val="nil"/>
            </w:tcBorders>
            <w:shd w:val="clear" w:color="auto" w:fill="FFFFFF"/>
            <w:tcMar>
              <w:top w:w="100" w:type="dxa"/>
              <w:left w:w="100" w:type="dxa"/>
              <w:bottom w:w="100" w:type="dxa"/>
              <w:right w:w="100" w:type="dxa"/>
            </w:tcMar>
            <w:vAlign w:val="center"/>
          </w:tcPr>
          <w:p w14:paraId="396A5BE5" w14:textId="77777777" w:rsidR="007860CA" w:rsidRPr="00B64061" w:rsidRDefault="007860CA" w:rsidP="007860CA">
            <w:pPr>
              <w:spacing w:after="0" w:line="480" w:lineRule="auto"/>
              <w:jc w:val="left"/>
            </w:pPr>
            <w:r w:rsidRPr="00B64061">
              <w:t>Weight Category (%)</w:t>
            </w:r>
          </w:p>
        </w:tc>
        <w:tc>
          <w:tcPr>
            <w:tcW w:w="1995" w:type="dxa"/>
            <w:tcBorders>
              <w:top w:val="nil"/>
              <w:left w:val="nil"/>
              <w:bottom w:val="nil"/>
              <w:right w:val="nil"/>
            </w:tcBorders>
            <w:shd w:val="clear" w:color="auto" w:fill="FFFFFF"/>
            <w:tcMar>
              <w:top w:w="100" w:type="dxa"/>
              <w:left w:w="100" w:type="dxa"/>
              <w:bottom w:w="100" w:type="dxa"/>
              <w:right w:w="100" w:type="dxa"/>
            </w:tcMar>
            <w:vAlign w:val="center"/>
          </w:tcPr>
          <w:p w14:paraId="405420DB" w14:textId="77777777" w:rsidR="007860CA" w:rsidRPr="00B64061" w:rsidRDefault="007860CA" w:rsidP="007860CA">
            <w:pPr>
              <w:spacing w:after="0" w:line="480" w:lineRule="auto"/>
              <w:jc w:val="center"/>
            </w:pPr>
          </w:p>
        </w:tc>
        <w:tc>
          <w:tcPr>
            <w:tcW w:w="1590" w:type="dxa"/>
            <w:tcBorders>
              <w:top w:val="nil"/>
              <w:left w:val="nil"/>
              <w:bottom w:val="nil"/>
              <w:right w:val="nil"/>
            </w:tcBorders>
            <w:shd w:val="clear" w:color="auto" w:fill="FFFFFF"/>
            <w:tcMar>
              <w:top w:w="100" w:type="dxa"/>
              <w:left w:w="100" w:type="dxa"/>
              <w:bottom w:w="100" w:type="dxa"/>
              <w:right w:w="100" w:type="dxa"/>
            </w:tcMar>
            <w:vAlign w:val="center"/>
          </w:tcPr>
          <w:p w14:paraId="767D4207" w14:textId="77777777" w:rsidR="007860CA" w:rsidRPr="00B64061" w:rsidRDefault="007860CA" w:rsidP="007860CA">
            <w:pPr>
              <w:spacing w:after="0" w:line="480" w:lineRule="auto"/>
              <w:jc w:val="center"/>
            </w:pPr>
          </w:p>
        </w:tc>
        <w:tc>
          <w:tcPr>
            <w:tcW w:w="1590" w:type="dxa"/>
            <w:tcBorders>
              <w:top w:val="nil"/>
              <w:left w:val="nil"/>
              <w:bottom w:val="nil"/>
              <w:right w:val="nil"/>
            </w:tcBorders>
            <w:shd w:val="clear" w:color="auto" w:fill="FFFFFF"/>
            <w:tcMar>
              <w:top w:w="100" w:type="dxa"/>
              <w:left w:w="100" w:type="dxa"/>
              <w:bottom w:w="100" w:type="dxa"/>
              <w:right w:w="100" w:type="dxa"/>
            </w:tcMar>
            <w:vAlign w:val="center"/>
          </w:tcPr>
          <w:p w14:paraId="3E5B09E5" w14:textId="77777777" w:rsidR="007860CA" w:rsidRPr="00B64061" w:rsidRDefault="007860CA" w:rsidP="007860CA">
            <w:pPr>
              <w:spacing w:after="0" w:line="480" w:lineRule="auto"/>
              <w:jc w:val="center"/>
            </w:pPr>
          </w:p>
        </w:tc>
      </w:tr>
      <w:tr w:rsidR="00B64061" w:rsidRPr="00B64061" w14:paraId="673AAA4A" w14:textId="77777777" w:rsidTr="00DA5EA0">
        <w:trPr>
          <w:trHeight w:val="600"/>
          <w:jc w:val="center"/>
        </w:trPr>
        <w:tc>
          <w:tcPr>
            <w:tcW w:w="2880" w:type="dxa"/>
            <w:tcBorders>
              <w:top w:val="nil"/>
              <w:left w:val="nil"/>
              <w:bottom w:val="nil"/>
              <w:right w:val="nil"/>
            </w:tcBorders>
            <w:shd w:val="clear" w:color="auto" w:fill="FFFFFF"/>
            <w:tcMar>
              <w:top w:w="100" w:type="dxa"/>
              <w:left w:w="100" w:type="dxa"/>
              <w:bottom w:w="100" w:type="dxa"/>
              <w:right w:w="100" w:type="dxa"/>
            </w:tcMar>
            <w:vAlign w:val="center"/>
          </w:tcPr>
          <w:p w14:paraId="5A591B1E" w14:textId="77777777" w:rsidR="007860CA" w:rsidRPr="00B64061" w:rsidRDefault="007860CA" w:rsidP="007860CA">
            <w:pPr>
              <w:spacing w:after="0" w:line="480" w:lineRule="auto"/>
              <w:ind w:left="283"/>
              <w:jc w:val="left"/>
            </w:pPr>
            <w:r w:rsidRPr="00B64061">
              <w:t>Normal Weight</w:t>
            </w:r>
          </w:p>
        </w:tc>
        <w:tc>
          <w:tcPr>
            <w:tcW w:w="1995" w:type="dxa"/>
            <w:tcBorders>
              <w:top w:val="nil"/>
              <w:left w:val="nil"/>
              <w:bottom w:val="nil"/>
              <w:right w:val="nil"/>
            </w:tcBorders>
            <w:shd w:val="clear" w:color="auto" w:fill="FFFFFF"/>
            <w:tcMar>
              <w:top w:w="100" w:type="dxa"/>
              <w:left w:w="100" w:type="dxa"/>
              <w:bottom w:w="100" w:type="dxa"/>
              <w:right w:w="100" w:type="dxa"/>
            </w:tcMar>
            <w:vAlign w:val="center"/>
          </w:tcPr>
          <w:p w14:paraId="277227BD" w14:textId="77777777" w:rsidR="007860CA" w:rsidRPr="00B64061" w:rsidRDefault="007860CA" w:rsidP="007860CA">
            <w:pPr>
              <w:spacing w:after="0" w:line="480" w:lineRule="auto"/>
              <w:jc w:val="center"/>
            </w:pPr>
            <w:r w:rsidRPr="00B64061">
              <w:t>67%</w:t>
            </w:r>
          </w:p>
        </w:tc>
        <w:tc>
          <w:tcPr>
            <w:tcW w:w="1590" w:type="dxa"/>
            <w:tcBorders>
              <w:top w:val="nil"/>
              <w:left w:val="nil"/>
              <w:bottom w:val="nil"/>
              <w:right w:val="nil"/>
            </w:tcBorders>
            <w:shd w:val="clear" w:color="auto" w:fill="FFFFFF"/>
            <w:tcMar>
              <w:top w:w="100" w:type="dxa"/>
              <w:left w:w="100" w:type="dxa"/>
              <w:bottom w:w="100" w:type="dxa"/>
              <w:right w:w="100" w:type="dxa"/>
            </w:tcMar>
            <w:vAlign w:val="center"/>
          </w:tcPr>
          <w:p w14:paraId="616B4F55" w14:textId="77777777" w:rsidR="007860CA" w:rsidRPr="00B64061" w:rsidRDefault="007860CA" w:rsidP="007860CA">
            <w:pPr>
              <w:spacing w:after="0" w:line="480" w:lineRule="auto"/>
              <w:jc w:val="center"/>
            </w:pPr>
            <w:r w:rsidRPr="00B64061">
              <w:t>68%</w:t>
            </w:r>
          </w:p>
        </w:tc>
        <w:tc>
          <w:tcPr>
            <w:tcW w:w="1590" w:type="dxa"/>
            <w:tcBorders>
              <w:top w:val="nil"/>
              <w:left w:val="nil"/>
              <w:bottom w:val="nil"/>
              <w:right w:val="nil"/>
            </w:tcBorders>
            <w:shd w:val="clear" w:color="auto" w:fill="FFFFFF"/>
            <w:tcMar>
              <w:top w:w="100" w:type="dxa"/>
              <w:left w:w="100" w:type="dxa"/>
              <w:bottom w:w="100" w:type="dxa"/>
              <w:right w:w="100" w:type="dxa"/>
            </w:tcMar>
            <w:vAlign w:val="center"/>
          </w:tcPr>
          <w:p w14:paraId="6CCF4944" w14:textId="77777777" w:rsidR="007860CA" w:rsidRPr="00B64061" w:rsidRDefault="007860CA" w:rsidP="007860CA">
            <w:pPr>
              <w:spacing w:after="0" w:line="480" w:lineRule="auto"/>
              <w:jc w:val="center"/>
            </w:pPr>
          </w:p>
        </w:tc>
      </w:tr>
      <w:tr w:rsidR="00B64061" w:rsidRPr="00B64061" w14:paraId="42123A4A" w14:textId="77777777" w:rsidTr="00DA5EA0">
        <w:trPr>
          <w:trHeight w:val="780"/>
          <w:jc w:val="center"/>
        </w:trPr>
        <w:tc>
          <w:tcPr>
            <w:tcW w:w="2880" w:type="dxa"/>
            <w:tcBorders>
              <w:top w:val="nil"/>
              <w:left w:val="nil"/>
              <w:bottom w:val="single" w:sz="12" w:space="0" w:color="auto"/>
              <w:right w:val="nil"/>
            </w:tcBorders>
            <w:shd w:val="clear" w:color="auto" w:fill="FFFFFF"/>
            <w:tcMar>
              <w:top w:w="100" w:type="dxa"/>
              <w:left w:w="100" w:type="dxa"/>
              <w:bottom w:w="100" w:type="dxa"/>
              <w:right w:w="100" w:type="dxa"/>
            </w:tcMar>
            <w:vAlign w:val="center"/>
          </w:tcPr>
          <w:p w14:paraId="50A3CAFF" w14:textId="77777777" w:rsidR="007860CA" w:rsidRPr="00B64061" w:rsidRDefault="007860CA" w:rsidP="007860CA">
            <w:pPr>
              <w:spacing w:after="0" w:line="480" w:lineRule="auto"/>
              <w:ind w:left="283"/>
              <w:jc w:val="left"/>
            </w:pPr>
            <w:r w:rsidRPr="00B64061">
              <w:t>Overweight</w:t>
            </w:r>
          </w:p>
        </w:tc>
        <w:tc>
          <w:tcPr>
            <w:tcW w:w="1995" w:type="dxa"/>
            <w:tcBorders>
              <w:top w:val="nil"/>
              <w:left w:val="nil"/>
              <w:bottom w:val="single" w:sz="12" w:space="0" w:color="auto"/>
              <w:right w:val="nil"/>
            </w:tcBorders>
            <w:shd w:val="clear" w:color="auto" w:fill="FFFFFF"/>
            <w:tcMar>
              <w:top w:w="100" w:type="dxa"/>
              <w:left w:w="100" w:type="dxa"/>
              <w:bottom w:w="100" w:type="dxa"/>
              <w:right w:w="100" w:type="dxa"/>
            </w:tcMar>
            <w:vAlign w:val="center"/>
          </w:tcPr>
          <w:p w14:paraId="36AF8AFA" w14:textId="77777777" w:rsidR="007860CA" w:rsidRPr="00B64061" w:rsidRDefault="007860CA" w:rsidP="007860CA">
            <w:pPr>
              <w:spacing w:after="0" w:line="480" w:lineRule="auto"/>
              <w:jc w:val="center"/>
            </w:pPr>
            <w:r w:rsidRPr="00B64061">
              <w:t>33%</w:t>
            </w:r>
          </w:p>
        </w:tc>
        <w:tc>
          <w:tcPr>
            <w:tcW w:w="1590" w:type="dxa"/>
            <w:tcBorders>
              <w:top w:val="nil"/>
              <w:left w:val="nil"/>
              <w:bottom w:val="single" w:sz="12" w:space="0" w:color="auto"/>
              <w:right w:val="nil"/>
            </w:tcBorders>
            <w:shd w:val="clear" w:color="auto" w:fill="FFFFFF"/>
            <w:tcMar>
              <w:top w:w="100" w:type="dxa"/>
              <w:left w:w="100" w:type="dxa"/>
              <w:bottom w:w="100" w:type="dxa"/>
              <w:right w:w="100" w:type="dxa"/>
            </w:tcMar>
            <w:vAlign w:val="center"/>
          </w:tcPr>
          <w:p w14:paraId="077379B5" w14:textId="77777777" w:rsidR="007860CA" w:rsidRPr="00B64061" w:rsidRDefault="007860CA" w:rsidP="007860CA">
            <w:pPr>
              <w:spacing w:after="0" w:line="480" w:lineRule="auto"/>
              <w:jc w:val="center"/>
            </w:pPr>
            <w:r w:rsidRPr="00B64061">
              <w:t>32%</w:t>
            </w:r>
          </w:p>
        </w:tc>
        <w:tc>
          <w:tcPr>
            <w:tcW w:w="1590" w:type="dxa"/>
            <w:tcBorders>
              <w:top w:val="nil"/>
              <w:left w:val="nil"/>
              <w:bottom w:val="single" w:sz="12" w:space="0" w:color="auto"/>
              <w:right w:val="nil"/>
            </w:tcBorders>
            <w:shd w:val="clear" w:color="auto" w:fill="FFFFFF"/>
            <w:tcMar>
              <w:top w:w="100" w:type="dxa"/>
              <w:left w:w="100" w:type="dxa"/>
              <w:bottom w:w="100" w:type="dxa"/>
              <w:right w:w="100" w:type="dxa"/>
            </w:tcMar>
            <w:vAlign w:val="center"/>
          </w:tcPr>
          <w:p w14:paraId="7410C2E8" w14:textId="77777777" w:rsidR="007860CA" w:rsidRPr="00B64061" w:rsidRDefault="007860CA" w:rsidP="007860CA">
            <w:pPr>
              <w:spacing w:after="0" w:line="480" w:lineRule="auto"/>
              <w:jc w:val="center"/>
            </w:pPr>
          </w:p>
        </w:tc>
      </w:tr>
    </w:tbl>
    <w:p w14:paraId="5052F409" w14:textId="77777777" w:rsidR="007860CA" w:rsidRPr="00B64061" w:rsidRDefault="007860CA">
      <w:pPr>
        <w:widowControl w:val="0"/>
        <w:pBdr>
          <w:top w:val="nil"/>
          <w:left w:val="nil"/>
          <w:bottom w:val="nil"/>
          <w:right w:val="nil"/>
          <w:between w:val="nil"/>
        </w:pBdr>
        <w:spacing w:after="0" w:line="276" w:lineRule="auto"/>
        <w:jc w:val="left"/>
        <w:sectPr w:rsidR="007860CA" w:rsidRPr="00B64061" w:rsidSect="009862BF">
          <w:headerReference w:type="default" r:id="rId8"/>
          <w:footerReference w:type="default" r:id="rId9"/>
          <w:headerReference w:type="first" r:id="rId10"/>
          <w:footerReference w:type="first" r:id="rId11"/>
          <w:pgSz w:w="11900" w:h="16840"/>
          <w:pgMar w:top="1440" w:right="1440" w:bottom="1440" w:left="1440" w:header="0" w:footer="720" w:gutter="0"/>
          <w:lnNumType w:countBy="1" w:restart="continuous"/>
          <w:cols w:space="720"/>
          <w:docGrid w:linePitch="299"/>
        </w:sectPr>
      </w:pPr>
    </w:p>
    <w:p w14:paraId="1968DE3B" w14:textId="77777777" w:rsidR="006B6D04" w:rsidRPr="00B64061" w:rsidRDefault="007860CA" w:rsidP="007860CA">
      <w:pPr>
        <w:spacing w:after="0" w:line="480" w:lineRule="auto"/>
        <w:rPr>
          <w:i/>
        </w:rPr>
      </w:pPr>
      <w:r w:rsidRPr="00B64061">
        <w:rPr>
          <w:i/>
        </w:rPr>
        <w:lastRenderedPageBreak/>
        <w:t xml:space="preserve">Table 2:  Average pre-total daily percentage of time spent in MVPA and LPA and time spent being sedentary and change in percentage, stratified by condition and pre-activity group. </w:t>
      </w:r>
    </w:p>
    <w:tbl>
      <w:tblPr>
        <w:tblW w:w="4976" w:type="pct"/>
        <w:jc w:val="center"/>
        <w:tblLayout w:type="fixed"/>
        <w:tblCellMar>
          <w:top w:w="15" w:type="dxa"/>
          <w:left w:w="15" w:type="dxa"/>
          <w:bottom w:w="15" w:type="dxa"/>
          <w:right w:w="15" w:type="dxa"/>
        </w:tblCellMar>
        <w:tblLook w:val="04A0" w:firstRow="1" w:lastRow="0" w:firstColumn="1" w:lastColumn="0" w:noHBand="0" w:noVBand="1"/>
      </w:tblPr>
      <w:tblGrid>
        <w:gridCol w:w="2265"/>
        <w:gridCol w:w="953"/>
        <w:gridCol w:w="956"/>
        <w:gridCol w:w="956"/>
        <w:gridCol w:w="961"/>
        <w:gridCol w:w="956"/>
        <w:gridCol w:w="961"/>
        <w:gridCol w:w="956"/>
        <w:gridCol w:w="956"/>
        <w:gridCol w:w="8"/>
        <w:gridCol w:w="956"/>
        <w:gridCol w:w="956"/>
        <w:gridCol w:w="8"/>
        <w:gridCol w:w="953"/>
        <w:gridCol w:w="1092"/>
      </w:tblGrid>
      <w:tr w:rsidR="00B64061" w:rsidRPr="00B64061" w14:paraId="15AEF3D5" w14:textId="77777777" w:rsidTr="00AE1B8F">
        <w:trPr>
          <w:trHeight w:val="20"/>
          <w:jc w:val="center"/>
        </w:trPr>
        <w:tc>
          <w:tcPr>
            <w:tcW w:w="815" w:type="pct"/>
            <w:tcBorders>
              <w:top w:val="single" w:sz="12" w:space="0" w:color="auto"/>
            </w:tcBorders>
            <w:shd w:val="clear" w:color="auto" w:fill="FFFFFF"/>
            <w:tcMar>
              <w:top w:w="0" w:type="dxa"/>
              <w:left w:w="108" w:type="dxa"/>
              <w:bottom w:w="0" w:type="dxa"/>
              <w:right w:w="108" w:type="dxa"/>
            </w:tcMar>
          </w:tcPr>
          <w:p w14:paraId="6722328E" w14:textId="77777777" w:rsidR="007860CA" w:rsidRPr="00B64061" w:rsidRDefault="007860CA" w:rsidP="00D6673E">
            <w:pPr>
              <w:spacing w:before="120" w:after="0" w:line="480" w:lineRule="auto"/>
              <w:rPr>
                <w:rFonts w:asciiTheme="majorHAnsi" w:eastAsia="Times New Roman" w:hAnsiTheme="majorHAnsi" w:cs="Times New Roman"/>
                <w:sz w:val="24"/>
                <w:szCs w:val="24"/>
              </w:rPr>
            </w:pPr>
          </w:p>
        </w:tc>
        <w:tc>
          <w:tcPr>
            <w:tcW w:w="687" w:type="pct"/>
            <w:gridSpan w:val="2"/>
            <w:tcBorders>
              <w:top w:val="single" w:sz="12" w:space="0" w:color="auto"/>
            </w:tcBorders>
            <w:shd w:val="clear" w:color="auto" w:fill="FFFFFF"/>
            <w:vAlign w:val="center"/>
          </w:tcPr>
          <w:p w14:paraId="25FA6979" w14:textId="77777777" w:rsidR="007860CA" w:rsidRPr="00B64061" w:rsidRDefault="007860CA" w:rsidP="00D6673E">
            <w:pPr>
              <w:spacing w:before="12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MVPA (SD)</w:t>
            </w:r>
          </w:p>
        </w:tc>
        <w:tc>
          <w:tcPr>
            <w:tcW w:w="690" w:type="pct"/>
            <w:gridSpan w:val="2"/>
            <w:tcBorders>
              <w:top w:val="single" w:sz="12" w:space="0" w:color="auto"/>
            </w:tcBorders>
            <w:shd w:val="clear" w:color="auto" w:fill="FFFFFF"/>
            <w:vAlign w:val="center"/>
          </w:tcPr>
          <w:p w14:paraId="12AD126A" w14:textId="77777777" w:rsidR="007860CA" w:rsidRPr="00B64061" w:rsidRDefault="007860CA" w:rsidP="00D6673E">
            <w:pPr>
              <w:spacing w:before="12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Change in Time Spent in MVPA (SD)</w:t>
            </w:r>
          </w:p>
        </w:tc>
        <w:tc>
          <w:tcPr>
            <w:tcW w:w="690" w:type="pct"/>
            <w:gridSpan w:val="2"/>
            <w:tcBorders>
              <w:top w:val="single" w:sz="12" w:space="0" w:color="auto"/>
            </w:tcBorders>
            <w:shd w:val="clear" w:color="auto" w:fill="FFFFFF"/>
            <w:vAlign w:val="center"/>
          </w:tcPr>
          <w:p w14:paraId="14A81C9D" w14:textId="77777777" w:rsidR="007860CA" w:rsidRPr="00B64061" w:rsidRDefault="007860CA" w:rsidP="00D6673E">
            <w:pPr>
              <w:spacing w:before="12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LPA (SD)</w:t>
            </w:r>
          </w:p>
        </w:tc>
        <w:tc>
          <w:tcPr>
            <w:tcW w:w="691" w:type="pct"/>
            <w:gridSpan w:val="3"/>
            <w:tcBorders>
              <w:top w:val="single" w:sz="12" w:space="0" w:color="auto"/>
            </w:tcBorders>
            <w:shd w:val="clear" w:color="auto" w:fill="FFFFFF"/>
            <w:vAlign w:val="center"/>
          </w:tcPr>
          <w:p w14:paraId="105E7E0B" w14:textId="77777777" w:rsidR="007860CA" w:rsidRPr="00B64061" w:rsidRDefault="007860CA" w:rsidP="00D6673E">
            <w:pPr>
              <w:spacing w:before="12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Change in Time Spent in LPA (SD)</w:t>
            </w:r>
          </w:p>
        </w:tc>
        <w:tc>
          <w:tcPr>
            <w:tcW w:w="691" w:type="pct"/>
            <w:gridSpan w:val="3"/>
            <w:tcBorders>
              <w:top w:val="single" w:sz="12" w:space="0" w:color="auto"/>
            </w:tcBorders>
            <w:shd w:val="clear" w:color="auto" w:fill="FFFFFF"/>
            <w:vAlign w:val="center"/>
          </w:tcPr>
          <w:p w14:paraId="141618A8" w14:textId="77777777" w:rsidR="007860CA" w:rsidRPr="00B64061" w:rsidRDefault="007860CA" w:rsidP="00D6673E">
            <w:pPr>
              <w:spacing w:before="12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Sedentary Time (SD)</w:t>
            </w:r>
          </w:p>
        </w:tc>
        <w:tc>
          <w:tcPr>
            <w:tcW w:w="736" w:type="pct"/>
            <w:gridSpan w:val="2"/>
            <w:tcBorders>
              <w:top w:val="single" w:sz="12" w:space="0" w:color="auto"/>
            </w:tcBorders>
            <w:shd w:val="clear" w:color="auto" w:fill="FFFFFF"/>
            <w:vAlign w:val="center"/>
          </w:tcPr>
          <w:p w14:paraId="2EBCA266" w14:textId="77777777" w:rsidR="007860CA" w:rsidRPr="00B64061" w:rsidRDefault="007860CA" w:rsidP="00D6673E">
            <w:pPr>
              <w:spacing w:before="12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Change in Sedentary Time (SD)</w:t>
            </w:r>
          </w:p>
        </w:tc>
      </w:tr>
      <w:tr w:rsidR="00B64061" w:rsidRPr="00B64061" w14:paraId="455F6426" w14:textId="77777777" w:rsidTr="00AE1B8F">
        <w:trPr>
          <w:trHeight w:val="20"/>
          <w:jc w:val="center"/>
        </w:trPr>
        <w:tc>
          <w:tcPr>
            <w:tcW w:w="815" w:type="pct"/>
            <w:tcBorders>
              <w:bottom w:val="single" w:sz="12" w:space="0" w:color="auto"/>
            </w:tcBorders>
            <w:shd w:val="clear" w:color="auto" w:fill="FFFFFF"/>
            <w:tcMar>
              <w:top w:w="0" w:type="dxa"/>
              <w:left w:w="108" w:type="dxa"/>
              <w:bottom w:w="0" w:type="dxa"/>
              <w:right w:w="108" w:type="dxa"/>
            </w:tcMar>
            <w:hideMark/>
          </w:tcPr>
          <w:p w14:paraId="73CCDE82" w14:textId="77777777" w:rsidR="007860CA" w:rsidRPr="00B64061" w:rsidRDefault="007860CA" w:rsidP="00D6673E">
            <w:pPr>
              <w:spacing w:before="120" w:after="0" w:line="480" w:lineRule="auto"/>
              <w:rPr>
                <w:rFonts w:asciiTheme="majorHAnsi" w:eastAsia="Times New Roman" w:hAnsiTheme="majorHAnsi" w:cs="Times New Roman"/>
                <w:sz w:val="24"/>
                <w:szCs w:val="24"/>
              </w:rPr>
            </w:pPr>
          </w:p>
        </w:tc>
        <w:tc>
          <w:tcPr>
            <w:tcW w:w="343" w:type="pct"/>
            <w:tcBorders>
              <w:bottom w:val="single" w:sz="12" w:space="0" w:color="auto"/>
            </w:tcBorders>
            <w:shd w:val="clear" w:color="auto" w:fill="FFFFFF"/>
            <w:vAlign w:val="center"/>
          </w:tcPr>
          <w:p w14:paraId="158120E8"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Pre %</w:t>
            </w:r>
          </w:p>
        </w:tc>
        <w:tc>
          <w:tcPr>
            <w:tcW w:w="344" w:type="pct"/>
            <w:tcBorders>
              <w:bottom w:val="single" w:sz="12" w:space="0" w:color="auto"/>
            </w:tcBorders>
            <w:shd w:val="clear" w:color="auto" w:fill="FFFFFF"/>
            <w:vAlign w:val="center"/>
          </w:tcPr>
          <w:p w14:paraId="15D82B8A" w14:textId="04FA46AC" w:rsidR="007860CA" w:rsidRPr="00B64061" w:rsidRDefault="00411B89"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FIW</w:t>
            </w:r>
            <w:r w:rsidR="007860CA" w:rsidRPr="00B64061">
              <w:rPr>
                <w:rFonts w:asciiTheme="majorHAnsi" w:eastAsia="Times New Roman" w:hAnsiTheme="majorHAnsi" w:cs="Times New Roman"/>
              </w:rPr>
              <w:t xml:space="preserve"> %</w:t>
            </w:r>
          </w:p>
        </w:tc>
        <w:tc>
          <w:tcPr>
            <w:tcW w:w="344" w:type="pct"/>
            <w:tcBorders>
              <w:bottom w:val="single" w:sz="12" w:space="0" w:color="auto"/>
            </w:tcBorders>
            <w:shd w:val="clear" w:color="auto" w:fill="FFFFFF"/>
            <w:tcMar>
              <w:top w:w="0" w:type="dxa"/>
              <w:left w:w="108" w:type="dxa"/>
              <w:bottom w:w="0" w:type="dxa"/>
              <w:right w:w="108" w:type="dxa"/>
            </w:tcMar>
            <w:vAlign w:val="center"/>
          </w:tcPr>
          <w:p w14:paraId="210B1D02"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w:t>
            </w:r>
          </w:p>
        </w:tc>
        <w:tc>
          <w:tcPr>
            <w:tcW w:w="346" w:type="pct"/>
            <w:tcBorders>
              <w:bottom w:val="single" w:sz="12" w:space="0" w:color="auto"/>
            </w:tcBorders>
            <w:shd w:val="clear" w:color="auto" w:fill="FFFFFF"/>
            <w:tcMar>
              <w:top w:w="0" w:type="dxa"/>
              <w:left w:w="108" w:type="dxa"/>
              <w:bottom w:w="0" w:type="dxa"/>
              <w:right w:w="108" w:type="dxa"/>
            </w:tcMar>
            <w:vAlign w:val="center"/>
          </w:tcPr>
          <w:p w14:paraId="4264A154"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Minutes</w:t>
            </w:r>
          </w:p>
        </w:tc>
        <w:tc>
          <w:tcPr>
            <w:tcW w:w="344" w:type="pct"/>
            <w:tcBorders>
              <w:bottom w:val="single" w:sz="12" w:space="0" w:color="auto"/>
            </w:tcBorders>
            <w:shd w:val="clear" w:color="auto" w:fill="FFFFFF"/>
            <w:vAlign w:val="center"/>
          </w:tcPr>
          <w:p w14:paraId="298DF7EC"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Pre %</w:t>
            </w:r>
          </w:p>
        </w:tc>
        <w:tc>
          <w:tcPr>
            <w:tcW w:w="346" w:type="pct"/>
            <w:tcBorders>
              <w:bottom w:val="single" w:sz="12" w:space="0" w:color="auto"/>
            </w:tcBorders>
            <w:shd w:val="clear" w:color="auto" w:fill="FFFFFF"/>
            <w:vAlign w:val="center"/>
          </w:tcPr>
          <w:p w14:paraId="466CDB7F" w14:textId="72C49239" w:rsidR="007860CA" w:rsidRPr="00B64061" w:rsidRDefault="00411B89"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FIW</w:t>
            </w:r>
            <w:r w:rsidR="007860CA" w:rsidRPr="00B64061">
              <w:rPr>
                <w:rFonts w:asciiTheme="majorHAnsi" w:eastAsia="Times New Roman" w:hAnsiTheme="majorHAnsi" w:cs="Times New Roman"/>
              </w:rPr>
              <w:t xml:space="preserve"> %</w:t>
            </w:r>
          </w:p>
        </w:tc>
        <w:tc>
          <w:tcPr>
            <w:tcW w:w="344" w:type="pct"/>
            <w:tcBorders>
              <w:bottom w:val="single" w:sz="12" w:space="0" w:color="auto"/>
            </w:tcBorders>
            <w:shd w:val="clear" w:color="auto" w:fill="FFFFFF"/>
            <w:tcMar>
              <w:top w:w="0" w:type="dxa"/>
              <w:left w:w="108" w:type="dxa"/>
              <w:bottom w:w="0" w:type="dxa"/>
              <w:right w:w="108" w:type="dxa"/>
            </w:tcMar>
            <w:vAlign w:val="center"/>
          </w:tcPr>
          <w:p w14:paraId="592D6AE8"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w:t>
            </w:r>
          </w:p>
        </w:tc>
        <w:tc>
          <w:tcPr>
            <w:tcW w:w="344" w:type="pct"/>
            <w:tcBorders>
              <w:bottom w:val="single" w:sz="12" w:space="0" w:color="auto"/>
            </w:tcBorders>
            <w:shd w:val="clear" w:color="auto" w:fill="FFFFFF"/>
            <w:tcMar>
              <w:top w:w="0" w:type="dxa"/>
              <w:left w:w="108" w:type="dxa"/>
              <w:bottom w:w="0" w:type="dxa"/>
              <w:right w:w="108" w:type="dxa"/>
            </w:tcMar>
            <w:vAlign w:val="center"/>
          </w:tcPr>
          <w:p w14:paraId="3E6B22F8"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Minutes</w:t>
            </w:r>
          </w:p>
        </w:tc>
        <w:tc>
          <w:tcPr>
            <w:tcW w:w="347" w:type="pct"/>
            <w:gridSpan w:val="2"/>
            <w:tcBorders>
              <w:bottom w:val="single" w:sz="12" w:space="0" w:color="auto"/>
            </w:tcBorders>
            <w:shd w:val="clear" w:color="auto" w:fill="FFFFFF"/>
            <w:vAlign w:val="center"/>
          </w:tcPr>
          <w:p w14:paraId="2F295205"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Pre %</w:t>
            </w:r>
          </w:p>
        </w:tc>
        <w:tc>
          <w:tcPr>
            <w:tcW w:w="344" w:type="pct"/>
            <w:tcBorders>
              <w:bottom w:val="single" w:sz="12" w:space="0" w:color="auto"/>
            </w:tcBorders>
            <w:shd w:val="clear" w:color="auto" w:fill="FFFFFF"/>
            <w:vAlign w:val="center"/>
          </w:tcPr>
          <w:p w14:paraId="5F3C600F" w14:textId="1B2A6180" w:rsidR="007860CA" w:rsidRPr="00B64061" w:rsidRDefault="00411B89"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FIW</w:t>
            </w:r>
            <w:r w:rsidR="007860CA" w:rsidRPr="00B64061">
              <w:rPr>
                <w:rFonts w:asciiTheme="majorHAnsi" w:eastAsia="Times New Roman" w:hAnsiTheme="majorHAnsi" w:cs="Times New Roman"/>
              </w:rPr>
              <w:t xml:space="preserve"> %</w:t>
            </w:r>
          </w:p>
        </w:tc>
        <w:tc>
          <w:tcPr>
            <w:tcW w:w="346" w:type="pct"/>
            <w:gridSpan w:val="2"/>
            <w:tcBorders>
              <w:bottom w:val="single" w:sz="12" w:space="0" w:color="auto"/>
            </w:tcBorders>
            <w:shd w:val="clear" w:color="auto" w:fill="FFFFFF"/>
            <w:tcMar>
              <w:top w:w="0" w:type="dxa"/>
              <w:left w:w="108" w:type="dxa"/>
              <w:bottom w:w="0" w:type="dxa"/>
              <w:right w:w="108" w:type="dxa"/>
            </w:tcMar>
            <w:vAlign w:val="center"/>
          </w:tcPr>
          <w:p w14:paraId="2A3DFBEA"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w:t>
            </w:r>
          </w:p>
        </w:tc>
        <w:tc>
          <w:tcPr>
            <w:tcW w:w="393" w:type="pct"/>
            <w:tcBorders>
              <w:bottom w:val="single" w:sz="12" w:space="0" w:color="auto"/>
            </w:tcBorders>
            <w:shd w:val="clear" w:color="auto" w:fill="FFFFFF"/>
            <w:tcMar>
              <w:top w:w="0" w:type="dxa"/>
              <w:left w:w="108" w:type="dxa"/>
              <w:bottom w:w="0" w:type="dxa"/>
              <w:right w:w="108" w:type="dxa"/>
            </w:tcMar>
            <w:vAlign w:val="center"/>
          </w:tcPr>
          <w:p w14:paraId="26F5F908" w14:textId="77777777" w:rsidR="007860CA" w:rsidRPr="00B64061" w:rsidRDefault="007860CA" w:rsidP="00D6673E">
            <w:pPr>
              <w:spacing w:before="240" w:after="48" w:line="480" w:lineRule="auto"/>
              <w:jc w:val="center"/>
              <w:rPr>
                <w:rFonts w:asciiTheme="majorHAnsi" w:eastAsia="Times New Roman" w:hAnsiTheme="majorHAnsi" w:cs="Times New Roman"/>
              </w:rPr>
            </w:pPr>
            <w:r w:rsidRPr="00B64061">
              <w:rPr>
                <w:rFonts w:asciiTheme="majorHAnsi" w:eastAsia="Times New Roman" w:hAnsiTheme="majorHAnsi" w:cs="Times New Roman"/>
              </w:rPr>
              <w:t>Minutes</w:t>
            </w:r>
          </w:p>
        </w:tc>
      </w:tr>
      <w:tr w:rsidR="00B64061" w:rsidRPr="00B64061" w14:paraId="15980DEF" w14:textId="77777777" w:rsidTr="00DA5EA0">
        <w:trPr>
          <w:trHeight w:val="20"/>
          <w:jc w:val="center"/>
        </w:trPr>
        <w:tc>
          <w:tcPr>
            <w:tcW w:w="815" w:type="pct"/>
            <w:tcBorders>
              <w:top w:val="single" w:sz="12" w:space="0" w:color="auto"/>
            </w:tcBorders>
            <w:shd w:val="clear" w:color="auto" w:fill="FFFFFF"/>
            <w:tcMar>
              <w:top w:w="0" w:type="dxa"/>
              <w:left w:w="108" w:type="dxa"/>
              <w:bottom w:w="0" w:type="dxa"/>
              <w:right w:w="108" w:type="dxa"/>
            </w:tcMar>
            <w:hideMark/>
          </w:tcPr>
          <w:p w14:paraId="7791E124" w14:textId="77777777" w:rsidR="007860CA" w:rsidRPr="00B64061" w:rsidRDefault="007860CA" w:rsidP="00D6673E">
            <w:pPr>
              <w:spacing w:before="240" w:after="48" w:line="480" w:lineRule="auto"/>
              <w:rPr>
                <w:rFonts w:asciiTheme="majorHAnsi" w:eastAsia="Times New Roman" w:hAnsiTheme="majorHAnsi" w:cs="Times New Roman"/>
                <w:b/>
              </w:rPr>
            </w:pPr>
            <w:r w:rsidRPr="00B64061">
              <w:rPr>
                <w:rFonts w:asciiTheme="majorHAnsi" w:eastAsia="Times New Roman" w:hAnsiTheme="majorHAnsi" w:cs="Times New Roman"/>
                <w:b/>
              </w:rPr>
              <w:t>Intervention</w:t>
            </w:r>
          </w:p>
        </w:tc>
        <w:tc>
          <w:tcPr>
            <w:tcW w:w="343" w:type="pct"/>
            <w:tcBorders>
              <w:top w:val="single" w:sz="12" w:space="0" w:color="auto"/>
            </w:tcBorders>
            <w:shd w:val="clear" w:color="auto" w:fill="FFFFFF"/>
          </w:tcPr>
          <w:p w14:paraId="32770C07"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4" w:type="pct"/>
            <w:tcBorders>
              <w:top w:val="single" w:sz="12" w:space="0" w:color="auto"/>
            </w:tcBorders>
            <w:shd w:val="clear" w:color="auto" w:fill="FFFFFF"/>
          </w:tcPr>
          <w:p w14:paraId="1C153C64"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4" w:type="pct"/>
            <w:tcBorders>
              <w:top w:val="single" w:sz="12" w:space="0" w:color="auto"/>
            </w:tcBorders>
            <w:shd w:val="clear" w:color="auto" w:fill="FFFFFF"/>
            <w:tcMar>
              <w:top w:w="0" w:type="dxa"/>
              <w:left w:w="108" w:type="dxa"/>
              <w:bottom w:w="0" w:type="dxa"/>
              <w:right w:w="108" w:type="dxa"/>
            </w:tcMar>
            <w:hideMark/>
          </w:tcPr>
          <w:p w14:paraId="75BA859E"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6" w:type="pct"/>
            <w:tcBorders>
              <w:top w:val="single" w:sz="12" w:space="0" w:color="auto"/>
            </w:tcBorders>
            <w:shd w:val="clear" w:color="auto" w:fill="FFFFFF"/>
            <w:tcMar>
              <w:top w:w="0" w:type="dxa"/>
              <w:left w:w="108" w:type="dxa"/>
              <w:bottom w:w="0" w:type="dxa"/>
              <w:right w:w="108" w:type="dxa"/>
            </w:tcMar>
            <w:hideMark/>
          </w:tcPr>
          <w:p w14:paraId="0FA4EE92"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4" w:type="pct"/>
            <w:tcBorders>
              <w:top w:val="single" w:sz="12" w:space="0" w:color="auto"/>
            </w:tcBorders>
            <w:shd w:val="clear" w:color="auto" w:fill="FFFFFF"/>
          </w:tcPr>
          <w:p w14:paraId="4561075E"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6" w:type="pct"/>
            <w:tcBorders>
              <w:top w:val="single" w:sz="12" w:space="0" w:color="auto"/>
            </w:tcBorders>
            <w:shd w:val="clear" w:color="auto" w:fill="FFFFFF"/>
          </w:tcPr>
          <w:p w14:paraId="3664810F"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4" w:type="pct"/>
            <w:tcBorders>
              <w:top w:val="single" w:sz="12" w:space="0" w:color="auto"/>
            </w:tcBorders>
            <w:shd w:val="clear" w:color="auto" w:fill="FFFFFF"/>
            <w:tcMar>
              <w:top w:w="0" w:type="dxa"/>
              <w:left w:w="108" w:type="dxa"/>
              <w:bottom w:w="0" w:type="dxa"/>
              <w:right w:w="108" w:type="dxa"/>
            </w:tcMar>
            <w:hideMark/>
          </w:tcPr>
          <w:p w14:paraId="48B7E31B"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4" w:type="pct"/>
            <w:tcBorders>
              <w:top w:val="single" w:sz="12" w:space="0" w:color="auto"/>
            </w:tcBorders>
            <w:shd w:val="clear" w:color="auto" w:fill="FFFFFF"/>
            <w:tcMar>
              <w:top w:w="0" w:type="dxa"/>
              <w:left w:w="108" w:type="dxa"/>
              <w:bottom w:w="0" w:type="dxa"/>
              <w:right w:w="108" w:type="dxa"/>
            </w:tcMar>
            <w:hideMark/>
          </w:tcPr>
          <w:p w14:paraId="519067A9"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7" w:type="pct"/>
            <w:gridSpan w:val="2"/>
            <w:tcBorders>
              <w:top w:val="single" w:sz="12" w:space="0" w:color="auto"/>
            </w:tcBorders>
            <w:shd w:val="clear" w:color="auto" w:fill="FFFFFF"/>
          </w:tcPr>
          <w:p w14:paraId="2BE5AAF8"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4" w:type="pct"/>
            <w:tcBorders>
              <w:top w:val="single" w:sz="12" w:space="0" w:color="auto"/>
            </w:tcBorders>
            <w:shd w:val="clear" w:color="auto" w:fill="FFFFFF"/>
          </w:tcPr>
          <w:p w14:paraId="24DCA724"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46" w:type="pct"/>
            <w:gridSpan w:val="2"/>
            <w:tcBorders>
              <w:top w:val="single" w:sz="12" w:space="0" w:color="auto"/>
            </w:tcBorders>
            <w:shd w:val="clear" w:color="auto" w:fill="FFFFFF"/>
            <w:tcMar>
              <w:top w:w="0" w:type="dxa"/>
              <w:left w:w="108" w:type="dxa"/>
              <w:bottom w:w="0" w:type="dxa"/>
              <w:right w:w="108" w:type="dxa"/>
            </w:tcMar>
            <w:hideMark/>
          </w:tcPr>
          <w:p w14:paraId="4004C8A6"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c>
          <w:tcPr>
            <w:tcW w:w="393" w:type="pct"/>
            <w:tcBorders>
              <w:top w:val="single" w:sz="12" w:space="0" w:color="auto"/>
            </w:tcBorders>
            <w:shd w:val="clear" w:color="auto" w:fill="FFFFFF"/>
            <w:tcMar>
              <w:top w:w="0" w:type="dxa"/>
              <w:left w:w="108" w:type="dxa"/>
              <w:bottom w:w="0" w:type="dxa"/>
              <w:right w:w="108" w:type="dxa"/>
            </w:tcMar>
            <w:hideMark/>
          </w:tcPr>
          <w:p w14:paraId="12926777" w14:textId="77777777" w:rsidR="007860CA" w:rsidRPr="00B64061" w:rsidRDefault="007860CA" w:rsidP="00D6673E">
            <w:pPr>
              <w:spacing w:after="0" w:line="480" w:lineRule="auto"/>
              <w:jc w:val="center"/>
              <w:rPr>
                <w:rFonts w:asciiTheme="majorHAnsi" w:eastAsia="Times New Roman" w:hAnsiTheme="majorHAnsi" w:cs="Times New Roman"/>
                <w:sz w:val="18"/>
                <w:szCs w:val="20"/>
              </w:rPr>
            </w:pPr>
          </w:p>
        </w:tc>
      </w:tr>
      <w:tr w:rsidR="00B64061" w:rsidRPr="00B64061" w14:paraId="6AE5E244" w14:textId="77777777" w:rsidTr="00DA5EA0">
        <w:trPr>
          <w:trHeight w:val="20"/>
          <w:jc w:val="center"/>
        </w:trPr>
        <w:tc>
          <w:tcPr>
            <w:tcW w:w="815" w:type="pct"/>
            <w:shd w:val="clear" w:color="auto" w:fill="FFFFFF"/>
            <w:tcMar>
              <w:top w:w="0" w:type="dxa"/>
              <w:left w:w="108" w:type="dxa"/>
              <w:bottom w:w="0" w:type="dxa"/>
              <w:right w:w="108" w:type="dxa"/>
            </w:tcMar>
            <w:vAlign w:val="center"/>
            <w:hideMark/>
          </w:tcPr>
          <w:p w14:paraId="32F8BD07" w14:textId="70DA4C4A" w:rsidR="00C11568" w:rsidRPr="00B64061" w:rsidRDefault="00FF3ECA"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Low</w:t>
            </w:r>
            <w:r w:rsidR="00C11568" w:rsidRPr="00B64061">
              <w:rPr>
                <w:rFonts w:asciiTheme="majorHAnsi" w:eastAsia="Times New Roman" w:hAnsiTheme="majorHAnsi" w:cs="Times New Roman"/>
              </w:rPr>
              <w:t xml:space="preserve"> Active</w:t>
            </w:r>
          </w:p>
          <w:p w14:paraId="055B4B2A" w14:textId="76FDACC4" w:rsidR="0034772B" w:rsidRPr="00B64061" w:rsidRDefault="0034772B"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(n =27)</w:t>
            </w:r>
          </w:p>
        </w:tc>
        <w:tc>
          <w:tcPr>
            <w:tcW w:w="343" w:type="pct"/>
            <w:shd w:val="clear" w:color="auto" w:fill="FFFFFF"/>
            <w:vAlign w:val="center"/>
          </w:tcPr>
          <w:p w14:paraId="1A5F4CB9" w14:textId="5D1000E3"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4.32 (0.92)</w:t>
            </w:r>
          </w:p>
        </w:tc>
        <w:tc>
          <w:tcPr>
            <w:tcW w:w="344" w:type="pct"/>
            <w:shd w:val="clear" w:color="auto" w:fill="FFFFFF"/>
            <w:vAlign w:val="center"/>
          </w:tcPr>
          <w:p w14:paraId="550F0D1A" w14:textId="5163EADA"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5.59 (1.94)</w:t>
            </w:r>
          </w:p>
        </w:tc>
        <w:tc>
          <w:tcPr>
            <w:tcW w:w="344" w:type="pct"/>
            <w:shd w:val="clear" w:color="auto" w:fill="FFFFFF"/>
            <w:tcMar>
              <w:top w:w="0" w:type="dxa"/>
              <w:left w:w="108" w:type="dxa"/>
              <w:bottom w:w="0" w:type="dxa"/>
              <w:right w:w="108" w:type="dxa"/>
            </w:tcMar>
            <w:vAlign w:val="center"/>
          </w:tcPr>
          <w:p w14:paraId="3D768B9E" w14:textId="7F8F9EA9"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1.27 (2.11)</w:t>
            </w:r>
          </w:p>
        </w:tc>
        <w:tc>
          <w:tcPr>
            <w:tcW w:w="346" w:type="pct"/>
            <w:shd w:val="clear" w:color="auto" w:fill="FFFFFF"/>
            <w:tcMar>
              <w:top w:w="0" w:type="dxa"/>
              <w:left w:w="108" w:type="dxa"/>
              <w:bottom w:w="0" w:type="dxa"/>
              <w:right w:w="108" w:type="dxa"/>
            </w:tcMar>
            <w:vAlign w:val="center"/>
          </w:tcPr>
          <w:p w14:paraId="07D6F8D4" w14:textId="37CB56E3"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10.35 (16.15)</w:t>
            </w:r>
          </w:p>
        </w:tc>
        <w:tc>
          <w:tcPr>
            <w:tcW w:w="344" w:type="pct"/>
            <w:shd w:val="clear" w:color="auto" w:fill="FFFFFF"/>
            <w:vAlign w:val="center"/>
          </w:tcPr>
          <w:p w14:paraId="5D149AFB" w14:textId="08BBBC8D"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29.93 (3.92)</w:t>
            </w:r>
          </w:p>
        </w:tc>
        <w:tc>
          <w:tcPr>
            <w:tcW w:w="346" w:type="pct"/>
            <w:shd w:val="clear" w:color="auto" w:fill="FFFFFF"/>
            <w:vAlign w:val="center"/>
          </w:tcPr>
          <w:p w14:paraId="7A8A7156" w14:textId="37E8047F"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32.02 (4.75)</w:t>
            </w:r>
          </w:p>
        </w:tc>
        <w:tc>
          <w:tcPr>
            <w:tcW w:w="344" w:type="pct"/>
            <w:shd w:val="clear" w:color="auto" w:fill="FFFFFF"/>
            <w:tcMar>
              <w:top w:w="0" w:type="dxa"/>
              <w:left w:w="108" w:type="dxa"/>
              <w:bottom w:w="0" w:type="dxa"/>
              <w:right w:w="108" w:type="dxa"/>
            </w:tcMar>
            <w:vAlign w:val="center"/>
          </w:tcPr>
          <w:p w14:paraId="2C2AEE7F" w14:textId="5EADB995"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2.09 (5.05)</w:t>
            </w:r>
          </w:p>
        </w:tc>
        <w:tc>
          <w:tcPr>
            <w:tcW w:w="344" w:type="pct"/>
            <w:shd w:val="clear" w:color="auto" w:fill="FFFFFF"/>
            <w:tcMar>
              <w:top w:w="0" w:type="dxa"/>
              <w:left w:w="108" w:type="dxa"/>
              <w:bottom w:w="0" w:type="dxa"/>
              <w:right w:w="108" w:type="dxa"/>
            </w:tcMar>
            <w:vAlign w:val="center"/>
          </w:tcPr>
          <w:p w14:paraId="060C5A87" w14:textId="5317C26C"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17.47 (42.97)</w:t>
            </w:r>
          </w:p>
        </w:tc>
        <w:tc>
          <w:tcPr>
            <w:tcW w:w="347" w:type="pct"/>
            <w:gridSpan w:val="2"/>
            <w:shd w:val="clear" w:color="auto" w:fill="FFFFFF"/>
            <w:vAlign w:val="center"/>
          </w:tcPr>
          <w:p w14:paraId="22F99F19" w14:textId="4BCA4AF1"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65.75 (4.34)</w:t>
            </w:r>
          </w:p>
        </w:tc>
        <w:tc>
          <w:tcPr>
            <w:tcW w:w="344" w:type="pct"/>
            <w:shd w:val="clear" w:color="auto" w:fill="FFFFFF"/>
            <w:vAlign w:val="center"/>
          </w:tcPr>
          <w:p w14:paraId="5D594272" w14:textId="521C7674"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62.40 (5.91)</w:t>
            </w:r>
          </w:p>
        </w:tc>
        <w:tc>
          <w:tcPr>
            <w:tcW w:w="346" w:type="pct"/>
            <w:gridSpan w:val="2"/>
            <w:shd w:val="clear" w:color="auto" w:fill="FFFFFF"/>
            <w:tcMar>
              <w:top w:w="0" w:type="dxa"/>
              <w:left w:w="108" w:type="dxa"/>
              <w:bottom w:w="0" w:type="dxa"/>
              <w:right w:w="108" w:type="dxa"/>
            </w:tcMar>
            <w:vAlign w:val="center"/>
          </w:tcPr>
          <w:p w14:paraId="4456EA61" w14:textId="7AAAFE38"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-3.36 (6.16)</w:t>
            </w:r>
          </w:p>
        </w:tc>
        <w:tc>
          <w:tcPr>
            <w:tcW w:w="393" w:type="pct"/>
            <w:shd w:val="clear" w:color="auto" w:fill="FFFFFF"/>
            <w:tcMar>
              <w:top w:w="0" w:type="dxa"/>
              <w:left w:w="108" w:type="dxa"/>
              <w:bottom w:w="0" w:type="dxa"/>
              <w:right w:w="108" w:type="dxa"/>
            </w:tcMar>
            <w:vAlign w:val="center"/>
          </w:tcPr>
          <w:p w14:paraId="556A5258" w14:textId="2CF70082"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-16.59 (78.61)</w:t>
            </w:r>
          </w:p>
        </w:tc>
      </w:tr>
      <w:tr w:rsidR="00B64061" w:rsidRPr="00B64061" w14:paraId="3EDC7422" w14:textId="77777777" w:rsidTr="00DA5EA0">
        <w:trPr>
          <w:trHeight w:val="20"/>
          <w:jc w:val="center"/>
        </w:trPr>
        <w:tc>
          <w:tcPr>
            <w:tcW w:w="815" w:type="pct"/>
            <w:shd w:val="clear" w:color="auto" w:fill="FFFFFF"/>
            <w:tcMar>
              <w:top w:w="0" w:type="dxa"/>
              <w:left w:w="108" w:type="dxa"/>
              <w:bottom w:w="0" w:type="dxa"/>
              <w:right w:w="108" w:type="dxa"/>
            </w:tcMar>
            <w:vAlign w:val="center"/>
            <w:hideMark/>
          </w:tcPr>
          <w:p w14:paraId="26529F24" w14:textId="0F6879DB" w:rsidR="00C11568" w:rsidRPr="00B64061" w:rsidRDefault="00FF3ECA" w:rsidP="00D6673E">
            <w:pPr>
              <w:spacing w:before="48" w:after="48" w:line="480" w:lineRule="auto"/>
              <w:rPr>
                <w:rFonts w:asciiTheme="majorHAnsi" w:eastAsia="Times New Roman" w:hAnsiTheme="majorHAnsi" w:cstheme="majorHAnsi"/>
              </w:rPr>
            </w:pPr>
            <w:r w:rsidRPr="00B64061">
              <w:rPr>
                <w:rFonts w:asciiTheme="majorHAnsi" w:eastAsia="Times New Roman" w:hAnsiTheme="majorHAnsi" w:cstheme="majorHAnsi"/>
              </w:rPr>
              <w:t>High</w:t>
            </w:r>
            <w:r w:rsidR="00C11568" w:rsidRPr="00B64061">
              <w:rPr>
                <w:rFonts w:asciiTheme="majorHAnsi" w:eastAsia="Times New Roman" w:hAnsiTheme="majorHAnsi" w:cstheme="majorHAnsi"/>
              </w:rPr>
              <w:t xml:space="preserve"> Active</w:t>
            </w:r>
          </w:p>
          <w:p w14:paraId="102644EA" w14:textId="3BBBE9F3" w:rsidR="0034772B" w:rsidRPr="00B64061" w:rsidRDefault="0034772B"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(n =25)</w:t>
            </w:r>
          </w:p>
        </w:tc>
        <w:tc>
          <w:tcPr>
            <w:tcW w:w="343" w:type="pct"/>
            <w:shd w:val="clear" w:color="auto" w:fill="FFFFFF"/>
            <w:vAlign w:val="center"/>
          </w:tcPr>
          <w:p w14:paraId="272E8260" w14:textId="18B5549F"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7.97 (1.86)</w:t>
            </w:r>
          </w:p>
        </w:tc>
        <w:tc>
          <w:tcPr>
            <w:tcW w:w="344" w:type="pct"/>
            <w:shd w:val="clear" w:color="auto" w:fill="FFFFFF"/>
            <w:vAlign w:val="center"/>
          </w:tcPr>
          <w:p w14:paraId="3E4C6DA6" w14:textId="57125A73"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7.23 (2.08)</w:t>
            </w:r>
          </w:p>
        </w:tc>
        <w:tc>
          <w:tcPr>
            <w:tcW w:w="344" w:type="pct"/>
            <w:shd w:val="clear" w:color="auto" w:fill="FFFFFF"/>
            <w:tcMar>
              <w:top w:w="0" w:type="dxa"/>
              <w:left w:w="108" w:type="dxa"/>
              <w:bottom w:w="0" w:type="dxa"/>
              <w:right w:w="108" w:type="dxa"/>
            </w:tcMar>
            <w:vAlign w:val="center"/>
          </w:tcPr>
          <w:p w14:paraId="15174BCE" w14:textId="7C7DC4E5"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-0.74 (2.86)</w:t>
            </w:r>
          </w:p>
        </w:tc>
        <w:tc>
          <w:tcPr>
            <w:tcW w:w="346" w:type="pct"/>
            <w:shd w:val="clear" w:color="auto" w:fill="FFFFFF"/>
            <w:tcMar>
              <w:top w:w="0" w:type="dxa"/>
              <w:left w:w="108" w:type="dxa"/>
              <w:bottom w:w="0" w:type="dxa"/>
              <w:right w:w="108" w:type="dxa"/>
            </w:tcMar>
            <w:vAlign w:val="center"/>
          </w:tcPr>
          <w:p w14:paraId="39C3D0CA" w14:textId="5404D99D"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-4.86 (20.21)</w:t>
            </w:r>
          </w:p>
        </w:tc>
        <w:tc>
          <w:tcPr>
            <w:tcW w:w="344" w:type="pct"/>
            <w:shd w:val="clear" w:color="auto" w:fill="FFFFFF"/>
            <w:vAlign w:val="center"/>
          </w:tcPr>
          <w:p w14:paraId="282D9CA4" w14:textId="504128B4"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29.66 (4.27)</w:t>
            </w:r>
          </w:p>
        </w:tc>
        <w:tc>
          <w:tcPr>
            <w:tcW w:w="346" w:type="pct"/>
            <w:shd w:val="clear" w:color="auto" w:fill="FFFFFF"/>
            <w:vAlign w:val="center"/>
          </w:tcPr>
          <w:p w14:paraId="78DF0F73" w14:textId="56BB01AD"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31.62 (3.92)</w:t>
            </w:r>
          </w:p>
        </w:tc>
        <w:tc>
          <w:tcPr>
            <w:tcW w:w="344" w:type="pct"/>
            <w:shd w:val="clear" w:color="auto" w:fill="FFFFFF"/>
            <w:tcMar>
              <w:top w:w="0" w:type="dxa"/>
              <w:left w:w="108" w:type="dxa"/>
              <w:bottom w:w="0" w:type="dxa"/>
              <w:right w:w="108" w:type="dxa"/>
            </w:tcMar>
            <w:vAlign w:val="center"/>
          </w:tcPr>
          <w:p w14:paraId="2060A0BF" w14:textId="20D5ECC0"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1.96 (4.23)</w:t>
            </w:r>
          </w:p>
        </w:tc>
        <w:tc>
          <w:tcPr>
            <w:tcW w:w="344" w:type="pct"/>
            <w:shd w:val="clear" w:color="auto" w:fill="FFFFFF"/>
            <w:tcMar>
              <w:top w:w="0" w:type="dxa"/>
              <w:left w:w="108" w:type="dxa"/>
              <w:bottom w:w="0" w:type="dxa"/>
              <w:right w:w="108" w:type="dxa"/>
            </w:tcMar>
            <w:vAlign w:val="center"/>
          </w:tcPr>
          <w:p w14:paraId="36037D81" w14:textId="6EC1678C"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16.91 (49.00)</w:t>
            </w:r>
          </w:p>
        </w:tc>
        <w:tc>
          <w:tcPr>
            <w:tcW w:w="347" w:type="pct"/>
            <w:gridSpan w:val="2"/>
            <w:shd w:val="clear" w:color="auto" w:fill="FFFFFF"/>
            <w:vAlign w:val="center"/>
          </w:tcPr>
          <w:p w14:paraId="3EF28798" w14:textId="1715E204"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62.38 (5.44)</w:t>
            </w:r>
          </w:p>
        </w:tc>
        <w:tc>
          <w:tcPr>
            <w:tcW w:w="344" w:type="pct"/>
            <w:shd w:val="clear" w:color="auto" w:fill="FFFFFF"/>
            <w:vAlign w:val="center"/>
          </w:tcPr>
          <w:p w14:paraId="7948A1DD" w14:textId="4D333732"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61.16 (4.47)</w:t>
            </w:r>
          </w:p>
        </w:tc>
        <w:tc>
          <w:tcPr>
            <w:tcW w:w="346" w:type="pct"/>
            <w:gridSpan w:val="2"/>
            <w:shd w:val="clear" w:color="auto" w:fill="FFFFFF"/>
            <w:tcMar>
              <w:top w:w="0" w:type="dxa"/>
              <w:left w:w="108" w:type="dxa"/>
              <w:bottom w:w="0" w:type="dxa"/>
              <w:right w:w="108" w:type="dxa"/>
            </w:tcMar>
            <w:vAlign w:val="center"/>
          </w:tcPr>
          <w:p w14:paraId="72769EB5" w14:textId="6B6389C4"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-1.22 (5.50)</w:t>
            </w:r>
          </w:p>
        </w:tc>
        <w:tc>
          <w:tcPr>
            <w:tcW w:w="393" w:type="pct"/>
            <w:shd w:val="clear" w:color="auto" w:fill="FFFFFF"/>
            <w:tcMar>
              <w:top w:w="0" w:type="dxa"/>
              <w:left w:w="108" w:type="dxa"/>
              <w:bottom w:w="0" w:type="dxa"/>
              <w:right w:w="108" w:type="dxa"/>
            </w:tcMar>
            <w:vAlign w:val="center"/>
          </w:tcPr>
          <w:p w14:paraId="4BB376AC" w14:textId="4759A1F1" w:rsidR="0034772B" w:rsidRPr="00B64061" w:rsidRDefault="0034772B"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-7.92 (77.31)</w:t>
            </w:r>
          </w:p>
        </w:tc>
      </w:tr>
      <w:tr w:rsidR="00B64061" w:rsidRPr="00B64061" w14:paraId="653F405B" w14:textId="77777777" w:rsidTr="00DA5EA0">
        <w:trPr>
          <w:trHeight w:val="20"/>
          <w:jc w:val="center"/>
        </w:trPr>
        <w:tc>
          <w:tcPr>
            <w:tcW w:w="815" w:type="pct"/>
            <w:shd w:val="clear" w:color="auto" w:fill="FFFFFF"/>
            <w:tcMar>
              <w:top w:w="0" w:type="dxa"/>
              <w:left w:w="108" w:type="dxa"/>
              <w:bottom w:w="0" w:type="dxa"/>
              <w:right w:w="108" w:type="dxa"/>
            </w:tcMar>
            <w:vAlign w:val="center"/>
            <w:hideMark/>
          </w:tcPr>
          <w:p w14:paraId="17EF5F7F" w14:textId="77777777" w:rsidR="007860CA" w:rsidRPr="00B64061" w:rsidRDefault="007860CA"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TOTAL (n=52)</w:t>
            </w:r>
          </w:p>
        </w:tc>
        <w:tc>
          <w:tcPr>
            <w:tcW w:w="343" w:type="pct"/>
            <w:shd w:val="clear" w:color="auto" w:fill="FFFFFF"/>
            <w:vAlign w:val="center"/>
          </w:tcPr>
          <w:p w14:paraId="552F3E76"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6.07 (2.31)</w:t>
            </w:r>
          </w:p>
        </w:tc>
        <w:tc>
          <w:tcPr>
            <w:tcW w:w="344" w:type="pct"/>
            <w:shd w:val="clear" w:color="auto" w:fill="FFFFFF"/>
            <w:vAlign w:val="center"/>
          </w:tcPr>
          <w:p w14:paraId="107C1EF8"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6.38 (2.15)</w:t>
            </w:r>
          </w:p>
        </w:tc>
        <w:tc>
          <w:tcPr>
            <w:tcW w:w="344" w:type="pct"/>
            <w:shd w:val="clear" w:color="auto" w:fill="FFFFFF"/>
            <w:tcMar>
              <w:top w:w="0" w:type="dxa"/>
              <w:left w:w="108" w:type="dxa"/>
              <w:bottom w:w="0" w:type="dxa"/>
              <w:right w:w="108" w:type="dxa"/>
            </w:tcMar>
            <w:vAlign w:val="center"/>
          </w:tcPr>
          <w:p w14:paraId="04BCCB5E"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0.30 (2.65)</w:t>
            </w:r>
          </w:p>
        </w:tc>
        <w:tc>
          <w:tcPr>
            <w:tcW w:w="346" w:type="pct"/>
            <w:shd w:val="clear" w:color="auto" w:fill="FFFFFF"/>
            <w:tcMar>
              <w:top w:w="0" w:type="dxa"/>
              <w:left w:w="108" w:type="dxa"/>
              <w:bottom w:w="0" w:type="dxa"/>
              <w:right w:w="108" w:type="dxa"/>
            </w:tcMar>
            <w:vAlign w:val="center"/>
          </w:tcPr>
          <w:p w14:paraId="59D27C42"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3.04 (19.60)</w:t>
            </w:r>
          </w:p>
        </w:tc>
        <w:tc>
          <w:tcPr>
            <w:tcW w:w="344" w:type="pct"/>
            <w:shd w:val="clear" w:color="auto" w:fill="FFFFFF"/>
            <w:vAlign w:val="center"/>
          </w:tcPr>
          <w:p w14:paraId="7AF5E922"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29.80 (4.01)</w:t>
            </w:r>
          </w:p>
        </w:tc>
        <w:tc>
          <w:tcPr>
            <w:tcW w:w="346" w:type="pct"/>
            <w:shd w:val="clear" w:color="auto" w:fill="FFFFFF"/>
            <w:vAlign w:val="center"/>
          </w:tcPr>
          <w:p w14:paraId="46FDB28A"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31.83 (4.34)</w:t>
            </w:r>
          </w:p>
        </w:tc>
        <w:tc>
          <w:tcPr>
            <w:tcW w:w="344" w:type="pct"/>
            <w:shd w:val="clear" w:color="auto" w:fill="FFFFFF"/>
            <w:tcMar>
              <w:top w:w="0" w:type="dxa"/>
              <w:left w:w="108" w:type="dxa"/>
              <w:bottom w:w="0" w:type="dxa"/>
              <w:right w:w="108" w:type="dxa"/>
            </w:tcMar>
            <w:vAlign w:val="center"/>
          </w:tcPr>
          <w:p w14:paraId="0DB73546"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2.03 (4.59)</w:t>
            </w:r>
          </w:p>
        </w:tc>
        <w:tc>
          <w:tcPr>
            <w:tcW w:w="344" w:type="pct"/>
            <w:shd w:val="clear" w:color="auto" w:fill="FFFFFF"/>
            <w:tcMar>
              <w:top w:w="0" w:type="dxa"/>
              <w:left w:w="108" w:type="dxa"/>
              <w:bottom w:w="0" w:type="dxa"/>
              <w:right w:w="108" w:type="dxa"/>
            </w:tcMar>
            <w:vAlign w:val="center"/>
          </w:tcPr>
          <w:p w14:paraId="48836970"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17.20 (45.51)</w:t>
            </w:r>
          </w:p>
        </w:tc>
        <w:tc>
          <w:tcPr>
            <w:tcW w:w="347" w:type="pct"/>
            <w:gridSpan w:val="2"/>
            <w:shd w:val="clear" w:color="auto" w:fill="FFFFFF"/>
            <w:vAlign w:val="center"/>
          </w:tcPr>
          <w:p w14:paraId="7470D190"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64.13 (5.09)</w:t>
            </w:r>
          </w:p>
        </w:tc>
        <w:tc>
          <w:tcPr>
            <w:tcW w:w="344" w:type="pct"/>
            <w:shd w:val="clear" w:color="auto" w:fill="FFFFFF"/>
            <w:vAlign w:val="center"/>
          </w:tcPr>
          <w:p w14:paraId="27248663"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61.80 (5.26)</w:t>
            </w:r>
          </w:p>
        </w:tc>
        <w:tc>
          <w:tcPr>
            <w:tcW w:w="346" w:type="pct"/>
            <w:gridSpan w:val="2"/>
            <w:shd w:val="clear" w:color="auto" w:fill="FFFFFF"/>
            <w:tcMar>
              <w:top w:w="0" w:type="dxa"/>
              <w:left w:w="108" w:type="dxa"/>
              <w:bottom w:w="0" w:type="dxa"/>
              <w:right w:w="108" w:type="dxa"/>
            </w:tcMar>
            <w:vAlign w:val="center"/>
          </w:tcPr>
          <w:p w14:paraId="3F444E38"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-2.33 (5.84)</w:t>
            </w:r>
          </w:p>
        </w:tc>
        <w:tc>
          <w:tcPr>
            <w:tcW w:w="393" w:type="pct"/>
            <w:shd w:val="clear" w:color="auto" w:fill="FFFFFF"/>
            <w:tcMar>
              <w:top w:w="0" w:type="dxa"/>
              <w:left w:w="108" w:type="dxa"/>
              <w:bottom w:w="0" w:type="dxa"/>
              <w:right w:w="108" w:type="dxa"/>
            </w:tcMar>
            <w:vAlign w:val="center"/>
          </w:tcPr>
          <w:p w14:paraId="3A799469"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-12/42 (77.35)</w:t>
            </w:r>
          </w:p>
        </w:tc>
      </w:tr>
      <w:tr w:rsidR="00B64061" w:rsidRPr="00B64061" w14:paraId="4FE6BC9C" w14:textId="77777777" w:rsidTr="00DA5EA0">
        <w:trPr>
          <w:trHeight w:val="20"/>
          <w:jc w:val="center"/>
        </w:trPr>
        <w:tc>
          <w:tcPr>
            <w:tcW w:w="815" w:type="pct"/>
            <w:shd w:val="clear" w:color="auto" w:fill="FFFFFF"/>
            <w:tcMar>
              <w:top w:w="0" w:type="dxa"/>
              <w:left w:w="108" w:type="dxa"/>
              <w:bottom w:w="0" w:type="dxa"/>
              <w:right w:w="108" w:type="dxa"/>
            </w:tcMar>
            <w:hideMark/>
          </w:tcPr>
          <w:p w14:paraId="4694D673" w14:textId="77777777" w:rsidR="007860CA" w:rsidRPr="00B64061" w:rsidRDefault="007860CA" w:rsidP="00D6673E">
            <w:pPr>
              <w:spacing w:before="240" w:after="48" w:line="480" w:lineRule="auto"/>
              <w:rPr>
                <w:rFonts w:asciiTheme="majorHAnsi" w:eastAsia="Times New Roman" w:hAnsiTheme="majorHAnsi" w:cs="Times New Roman"/>
                <w:b/>
              </w:rPr>
            </w:pPr>
            <w:r w:rsidRPr="00B64061">
              <w:rPr>
                <w:rFonts w:asciiTheme="majorHAnsi" w:eastAsia="Times New Roman" w:hAnsiTheme="majorHAnsi" w:cs="Times New Roman"/>
                <w:b/>
              </w:rPr>
              <w:lastRenderedPageBreak/>
              <w:t>Control</w:t>
            </w:r>
          </w:p>
        </w:tc>
        <w:tc>
          <w:tcPr>
            <w:tcW w:w="343" w:type="pct"/>
            <w:shd w:val="clear" w:color="auto" w:fill="FFFFFF"/>
            <w:vAlign w:val="center"/>
          </w:tcPr>
          <w:p w14:paraId="56F3C920"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4" w:type="pct"/>
            <w:shd w:val="clear" w:color="auto" w:fill="FFFFFF"/>
            <w:vAlign w:val="center"/>
          </w:tcPr>
          <w:p w14:paraId="6177B82D"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4" w:type="pct"/>
            <w:shd w:val="clear" w:color="auto" w:fill="FFFFFF"/>
            <w:tcMar>
              <w:top w:w="0" w:type="dxa"/>
              <w:left w:w="108" w:type="dxa"/>
              <w:bottom w:w="0" w:type="dxa"/>
              <w:right w:w="108" w:type="dxa"/>
            </w:tcMar>
            <w:vAlign w:val="center"/>
          </w:tcPr>
          <w:p w14:paraId="48E1713C"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6" w:type="pct"/>
            <w:shd w:val="clear" w:color="auto" w:fill="FFFFFF"/>
            <w:tcMar>
              <w:top w:w="0" w:type="dxa"/>
              <w:left w:w="108" w:type="dxa"/>
              <w:bottom w:w="0" w:type="dxa"/>
              <w:right w:w="108" w:type="dxa"/>
            </w:tcMar>
            <w:vAlign w:val="center"/>
          </w:tcPr>
          <w:p w14:paraId="0BC1F14D"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4" w:type="pct"/>
            <w:shd w:val="clear" w:color="auto" w:fill="FFFFFF"/>
            <w:vAlign w:val="center"/>
          </w:tcPr>
          <w:p w14:paraId="2A52DD08"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6" w:type="pct"/>
            <w:shd w:val="clear" w:color="auto" w:fill="FFFFFF"/>
            <w:vAlign w:val="center"/>
          </w:tcPr>
          <w:p w14:paraId="47F64F60"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4" w:type="pct"/>
            <w:shd w:val="clear" w:color="auto" w:fill="FFFFFF"/>
            <w:tcMar>
              <w:top w:w="0" w:type="dxa"/>
              <w:left w:w="108" w:type="dxa"/>
              <w:bottom w:w="0" w:type="dxa"/>
              <w:right w:w="108" w:type="dxa"/>
            </w:tcMar>
            <w:vAlign w:val="center"/>
          </w:tcPr>
          <w:p w14:paraId="4F4FFD0D"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4" w:type="pct"/>
            <w:shd w:val="clear" w:color="auto" w:fill="FFFFFF"/>
            <w:tcMar>
              <w:top w:w="0" w:type="dxa"/>
              <w:left w:w="108" w:type="dxa"/>
              <w:bottom w:w="0" w:type="dxa"/>
              <w:right w:w="108" w:type="dxa"/>
            </w:tcMar>
            <w:vAlign w:val="center"/>
          </w:tcPr>
          <w:p w14:paraId="4AABBA22"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7" w:type="pct"/>
            <w:gridSpan w:val="2"/>
            <w:shd w:val="clear" w:color="auto" w:fill="FFFFFF"/>
            <w:vAlign w:val="center"/>
          </w:tcPr>
          <w:p w14:paraId="39107F19"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4" w:type="pct"/>
            <w:shd w:val="clear" w:color="auto" w:fill="FFFFFF"/>
            <w:vAlign w:val="center"/>
          </w:tcPr>
          <w:p w14:paraId="48E8A644"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46" w:type="pct"/>
            <w:gridSpan w:val="2"/>
            <w:shd w:val="clear" w:color="auto" w:fill="FFFFFF"/>
            <w:tcMar>
              <w:top w:w="0" w:type="dxa"/>
              <w:left w:w="108" w:type="dxa"/>
              <w:bottom w:w="0" w:type="dxa"/>
              <w:right w:w="108" w:type="dxa"/>
            </w:tcMar>
            <w:vAlign w:val="center"/>
          </w:tcPr>
          <w:p w14:paraId="203F63C9" w14:textId="77777777" w:rsidR="007860CA" w:rsidRPr="00B64061" w:rsidRDefault="007860CA" w:rsidP="00D6673E">
            <w:pPr>
              <w:spacing w:after="0" w:line="480" w:lineRule="auto"/>
              <w:jc w:val="center"/>
              <w:rPr>
                <w:rFonts w:asciiTheme="majorHAnsi" w:eastAsia="Times New Roman" w:hAnsiTheme="majorHAnsi" w:cstheme="majorHAnsi"/>
              </w:rPr>
            </w:pPr>
          </w:p>
        </w:tc>
        <w:tc>
          <w:tcPr>
            <w:tcW w:w="393" w:type="pct"/>
            <w:shd w:val="clear" w:color="auto" w:fill="FFFFFF"/>
            <w:tcMar>
              <w:top w:w="0" w:type="dxa"/>
              <w:left w:w="108" w:type="dxa"/>
              <w:bottom w:w="0" w:type="dxa"/>
              <w:right w:w="108" w:type="dxa"/>
            </w:tcMar>
            <w:vAlign w:val="center"/>
          </w:tcPr>
          <w:p w14:paraId="3AE3CAC5" w14:textId="77777777" w:rsidR="007860CA" w:rsidRPr="00B64061" w:rsidRDefault="007860CA" w:rsidP="00D6673E">
            <w:pPr>
              <w:spacing w:after="0" w:line="480" w:lineRule="auto"/>
              <w:jc w:val="center"/>
              <w:rPr>
                <w:rFonts w:asciiTheme="majorHAnsi" w:eastAsia="Times New Roman" w:hAnsiTheme="majorHAnsi" w:cstheme="majorHAnsi"/>
              </w:rPr>
            </w:pPr>
          </w:p>
        </w:tc>
      </w:tr>
      <w:tr w:rsidR="00B64061" w:rsidRPr="00B64061" w14:paraId="16E3B4A1" w14:textId="77777777" w:rsidTr="00DA5EA0">
        <w:trPr>
          <w:trHeight w:val="20"/>
          <w:jc w:val="center"/>
        </w:trPr>
        <w:tc>
          <w:tcPr>
            <w:tcW w:w="815" w:type="pct"/>
            <w:shd w:val="clear" w:color="auto" w:fill="FFFFFF"/>
            <w:tcMar>
              <w:top w:w="0" w:type="dxa"/>
              <w:left w:w="108" w:type="dxa"/>
              <w:bottom w:w="0" w:type="dxa"/>
              <w:right w:w="108" w:type="dxa"/>
            </w:tcMar>
            <w:vAlign w:val="center"/>
            <w:hideMark/>
          </w:tcPr>
          <w:p w14:paraId="58AE5C87" w14:textId="3FC22B0D" w:rsidR="00C11568" w:rsidRPr="00B64061" w:rsidRDefault="00C11568"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L</w:t>
            </w:r>
            <w:r w:rsidR="00FF3ECA" w:rsidRPr="00B64061">
              <w:rPr>
                <w:rFonts w:asciiTheme="majorHAnsi" w:eastAsia="Times New Roman" w:hAnsiTheme="majorHAnsi" w:cs="Times New Roman"/>
              </w:rPr>
              <w:t>ow</w:t>
            </w:r>
            <w:r w:rsidRPr="00B64061">
              <w:rPr>
                <w:rFonts w:asciiTheme="majorHAnsi" w:eastAsia="Times New Roman" w:hAnsiTheme="majorHAnsi" w:cs="Times New Roman"/>
              </w:rPr>
              <w:t xml:space="preserve"> Active</w:t>
            </w:r>
          </w:p>
          <w:p w14:paraId="61DE8CBA" w14:textId="6A18FDF0" w:rsidR="006A4F7E" w:rsidRPr="00B64061" w:rsidRDefault="006A4F7E"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(n =13)</w:t>
            </w:r>
          </w:p>
        </w:tc>
        <w:tc>
          <w:tcPr>
            <w:tcW w:w="343" w:type="pct"/>
            <w:shd w:val="clear" w:color="auto" w:fill="FFFFFF"/>
            <w:vAlign w:val="center"/>
          </w:tcPr>
          <w:p w14:paraId="31C9B687" w14:textId="3068CEB0"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4.85 (1.47)</w:t>
            </w:r>
          </w:p>
        </w:tc>
        <w:tc>
          <w:tcPr>
            <w:tcW w:w="344" w:type="pct"/>
            <w:shd w:val="clear" w:color="auto" w:fill="FFFFFF"/>
            <w:vAlign w:val="center"/>
          </w:tcPr>
          <w:p w14:paraId="226C35A8" w14:textId="5B634374"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5.65 (2.72)</w:t>
            </w:r>
          </w:p>
        </w:tc>
        <w:tc>
          <w:tcPr>
            <w:tcW w:w="344" w:type="pct"/>
            <w:shd w:val="clear" w:color="auto" w:fill="FFFFFF"/>
            <w:tcMar>
              <w:top w:w="0" w:type="dxa"/>
              <w:left w:w="108" w:type="dxa"/>
              <w:bottom w:w="0" w:type="dxa"/>
              <w:right w:w="108" w:type="dxa"/>
            </w:tcMar>
            <w:vAlign w:val="center"/>
          </w:tcPr>
          <w:p w14:paraId="2C5334FD" w14:textId="78003CBB"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0.79 (2.23)</w:t>
            </w:r>
          </w:p>
        </w:tc>
        <w:tc>
          <w:tcPr>
            <w:tcW w:w="346" w:type="pct"/>
            <w:shd w:val="clear" w:color="auto" w:fill="FFFFFF"/>
            <w:tcMar>
              <w:top w:w="0" w:type="dxa"/>
              <w:left w:w="108" w:type="dxa"/>
              <w:bottom w:w="0" w:type="dxa"/>
              <w:right w:w="108" w:type="dxa"/>
            </w:tcMar>
            <w:vAlign w:val="center"/>
          </w:tcPr>
          <w:p w14:paraId="0F24A847" w14:textId="398ECC7F"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6.75 (15.98)</w:t>
            </w:r>
          </w:p>
        </w:tc>
        <w:tc>
          <w:tcPr>
            <w:tcW w:w="344" w:type="pct"/>
            <w:shd w:val="clear" w:color="auto" w:fill="FFFFFF"/>
            <w:vAlign w:val="center"/>
          </w:tcPr>
          <w:p w14:paraId="0C586185" w14:textId="006BEE14"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27.48 (4.36)</w:t>
            </w:r>
          </w:p>
        </w:tc>
        <w:tc>
          <w:tcPr>
            <w:tcW w:w="346" w:type="pct"/>
            <w:shd w:val="clear" w:color="auto" w:fill="FFFFFF"/>
            <w:vAlign w:val="center"/>
          </w:tcPr>
          <w:p w14:paraId="35A1E7DC" w14:textId="582D44AC"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28.57 (3.34)</w:t>
            </w:r>
          </w:p>
        </w:tc>
        <w:tc>
          <w:tcPr>
            <w:tcW w:w="344" w:type="pct"/>
            <w:shd w:val="clear" w:color="auto" w:fill="FFFFFF"/>
            <w:tcMar>
              <w:top w:w="0" w:type="dxa"/>
              <w:left w:w="108" w:type="dxa"/>
              <w:bottom w:w="0" w:type="dxa"/>
              <w:right w:w="108" w:type="dxa"/>
            </w:tcMar>
            <w:vAlign w:val="center"/>
          </w:tcPr>
          <w:p w14:paraId="1F48B3C6" w14:textId="17E1B758"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1.10 (4.05)</w:t>
            </w:r>
          </w:p>
        </w:tc>
        <w:tc>
          <w:tcPr>
            <w:tcW w:w="344" w:type="pct"/>
            <w:shd w:val="clear" w:color="auto" w:fill="FFFFFF"/>
            <w:tcMar>
              <w:top w:w="0" w:type="dxa"/>
              <w:left w:w="108" w:type="dxa"/>
              <w:bottom w:w="0" w:type="dxa"/>
              <w:right w:w="108" w:type="dxa"/>
            </w:tcMar>
            <w:vAlign w:val="center"/>
          </w:tcPr>
          <w:p w14:paraId="43256608" w14:textId="384BCFEF"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14.43 (35.72)</w:t>
            </w:r>
          </w:p>
        </w:tc>
        <w:tc>
          <w:tcPr>
            <w:tcW w:w="347" w:type="pct"/>
            <w:gridSpan w:val="2"/>
            <w:shd w:val="clear" w:color="auto" w:fill="FFFFFF"/>
            <w:vAlign w:val="center"/>
          </w:tcPr>
          <w:p w14:paraId="0CC8161A" w14:textId="4DAE3F5E"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67.67 (5.23)</w:t>
            </w:r>
          </w:p>
        </w:tc>
        <w:tc>
          <w:tcPr>
            <w:tcW w:w="344" w:type="pct"/>
            <w:shd w:val="clear" w:color="auto" w:fill="FFFFFF"/>
            <w:vAlign w:val="center"/>
          </w:tcPr>
          <w:p w14:paraId="7304AB13" w14:textId="14C85C9B"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65.78 (4.19)</w:t>
            </w:r>
          </w:p>
        </w:tc>
        <w:tc>
          <w:tcPr>
            <w:tcW w:w="346" w:type="pct"/>
            <w:gridSpan w:val="2"/>
            <w:shd w:val="clear" w:color="auto" w:fill="FFFFFF"/>
            <w:tcMar>
              <w:top w:w="0" w:type="dxa"/>
              <w:left w:w="108" w:type="dxa"/>
              <w:bottom w:w="0" w:type="dxa"/>
              <w:right w:w="108" w:type="dxa"/>
            </w:tcMar>
            <w:vAlign w:val="center"/>
          </w:tcPr>
          <w:p w14:paraId="1523EA9F" w14:textId="2E433E73"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-1.89 (4.96)</w:t>
            </w:r>
          </w:p>
        </w:tc>
        <w:tc>
          <w:tcPr>
            <w:tcW w:w="393" w:type="pct"/>
            <w:shd w:val="clear" w:color="auto" w:fill="FFFFFF"/>
            <w:tcMar>
              <w:top w:w="0" w:type="dxa"/>
              <w:left w:w="108" w:type="dxa"/>
              <w:bottom w:w="0" w:type="dxa"/>
              <w:right w:w="108" w:type="dxa"/>
            </w:tcMar>
            <w:vAlign w:val="center"/>
          </w:tcPr>
          <w:p w14:paraId="1DEC8CD6" w14:textId="25998FE2"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2.21 (55.19)</w:t>
            </w:r>
          </w:p>
        </w:tc>
      </w:tr>
      <w:tr w:rsidR="00B64061" w:rsidRPr="00B64061" w14:paraId="7C83B853" w14:textId="77777777" w:rsidTr="00DA5EA0">
        <w:trPr>
          <w:trHeight w:val="20"/>
          <w:jc w:val="center"/>
        </w:trPr>
        <w:tc>
          <w:tcPr>
            <w:tcW w:w="815" w:type="pct"/>
            <w:shd w:val="clear" w:color="auto" w:fill="FFFFFF"/>
            <w:tcMar>
              <w:top w:w="0" w:type="dxa"/>
              <w:left w:w="108" w:type="dxa"/>
              <w:bottom w:w="0" w:type="dxa"/>
              <w:right w:w="108" w:type="dxa"/>
            </w:tcMar>
            <w:vAlign w:val="center"/>
            <w:hideMark/>
          </w:tcPr>
          <w:p w14:paraId="2BDC3E6A" w14:textId="5B4F0560" w:rsidR="00C11568" w:rsidRPr="00B64061" w:rsidRDefault="00FF3ECA" w:rsidP="00D6673E">
            <w:pPr>
              <w:spacing w:before="48" w:after="48" w:line="480" w:lineRule="auto"/>
              <w:rPr>
                <w:rFonts w:asciiTheme="majorHAnsi" w:eastAsia="Times New Roman" w:hAnsiTheme="majorHAnsi" w:cstheme="majorHAnsi"/>
              </w:rPr>
            </w:pPr>
            <w:r w:rsidRPr="00B64061">
              <w:rPr>
                <w:rFonts w:asciiTheme="majorHAnsi" w:eastAsia="Times New Roman" w:hAnsiTheme="majorHAnsi" w:cstheme="majorHAnsi"/>
              </w:rPr>
              <w:t>High</w:t>
            </w:r>
            <w:r w:rsidR="00C11568" w:rsidRPr="00B64061">
              <w:rPr>
                <w:rFonts w:asciiTheme="majorHAnsi" w:eastAsia="Times New Roman" w:hAnsiTheme="majorHAnsi" w:cstheme="majorHAnsi"/>
              </w:rPr>
              <w:t xml:space="preserve"> Active</w:t>
            </w:r>
          </w:p>
          <w:p w14:paraId="38953185" w14:textId="485C0943" w:rsidR="006A4F7E" w:rsidRPr="00B64061" w:rsidRDefault="006A4F7E"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(n =18)</w:t>
            </w:r>
          </w:p>
        </w:tc>
        <w:tc>
          <w:tcPr>
            <w:tcW w:w="343" w:type="pct"/>
            <w:shd w:val="clear" w:color="auto" w:fill="FFFFFF"/>
            <w:vAlign w:val="center"/>
          </w:tcPr>
          <w:p w14:paraId="4E999B86" w14:textId="46D365AA"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8.18 (2.33)</w:t>
            </w:r>
          </w:p>
        </w:tc>
        <w:tc>
          <w:tcPr>
            <w:tcW w:w="344" w:type="pct"/>
            <w:shd w:val="clear" w:color="auto" w:fill="FFFFFF"/>
            <w:vAlign w:val="center"/>
          </w:tcPr>
          <w:p w14:paraId="75F04635" w14:textId="2F18A856"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7.80 (2.34)</w:t>
            </w:r>
          </w:p>
        </w:tc>
        <w:tc>
          <w:tcPr>
            <w:tcW w:w="344" w:type="pct"/>
            <w:shd w:val="clear" w:color="auto" w:fill="FFFFFF"/>
            <w:tcMar>
              <w:top w:w="0" w:type="dxa"/>
              <w:left w:w="108" w:type="dxa"/>
              <w:bottom w:w="0" w:type="dxa"/>
              <w:right w:w="108" w:type="dxa"/>
            </w:tcMar>
            <w:vAlign w:val="center"/>
          </w:tcPr>
          <w:p w14:paraId="1DC259FD" w14:textId="48F8C98A"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-0.38 (2.45)</w:t>
            </w:r>
          </w:p>
        </w:tc>
        <w:tc>
          <w:tcPr>
            <w:tcW w:w="346" w:type="pct"/>
            <w:shd w:val="clear" w:color="auto" w:fill="FFFFFF"/>
            <w:tcMar>
              <w:top w:w="0" w:type="dxa"/>
              <w:left w:w="108" w:type="dxa"/>
              <w:bottom w:w="0" w:type="dxa"/>
              <w:right w:w="108" w:type="dxa"/>
            </w:tcMar>
            <w:vAlign w:val="center"/>
          </w:tcPr>
          <w:p w14:paraId="440306C4" w14:textId="5CD1F8E6"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-2.13 (16.40)</w:t>
            </w:r>
          </w:p>
        </w:tc>
        <w:tc>
          <w:tcPr>
            <w:tcW w:w="344" w:type="pct"/>
            <w:shd w:val="clear" w:color="auto" w:fill="FFFFFF"/>
            <w:vAlign w:val="center"/>
          </w:tcPr>
          <w:p w14:paraId="43276E76" w14:textId="6F90AA7D"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31.84 (7.12)</w:t>
            </w:r>
          </w:p>
        </w:tc>
        <w:tc>
          <w:tcPr>
            <w:tcW w:w="346" w:type="pct"/>
            <w:shd w:val="clear" w:color="auto" w:fill="FFFFFF"/>
            <w:vAlign w:val="center"/>
          </w:tcPr>
          <w:p w14:paraId="5AC575DD" w14:textId="656E19D6"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30.90 (4.55)</w:t>
            </w:r>
          </w:p>
        </w:tc>
        <w:tc>
          <w:tcPr>
            <w:tcW w:w="344" w:type="pct"/>
            <w:shd w:val="clear" w:color="auto" w:fill="FFFFFF"/>
            <w:tcMar>
              <w:top w:w="0" w:type="dxa"/>
              <w:left w:w="108" w:type="dxa"/>
              <w:bottom w:w="0" w:type="dxa"/>
              <w:right w:w="108" w:type="dxa"/>
            </w:tcMar>
            <w:vAlign w:val="center"/>
          </w:tcPr>
          <w:p w14:paraId="644786AF" w14:textId="391A7BD8"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-0.95 (4.31)</w:t>
            </w:r>
          </w:p>
        </w:tc>
        <w:tc>
          <w:tcPr>
            <w:tcW w:w="344" w:type="pct"/>
            <w:shd w:val="clear" w:color="auto" w:fill="FFFFFF"/>
            <w:tcMar>
              <w:top w:w="0" w:type="dxa"/>
              <w:left w:w="108" w:type="dxa"/>
              <w:bottom w:w="0" w:type="dxa"/>
              <w:right w:w="108" w:type="dxa"/>
            </w:tcMar>
            <w:vAlign w:val="center"/>
          </w:tcPr>
          <w:p w14:paraId="2706DAE4" w14:textId="56CEC61F"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-6.61 (32.72)</w:t>
            </w:r>
          </w:p>
        </w:tc>
        <w:tc>
          <w:tcPr>
            <w:tcW w:w="347" w:type="pct"/>
            <w:gridSpan w:val="2"/>
            <w:shd w:val="clear" w:color="auto" w:fill="FFFFFF"/>
            <w:vAlign w:val="center"/>
          </w:tcPr>
          <w:p w14:paraId="4D082535" w14:textId="170C0ABF"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59.99 (8.17)</w:t>
            </w:r>
          </w:p>
        </w:tc>
        <w:tc>
          <w:tcPr>
            <w:tcW w:w="344" w:type="pct"/>
            <w:shd w:val="clear" w:color="auto" w:fill="FFFFFF"/>
            <w:vAlign w:val="center"/>
          </w:tcPr>
          <w:p w14:paraId="4C884DED" w14:textId="0CDF37B6"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61.31 (5.76)</w:t>
            </w:r>
          </w:p>
        </w:tc>
        <w:tc>
          <w:tcPr>
            <w:tcW w:w="346" w:type="pct"/>
            <w:gridSpan w:val="2"/>
            <w:shd w:val="clear" w:color="auto" w:fill="FFFFFF"/>
            <w:tcMar>
              <w:top w:w="0" w:type="dxa"/>
              <w:left w:w="108" w:type="dxa"/>
              <w:bottom w:w="0" w:type="dxa"/>
              <w:right w:w="108" w:type="dxa"/>
            </w:tcMar>
            <w:vAlign w:val="center"/>
          </w:tcPr>
          <w:p w14:paraId="2422579D" w14:textId="58149609"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1.33 (5.66)</w:t>
            </w:r>
          </w:p>
        </w:tc>
        <w:tc>
          <w:tcPr>
            <w:tcW w:w="393" w:type="pct"/>
            <w:shd w:val="clear" w:color="auto" w:fill="FFFFFF"/>
            <w:tcMar>
              <w:top w:w="0" w:type="dxa"/>
              <w:left w:w="108" w:type="dxa"/>
              <w:bottom w:w="0" w:type="dxa"/>
              <w:right w:w="108" w:type="dxa"/>
            </w:tcMar>
            <w:vAlign w:val="center"/>
          </w:tcPr>
          <w:p w14:paraId="5487E5B2" w14:textId="51655D51" w:rsidR="006A4F7E" w:rsidRPr="00B64061" w:rsidRDefault="006A4F7E"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3.10 (52.76)</w:t>
            </w:r>
          </w:p>
        </w:tc>
      </w:tr>
      <w:tr w:rsidR="00B64061" w:rsidRPr="00B64061" w14:paraId="46F1E52C" w14:textId="77777777" w:rsidTr="00DA5EA0">
        <w:trPr>
          <w:trHeight w:val="20"/>
          <w:jc w:val="center"/>
        </w:trPr>
        <w:tc>
          <w:tcPr>
            <w:tcW w:w="815" w:type="pct"/>
            <w:tcBorders>
              <w:bottom w:val="single" w:sz="12" w:space="0" w:color="auto"/>
            </w:tcBorders>
            <w:shd w:val="clear" w:color="auto" w:fill="FFFFFF"/>
            <w:tcMar>
              <w:top w:w="0" w:type="dxa"/>
              <w:left w:w="108" w:type="dxa"/>
              <w:bottom w:w="0" w:type="dxa"/>
              <w:right w:w="108" w:type="dxa"/>
            </w:tcMar>
            <w:vAlign w:val="center"/>
            <w:hideMark/>
          </w:tcPr>
          <w:p w14:paraId="499424BF" w14:textId="77777777" w:rsidR="007860CA" w:rsidRPr="00B64061" w:rsidRDefault="007860CA" w:rsidP="00D6673E">
            <w:pPr>
              <w:spacing w:before="48" w:after="48" w:line="480" w:lineRule="auto"/>
              <w:rPr>
                <w:rFonts w:asciiTheme="majorHAnsi" w:eastAsia="Times New Roman" w:hAnsiTheme="majorHAnsi" w:cs="Times New Roman"/>
              </w:rPr>
            </w:pPr>
            <w:r w:rsidRPr="00B64061">
              <w:rPr>
                <w:rFonts w:asciiTheme="majorHAnsi" w:eastAsia="Times New Roman" w:hAnsiTheme="majorHAnsi" w:cs="Times New Roman"/>
              </w:rPr>
              <w:t>TOTAL (n=32)</w:t>
            </w:r>
          </w:p>
        </w:tc>
        <w:tc>
          <w:tcPr>
            <w:tcW w:w="343" w:type="pct"/>
            <w:tcBorders>
              <w:bottom w:val="single" w:sz="12" w:space="0" w:color="auto"/>
            </w:tcBorders>
            <w:shd w:val="clear" w:color="auto" w:fill="FFFFFF"/>
            <w:vAlign w:val="center"/>
          </w:tcPr>
          <w:p w14:paraId="53527EB0"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6.72 (2.55)</w:t>
            </w:r>
          </w:p>
        </w:tc>
        <w:tc>
          <w:tcPr>
            <w:tcW w:w="344" w:type="pct"/>
            <w:tcBorders>
              <w:bottom w:val="single" w:sz="12" w:space="0" w:color="auto"/>
            </w:tcBorders>
            <w:shd w:val="clear" w:color="auto" w:fill="FFFFFF"/>
            <w:vAlign w:val="center"/>
          </w:tcPr>
          <w:p w14:paraId="1ED314D5"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6.85 (2.70)</w:t>
            </w:r>
          </w:p>
        </w:tc>
        <w:tc>
          <w:tcPr>
            <w:tcW w:w="344" w:type="pct"/>
            <w:tcBorders>
              <w:bottom w:val="single" w:sz="12" w:space="0" w:color="auto"/>
            </w:tcBorders>
            <w:shd w:val="clear" w:color="auto" w:fill="FFFFFF"/>
            <w:tcMar>
              <w:top w:w="0" w:type="dxa"/>
              <w:left w:w="108" w:type="dxa"/>
              <w:bottom w:w="0" w:type="dxa"/>
              <w:right w:w="108" w:type="dxa"/>
            </w:tcMar>
            <w:vAlign w:val="center"/>
          </w:tcPr>
          <w:p w14:paraId="22D302A0"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0.13 (2.35)</w:t>
            </w:r>
          </w:p>
        </w:tc>
        <w:tc>
          <w:tcPr>
            <w:tcW w:w="346" w:type="pct"/>
            <w:tcBorders>
              <w:bottom w:val="single" w:sz="12" w:space="0" w:color="auto"/>
            </w:tcBorders>
            <w:shd w:val="clear" w:color="auto" w:fill="FFFFFF"/>
            <w:tcMar>
              <w:top w:w="0" w:type="dxa"/>
              <w:left w:w="108" w:type="dxa"/>
              <w:bottom w:w="0" w:type="dxa"/>
              <w:right w:w="108" w:type="dxa"/>
            </w:tcMar>
            <w:vAlign w:val="center"/>
          </w:tcPr>
          <w:p w14:paraId="14188666"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1.75 (16.57)</w:t>
            </w:r>
          </w:p>
        </w:tc>
        <w:tc>
          <w:tcPr>
            <w:tcW w:w="344" w:type="pct"/>
            <w:tcBorders>
              <w:bottom w:val="single" w:sz="12" w:space="0" w:color="auto"/>
            </w:tcBorders>
            <w:shd w:val="clear" w:color="auto" w:fill="FFFFFF"/>
            <w:vAlign w:val="center"/>
          </w:tcPr>
          <w:p w14:paraId="0BE8BB78"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29.93 (6.27)</w:t>
            </w:r>
          </w:p>
        </w:tc>
        <w:tc>
          <w:tcPr>
            <w:tcW w:w="346" w:type="pct"/>
            <w:tcBorders>
              <w:bottom w:val="single" w:sz="12" w:space="0" w:color="auto"/>
            </w:tcBorders>
            <w:shd w:val="clear" w:color="auto" w:fill="FFFFFF"/>
            <w:vAlign w:val="center"/>
          </w:tcPr>
          <w:p w14:paraId="7A6C97D9"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29.88 (4.18)</w:t>
            </w:r>
          </w:p>
        </w:tc>
        <w:tc>
          <w:tcPr>
            <w:tcW w:w="344" w:type="pct"/>
            <w:tcBorders>
              <w:bottom w:val="single" w:sz="12" w:space="0" w:color="auto"/>
            </w:tcBorders>
            <w:shd w:val="clear" w:color="auto" w:fill="FFFFFF"/>
            <w:tcMar>
              <w:top w:w="0" w:type="dxa"/>
              <w:left w:w="108" w:type="dxa"/>
              <w:bottom w:w="0" w:type="dxa"/>
              <w:right w:w="108" w:type="dxa"/>
            </w:tcMar>
            <w:vAlign w:val="center"/>
          </w:tcPr>
          <w:p w14:paraId="330A54F2"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-0.05 (4.19)</w:t>
            </w:r>
          </w:p>
        </w:tc>
        <w:tc>
          <w:tcPr>
            <w:tcW w:w="344" w:type="pct"/>
            <w:tcBorders>
              <w:bottom w:val="single" w:sz="12" w:space="0" w:color="auto"/>
            </w:tcBorders>
            <w:shd w:val="clear" w:color="auto" w:fill="FFFFFF"/>
            <w:tcMar>
              <w:top w:w="0" w:type="dxa"/>
              <w:left w:w="108" w:type="dxa"/>
              <w:bottom w:w="0" w:type="dxa"/>
              <w:right w:w="108" w:type="dxa"/>
            </w:tcMar>
            <w:vAlign w:val="center"/>
          </w:tcPr>
          <w:p w14:paraId="2E699E28"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2.59 (35.14)</w:t>
            </w:r>
          </w:p>
        </w:tc>
        <w:tc>
          <w:tcPr>
            <w:tcW w:w="347" w:type="pct"/>
            <w:gridSpan w:val="2"/>
            <w:tcBorders>
              <w:bottom w:val="single" w:sz="12" w:space="0" w:color="auto"/>
            </w:tcBorders>
            <w:shd w:val="clear" w:color="auto" w:fill="FFFFFF"/>
            <w:vAlign w:val="center"/>
          </w:tcPr>
          <w:p w14:paraId="24E540FF"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63.35 (7.82)</w:t>
            </w:r>
          </w:p>
        </w:tc>
        <w:tc>
          <w:tcPr>
            <w:tcW w:w="344" w:type="pct"/>
            <w:tcBorders>
              <w:bottom w:val="single" w:sz="12" w:space="0" w:color="auto"/>
            </w:tcBorders>
            <w:shd w:val="clear" w:color="auto" w:fill="FFFFFF"/>
            <w:vAlign w:val="center"/>
          </w:tcPr>
          <w:p w14:paraId="09FB2FA9"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63.27 (5.54)</w:t>
            </w:r>
          </w:p>
        </w:tc>
        <w:tc>
          <w:tcPr>
            <w:tcW w:w="346" w:type="pct"/>
            <w:gridSpan w:val="2"/>
            <w:tcBorders>
              <w:bottom w:val="single" w:sz="12" w:space="0" w:color="auto"/>
            </w:tcBorders>
            <w:shd w:val="clear" w:color="auto" w:fill="FFFFFF"/>
            <w:tcMar>
              <w:top w:w="0" w:type="dxa"/>
              <w:left w:w="108" w:type="dxa"/>
              <w:bottom w:w="0" w:type="dxa"/>
              <w:right w:w="108" w:type="dxa"/>
            </w:tcMar>
            <w:vAlign w:val="center"/>
          </w:tcPr>
          <w:p w14:paraId="046022A4"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-0.08 (5.52)</w:t>
            </w:r>
          </w:p>
        </w:tc>
        <w:tc>
          <w:tcPr>
            <w:tcW w:w="393" w:type="pct"/>
            <w:tcBorders>
              <w:bottom w:val="single" w:sz="12" w:space="0" w:color="auto"/>
            </w:tcBorders>
            <w:shd w:val="clear" w:color="auto" w:fill="FFFFFF"/>
            <w:tcMar>
              <w:top w:w="0" w:type="dxa"/>
              <w:left w:w="108" w:type="dxa"/>
              <w:bottom w:w="0" w:type="dxa"/>
              <w:right w:w="108" w:type="dxa"/>
            </w:tcMar>
            <w:vAlign w:val="center"/>
          </w:tcPr>
          <w:p w14:paraId="771DA28D" w14:textId="77777777" w:rsidR="007860CA" w:rsidRPr="00B64061" w:rsidRDefault="007860CA" w:rsidP="00D6673E">
            <w:pPr>
              <w:spacing w:before="48" w:after="48" w:line="480" w:lineRule="auto"/>
              <w:jc w:val="center"/>
              <w:rPr>
                <w:rFonts w:asciiTheme="majorHAnsi" w:eastAsia="Times New Roman" w:hAnsiTheme="majorHAnsi" w:cstheme="majorHAnsi"/>
              </w:rPr>
            </w:pPr>
            <w:r w:rsidRPr="00B64061">
              <w:rPr>
                <w:rFonts w:asciiTheme="majorHAnsi" w:eastAsia="Times New Roman" w:hAnsiTheme="majorHAnsi" w:cstheme="majorHAnsi"/>
              </w:rPr>
              <w:t>2.71 (52.95)</w:t>
            </w:r>
          </w:p>
        </w:tc>
      </w:tr>
    </w:tbl>
    <w:p w14:paraId="48F19CD4" w14:textId="50932920" w:rsidR="007860CA" w:rsidRPr="00B64061" w:rsidRDefault="00411B89" w:rsidP="00112995">
      <w:pPr>
        <w:spacing w:before="240"/>
        <w:rPr>
          <w:i/>
        </w:rPr>
      </w:pPr>
      <w:r w:rsidRPr="00B64061">
        <w:rPr>
          <w:i/>
        </w:rPr>
        <w:t>NB: FIW Final Week Inter</w:t>
      </w:r>
      <w:r w:rsidR="00112995" w:rsidRPr="00B64061">
        <w:rPr>
          <w:i/>
        </w:rPr>
        <w:t xml:space="preserve">vention, SD Standard Deviation. </w:t>
      </w:r>
      <w:r w:rsidR="00FF3ECA" w:rsidRPr="00B64061">
        <w:rPr>
          <w:i/>
        </w:rPr>
        <w:t>Low Active</w:t>
      </w:r>
      <w:r w:rsidR="00C11568" w:rsidRPr="00B64061">
        <w:rPr>
          <w:i/>
        </w:rPr>
        <w:t>: Children active for less than 45 minutes/da</w:t>
      </w:r>
      <w:r w:rsidR="00FF3ECA" w:rsidRPr="00B64061">
        <w:rPr>
          <w:i/>
        </w:rPr>
        <w:t>y; High</w:t>
      </w:r>
      <w:r w:rsidR="00C11568" w:rsidRPr="00B64061">
        <w:rPr>
          <w:i/>
        </w:rPr>
        <w:t xml:space="preserve"> Active</w:t>
      </w:r>
      <w:r w:rsidR="00C11568" w:rsidRPr="00B64061">
        <w:rPr>
          <w:rFonts w:asciiTheme="majorHAnsi" w:eastAsia="Times New Roman" w:hAnsiTheme="majorHAnsi" w:cstheme="majorHAnsi"/>
          <w:i/>
        </w:rPr>
        <w:t>: Children active for 45 minutes/day or more.</w:t>
      </w:r>
    </w:p>
    <w:sectPr w:rsidR="007860CA" w:rsidRPr="00B64061" w:rsidSect="00D517AB">
      <w:footerReference w:type="default" r:id="rId12"/>
      <w:pgSz w:w="16840" w:h="11900" w:orient="landscape"/>
      <w:pgMar w:top="1440" w:right="1440" w:bottom="1440" w:left="1440" w:header="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AFE2" w14:textId="77777777" w:rsidR="005E6B42" w:rsidRDefault="005E6B42">
      <w:pPr>
        <w:spacing w:after="0" w:line="240" w:lineRule="auto"/>
      </w:pPr>
      <w:r>
        <w:separator/>
      </w:r>
    </w:p>
    <w:p w14:paraId="78FF1AFC" w14:textId="77777777" w:rsidR="005E6B42" w:rsidRDefault="005E6B42"/>
  </w:endnote>
  <w:endnote w:type="continuationSeparator" w:id="0">
    <w:p w14:paraId="3F609739" w14:textId="77777777" w:rsidR="005E6B42" w:rsidRDefault="005E6B42">
      <w:pPr>
        <w:spacing w:after="0" w:line="240" w:lineRule="auto"/>
      </w:pPr>
      <w:r>
        <w:continuationSeparator/>
      </w:r>
    </w:p>
    <w:p w14:paraId="7796385A" w14:textId="77777777" w:rsidR="005E6B42" w:rsidRDefault="005E6B42"/>
  </w:endnote>
  <w:endnote w:type="continuationNotice" w:id="1">
    <w:p w14:paraId="72C31870" w14:textId="77777777" w:rsidR="005E6B42" w:rsidRDefault="005E6B42">
      <w:pPr>
        <w:spacing w:after="0" w:line="240" w:lineRule="auto"/>
      </w:pPr>
    </w:p>
    <w:p w14:paraId="418D859C" w14:textId="77777777" w:rsidR="005E6B42" w:rsidRDefault="005E6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5E5B" w14:textId="7F5F9D05" w:rsidR="00D6673E" w:rsidRDefault="00D6673E">
    <w:pPr>
      <w:jc w:val="right"/>
    </w:pPr>
    <w: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81256"/>
      <w:docPartObj>
        <w:docPartGallery w:val="Page Numbers (Bottom of Page)"/>
        <w:docPartUnique/>
      </w:docPartObj>
    </w:sdtPr>
    <w:sdtEndPr>
      <w:rPr>
        <w:noProof/>
      </w:rPr>
    </w:sdtEndPr>
    <w:sdtContent>
      <w:p w14:paraId="09D65253" w14:textId="702677EA" w:rsidR="00D6673E" w:rsidRDefault="00D667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C35A5" w14:textId="77777777" w:rsidR="00D6673E" w:rsidRDefault="00D66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CC1C" w14:textId="657140F4" w:rsidR="00D6673E" w:rsidRDefault="00D6673E">
    <w:pPr>
      <w:jc w:val="right"/>
    </w:pPr>
    <w:r>
      <w:fldChar w:fldCharType="begin"/>
    </w:r>
    <w:r>
      <w:instrText>PAGE</w:instrText>
    </w:r>
    <w:r>
      <w:fldChar w:fldCharType="separate"/>
    </w:r>
    <w:r>
      <w:rPr>
        <w:noProof/>
      </w:rPr>
      <w:t>20</w:t>
    </w:r>
    <w:r>
      <w:fldChar w:fldCharType="end"/>
    </w:r>
  </w:p>
  <w:p w14:paraId="773EF66F" w14:textId="77777777" w:rsidR="00D6673E" w:rsidRDefault="00D66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22FF" w14:textId="77777777" w:rsidR="005E6B42" w:rsidRDefault="005E6B42">
      <w:pPr>
        <w:spacing w:after="0" w:line="240" w:lineRule="auto"/>
      </w:pPr>
      <w:r>
        <w:separator/>
      </w:r>
    </w:p>
    <w:p w14:paraId="772E43A9" w14:textId="77777777" w:rsidR="005E6B42" w:rsidRDefault="005E6B42"/>
  </w:footnote>
  <w:footnote w:type="continuationSeparator" w:id="0">
    <w:p w14:paraId="5E6DF54C" w14:textId="77777777" w:rsidR="005E6B42" w:rsidRDefault="005E6B42">
      <w:pPr>
        <w:spacing w:after="0" w:line="240" w:lineRule="auto"/>
      </w:pPr>
      <w:r>
        <w:continuationSeparator/>
      </w:r>
    </w:p>
    <w:p w14:paraId="3B6856F3" w14:textId="77777777" w:rsidR="005E6B42" w:rsidRDefault="005E6B42"/>
  </w:footnote>
  <w:footnote w:type="continuationNotice" w:id="1">
    <w:p w14:paraId="2386BE6A" w14:textId="77777777" w:rsidR="005E6B42" w:rsidRDefault="005E6B42">
      <w:pPr>
        <w:spacing w:after="0" w:line="240" w:lineRule="auto"/>
      </w:pPr>
    </w:p>
    <w:p w14:paraId="0343BE28" w14:textId="77777777" w:rsidR="005E6B42" w:rsidRDefault="005E6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D0CC" w14:textId="77777777" w:rsidR="00D6673E" w:rsidRDefault="00D6673E" w:rsidP="00E71831">
    <w:pPr>
      <w:spacing w:line="240" w:lineRule="auto"/>
      <w:jc w:val="left"/>
      <w:rPr>
        <w:sz w:val="20"/>
        <w:szCs w:val="20"/>
      </w:rPr>
    </w:pPr>
  </w:p>
  <w:p w14:paraId="794BAC1D" w14:textId="77777777" w:rsidR="00D6673E" w:rsidRDefault="00D6673E" w:rsidP="00571999">
    <w:pPr>
      <w:spacing w:after="0" w:line="240" w:lineRule="auto"/>
      <w:jc w:val="left"/>
      <w:rPr>
        <w:sz w:val="20"/>
        <w:szCs w:val="20"/>
      </w:rPr>
    </w:pPr>
  </w:p>
  <w:p w14:paraId="29838B9E" w14:textId="00F95C04" w:rsidR="00D6673E" w:rsidRPr="00E71831" w:rsidRDefault="00D6673E" w:rsidP="00571999">
    <w:pPr>
      <w:spacing w:after="0" w:line="240" w:lineRule="auto"/>
      <w:jc w:val="left"/>
      <w:rPr>
        <w:i/>
        <w:sz w:val="20"/>
        <w:szCs w:val="20"/>
      </w:rPr>
    </w:pPr>
    <w:r>
      <w:rPr>
        <w:sz w:val="20"/>
        <w:szCs w:val="20"/>
      </w:rPr>
      <w:t>“A pedometer-based physically active learning intervention: The importance of using pre-intervention physical activity categories to assess effectiveness” by Morris JL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46EF" w14:textId="7E69DD21" w:rsidR="00D6673E" w:rsidRDefault="00D6673E">
    <w:pPr>
      <w:pStyle w:val="Header"/>
    </w:pPr>
  </w:p>
  <w:p w14:paraId="50819575" w14:textId="77777777" w:rsidR="00D6673E" w:rsidRDefault="00D6673E" w:rsidP="00F61573">
    <w:pPr>
      <w:spacing w:line="240" w:lineRule="auto"/>
      <w:jc w:val="left"/>
      <w:rPr>
        <w:sz w:val="20"/>
        <w:szCs w:val="20"/>
      </w:rPr>
    </w:pPr>
  </w:p>
  <w:p w14:paraId="3E55442F" w14:textId="077FE505" w:rsidR="00D6673E" w:rsidRPr="00F61573" w:rsidRDefault="00D6673E" w:rsidP="00F61573">
    <w:pPr>
      <w:spacing w:line="240" w:lineRule="auto"/>
      <w:jc w:val="left"/>
      <w:rPr>
        <w:i/>
        <w:sz w:val="20"/>
        <w:szCs w:val="20"/>
      </w:rPr>
    </w:pPr>
    <w:r>
      <w:rPr>
        <w:sz w:val="20"/>
        <w:szCs w:val="20"/>
      </w:rPr>
      <w:t>“A pedometer-based physically active learning intervention: The importance of using pre-intervention physical activity categories to assess effectiveness” by Morris JL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F78"/>
    <w:multiLevelType w:val="multilevel"/>
    <w:tmpl w:val="29EE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6142C"/>
    <w:multiLevelType w:val="hybridMultilevel"/>
    <w:tmpl w:val="2384F594"/>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 w15:restartNumberingAfterBreak="0">
    <w:nsid w:val="2B5921A7"/>
    <w:multiLevelType w:val="hybridMultilevel"/>
    <w:tmpl w:val="9AD6ADCA"/>
    <w:lvl w:ilvl="0" w:tplc="E916B324">
      <w:start w:val="1"/>
      <w:numFmt w:val="decimal"/>
      <w:lvlText w:val="%1."/>
      <w:lvlJc w:val="left"/>
      <w:pPr>
        <w:ind w:left="360" w:hanging="440"/>
      </w:pPr>
      <w:rPr>
        <w:rFonts w:ascii="Calibri" w:hAnsi="Calibri" w:cs="Calibri" w:hint="default"/>
        <w:sz w:val="22"/>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3" w15:restartNumberingAfterBreak="0">
    <w:nsid w:val="4E5D05D2"/>
    <w:multiLevelType w:val="hybridMultilevel"/>
    <w:tmpl w:val="024A2478"/>
    <w:lvl w:ilvl="0" w:tplc="E916B324">
      <w:start w:val="1"/>
      <w:numFmt w:val="decimal"/>
      <w:lvlText w:val="%1."/>
      <w:lvlJc w:val="left"/>
      <w:pPr>
        <w:ind w:left="0" w:hanging="440"/>
      </w:pPr>
      <w:rPr>
        <w:rFonts w:ascii="Calibri" w:hAnsi="Calibri" w:cs="Calibri" w:hint="default"/>
        <w:sz w:val="22"/>
      </w:rPr>
    </w:lvl>
    <w:lvl w:ilvl="1" w:tplc="04090019" w:tentative="1">
      <w:start w:val="1"/>
      <w:numFmt w:val="lowerLetter"/>
      <w:lvlText w:val="%2."/>
      <w:lvlJc w:val="left"/>
      <w:pPr>
        <w:ind w:left="640" w:hanging="360"/>
      </w:pPr>
    </w:lvl>
    <w:lvl w:ilvl="2" w:tplc="0409001B" w:tentative="1">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4" w15:restartNumberingAfterBreak="0">
    <w:nsid w:val="78216895"/>
    <w:multiLevelType w:val="multilevel"/>
    <w:tmpl w:val="1D56E964"/>
    <w:lvl w:ilvl="0">
      <w:start w:val="1"/>
      <w:numFmt w:val="decimal"/>
      <w:lvlText w:val="%1"/>
      <w:lvlJc w:val="left"/>
      <w:pPr>
        <w:tabs>
          <w:tab w:val="num" w:pos="360"/>
        </w:tabs>
        <w:ind w:left="360" w:hanging="360"/>
      </w:pPr>
      <w:rPr>
        <w:rFonts w:ascii="Calibri" w:eastAsia="Times New Roman" w:hAnsi="Calibri" w:cs="Times New Roman"/>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04"/>
    <w:rsid w:val="00011606"/>
    <w:rsid w:val="000144AD"/>
    <w:rsid w:val="0001662F"/>
    <w:rsid w:val="00023472"/>
    <w:rsid w:val="000539D7"/>
    <w:rsid w:val="00077B03"/>
    <w:rsid w:val="00096691"/>
    <w:rsid w:val="000A054E"/>
    <w:rsid w:val="000A4981"/>
    <w:rsid w:val="000B479A"/>
    <w:rsid w:val="000C0B2F"/>
    <w:rsid w:val="000C1452"/>
    <w:rsid w:val="000C15FC"/>
    <w:rsid w:val="000C341B"/>
    <w:rsid w:val="000D2A8F"/>
    <w:rsid w:val="000F2101"/>
    <w:rsid w:val="00112995"/>
    <w:rsid w:val="00117B76"/>
    <w:rsid w:val="0013467C"/>
    <w:rsid w:val="00144A27"/>
    <w:rsid w:val="00163123"/>
    <w:rsid w:val="00163787"/>
    <w:rsid w:val="00177BB3"/>
    <w:rsid w:val="001A0990"/>
    <w:rsid w:val="001A17B1"/>
    <w:rsid w:val="001B1270"/>
    <w:rsid w:val="001B26D7"/>
    <w:rsid w:val="001C024A"/>
    <w:rsid w:val="001F575A"/>
    <w:rsid w:val="00200C56"/>
    <w:rsid w:val="0020436F"/>
    <w:rsid w:val="00211C79"/>
    <w:rsid w:val="0021355F"/>
    <w:rsid w:val="0021691C"/>
    <w:rsid w:val="002268DB"/>
    <w:rsid w:val="00240CC2"/>
    <w:rsid w:val="00261FD1"/>
    <w:rsid w:val="00262519"/>
    <w:rsid w:val="0029253F"/>
    <w:rsid w:val="00297122"/>
    <w:rsid w:val="002A4A48"/>
    <w:rsid w:val="002B3355"/>
    <w:rsid w:val="002D1DE7"/>
    <w:rsid w:val="002E2C78"/>
    <w:rsid w:val="002E680A"/>
    <w:rsid w:val="002E682D"/>
    <w:rsid w:val="002F2FFF"/>
    <w:rsid w:val="002F3EF0"/>
    <w:rsid w:val="00305775"/>
    <w:rsid w:val="003062BA"/>
    <w:rsid w:val="003114D4"/>
    <w:rsid w:val="0031388D"/>
    <w:rsid w:val="00315DFB"/>
    <w:rsid w:val="0032170C"/>
    <w:rsid w:val="00325DFC"/>
    <w:rsid w:val="003322E3"/>
    <w:rsid w:val="003372EC"/>
    <w:rsid w:val="00343AED"/>
    <w:rsid w:val="00343BC8"/>
    <w:rsid w:val="0034772B"/>
    <w:rsid w:val="00350DE7"/>
    <w:rsid w:val="003527AB"/>
    <w:rsid w:val="00361223"/>
    <w:rsid w:val="00361921"/>
    <w:rsid w:val="00365215"/>
    <w:rsid w:val="0038519C"/>
    <w:rsid w:val="003A1581"/>
    <w:rsid w:val="003A7697"/>
    <w:rsid w:val="003A78BE"/>
    <w:rsid w:val="003B09DD"/>
    <w:rsid w:val="003B611B"/>
    <w:rsid w:val="003C1E0D"/>
    <w:rsid w:val="003D2D71"/>
    <w:rsid w:val="003E08FB"/>
    <w:rsid w:val="003E709D"/>
    <w:rsid w:val="003F2037"/>
    <w:rsid w:val="003F2A78"/>
    <w:rsid w:val="003F5DF6"/>
    <w:rsid w:val="00402FBD"/>
    <w:rsid w:val="00405F27"/>
    <w:rsid w:val="00411580"/>
    <w:rsid w:val="00411B89"/>
    <w:rsid w:val="004147D3"/>
    <w:rsid w:val="004264FE"/>
    <w:rsid w:val="0044744E"/>
    <w:rsid w:val="00447F07"/>
    <w:rsid w:val="00450272"/>
    <w:rsid w:val="00451482"/>
    <w:rsid w:val="004558B1"/>
    <w:rsid w:val="00457880"/>
    <w:rsid w:val="00465DD1"/>
    <w:rsid w:val="00473A12"/>
    <w:rsid w:val="004758E7"/>
    <w:rsid w:val="004856C4"/>
    <w:rsid w:val="004A6321"/>
    <w:rsid w:val="004B2D7E"/>
    <w:rsid w:val="004B3D79"/>
    <w:rsid w:val="004C35DF"/>
    <w:rsid w:val="004D7139"/>
    <w:rsid w:val="004E26F7"/>
    <w:rsid w:val="004E301C"/>
    <w:rsid w:val="004F034B"/>
    <w:rsid w:val="004F1D86"/>
    <w:rsid w:val="00502D96"/>
    <w:rsid w:val="0051088B"/>
    <w:rsid w:val="00515104"/>
    <w:rsid w:val="0051699E"/>
    <w:rsid w:val="00517C98"/>
    <w:rsid w:val="00522893"/>
    <w:rsid w:val="00522F23"/>
    <w:rsid w:val="00526CBA"/>
    <w:rsid w:val="00532025"/>
    <w:rsid w:val="00535E15"/>
    <w:rsid w:val="00536AE3"/>
    <w:rsid w:val="005533C2"/>
    <w:rsid w:val="005559BD"/>
    <w:rsid w:val="00571999"/>
    <w:rsid w:val="0057477E"/>
    <w:rsid w:val="005826EF"/>
    <w:rsid w:val="00586D46"/>
    <w:rsid w:val="0059324A"/>
    <w:rsid w:val="00597B26"/>
    <w:rsid w:val="005A4698"/>
    <w:rsid w:val="005B1B3A"/>
    <w:rsid w:val="005B1CC6"/>
    <w:rsid w:val="005D34EC"/>
    <w:rsid w:val="005E6B42"/>
    <w:rsid w:val="005F2B46"/>
    <w:rsid w:val="005F2D60"/>
    <w:rsid w:val="00600EAB"/>
    <w:rsid w:val="0061543F"/>
    <w:rsid w:val="006239D9"/>
    <w:rsid w:val="00623C2D"/>
    <w:rsid w:val="00633793"/>
    <w:rsid w:val="006454CE"/>
    <w:rsid w:val="0065147F"/>
    <w:rsid w:val="0065165F"/>
    <w:rsid w:val="00651D4D"/>
    <w:rsid w:val="00652185"/>
    <w:rsid w:val="006578EF"/>
    <w:rsid w:val="006727F3"/>
    <w:rsid w:val="006771D1"/>
    <w:rsid w:val="00685752"/>
    <w:rsid w:val="00691AFE"/>
    <w:rsid w:val="006A23DC"/>
    <w:rsid w:val="006A4F7E"/>
    <w:rsid w:val="006B08D3"/>
    <w:rsid w:val="006B4E47"/>
    <w:rsid w:val="006B6D04"/>
    <w:rsid w:val="006C5CEB"/>
    <w:rsid w:val="006D2D2C"/>
    <w:rsid w:val="006E1059"/>
    <w:rsid w:val="006E55CF"/>
    <w:rsid w:val="006E7C26"/>
    <w:rsid w:val="006F45DA"/>
    <w:rsid w:val="006F723E"/>
    <w:rsid w:val="006F7FFC"/>
    <w:rsid w:val="00700E31"/>
    <w:rsid w:val="00702647"/>
    <w:rsid w:val="007028D2"/>
    <w:rsid w:val="007160ED"/>
    <w:rsid w:val="007278A7"/>
    <w:rsid w:val="00746B51"/>
    <w:rsid w:val="00753F3B"/>
    <w:rsid w:val="00773073"/>
    <w:rsid w:val="00783755"/>
    <w:rsid w:val="00785A80"/>
    <w:rsid w:val="007860CA"/>
    <w:rsid w:val="00787922"/>
    <w:rsid w:val="00792742"/>
    <w:rsid w:val="007945F5"/>
    <w:rsid w:val="00794D79"/>
    <w:rsid w:val="0079538D"/>
    <w:rsid w:val="00795B45"/>
    <w:rsid w:val="007A0AF0"/>
    <w:rsid w:val="007A6BFA"/>
    <w:rsid w:val="007B60BD"/>
    <w:rsid w:val="007C4CA5"/>
    <w:rsid w:val="007E21A6"/>
    <w:rsid w:val="008042A9"/>
    <w:rsid w:val="00807903"/>
    <w:rsid w:val="0081459A"/>
    <w:rsid w:val="008207D4"/>
    <w:rsid w:val="00826178"/>
    <w:rsid w:val="00840E0E"/>
    <w:rsid w:val="00856E46"/>
    <w:rsid w:val="00860E51"/>
    <w:rsid w:val="00890DA2"/>
    <w:rsid w:val="008A2759"/>
    <w:rsid w:val="008B7223"/>
    <w:rsid w:val="008C4AD9"/>
    <w:rsid w:val="008C7846"/>
    <w:rsid w:val="008E13C3"/>
    <w:rsid w:val="008F1287"/>
    <w:rsid w:val="008F1E59"/>
    <w:rsid w:val="00903276"/>
    <w:rsid w:val="009057B9"/>
    <w:rsid w:val="009104AB"/>
    <w:rsid w:val="009128BF"/>
    <w:rsid w:val="00914D41"/>
    <w:rsid w:val="0091648A"/>
    <w:rsid w:val="00917B69"/>
    <w:rsid w:val="00925105"/>
    <w:rsid w:val="00927F0F"/>
    <w:rsid w:val="00933E00"/>
    <w:rsid w:val="00934D9A"/>
    <w:rsid w:val="009400B9"/>
    <w:rsid w:val="009429BD"/>
    <w:rsid w:val="00943A14"/>
    <w:rsid w:val="00960572"/>
    <w:rsid w:val="009677FD"/>
    <w:rsid w:val="00974343"/>
    <w:rsid w:val="00975A04"/>
    <w:rsid w:val="00976C4F"/>
    <w:rsid w:val="00983463"/>
    <w:rsid w:val="009862BF"/>
    <w:rsid w:val="00987050"/>
    <w:rsid w:val="009C10B5"/>
    <w:rsid w:val="009C7C43"/>
    <w:rsid w:val="009D46A2"/>
    <w:rsid w:val="009F28D3"/>
    <w:rsid w:val="00A00E63"/>
    <w:rsid w:val="00A03938"/>
    <w:rsid w:val="00A05A6F"/>
    <w:rsid w:val="00A156AD"/>
    <w:rsid w:val="00A34ACC"/>
    <w:rsid w:val="00A4468C"/>
    <w:rsid w:val="00A66D4D"/>
    <w:rsid w:val="00A67E69"/>
    <w:rsid w:val="00A70303"/>
    <w:rsid w:val="00A70CC7"/>
    <w:rsid w:val="00A73BE7"/>
    <w:rsid w:val="00A75593"/>
    <w:rsid w:val="00A92B8F"/>
    <w:rsid w:val="00A96705"/>
    <w:rsid w:val="00AA023F"/>
    <w:rsid w:val="00AB0501"/>
    <w:rsid w:val="00AB1C0F"/>
    <w:rsid w:val="00AC0128"/>
    <w:rsid w:val="00AC02BD"/>
    <w:rsid w:val="00AD21D1"/>
    <w:rsid w:val="00AE1B8F"/>
    <w:rsid w:val="00AF379E"/>
    <w:rsid w:val="00AF5D01"/>
    <w:rsid w:val="00AF7658"/>
    <w:rsid w:val="00B020E6"/>
    <w:rsid w:val="00B12B09"/>
    <w:rsid w:val="00B56FBB"/>
    <w:rsid w:val="00B63AFB"/>
    <w:rsid w:val="00B64061"/>
    <w:rsid w:val="00B77594"/>
    <w:rsid w:val="00B82A4A"/>
    <w:rsid w:val="00BA088D"/>
    <w:rsid w:val="00BA1FAD"/>
    <w:rsid w:val="00BB37AF"/>
    <w:rsid w:val="00BC3E00"/>
    <w:rsid w:val="00BC7F0F"/>
    <w:rsid w:val="00BE1A4A"/>
    <w:rsid w:val="00BE6A9C"/>
    <w:rsid w:val="00BE7BFD"/>
    <w:rsid w:val="00BF1115"/>
    <w:rsid w:val="00C11568"/>
    <w:rsid w:val="00C16B11"/>
    <w:rsid w:val="00C17ADC"/>
    <w:rsid w:val="00C35A24"/>
    <w:rsid w:val="00C441AC"/>
    <w:rsid w:val="00C4549F"/>
    <w:rsid w:val="00C50FEE"/>
    <w:rsid w:val="00C524DD"/>
    <w:rsid w:val="00C5745F"/>
    <w:rsid w:val="00C66065"/>
    <w:rsid w:val="00C76C38"/>
    <w:rsid w:val="00CA4B63"/>
    <w:rsid w:val="00CB4472"/>
    <w:rsid w:val="00CC17AA"/>
    <w:rsid w:val="00CC3333"/>
    <w:rsid w:val="00CF00F5"/>
    <w:rsid w:val="00D01CDC"/>
    <w:rsid w:val="00D068C9"/>
    <w:rsid w:val="00D120C6"/>
    <w:rsid w:val="00D13583"/>
    <w:rsid w:val="00D13BD8"/>
    <w:rsid w:val="00D332C0"/>
    <w:rsid w:val="00D439C0"/>
    <w:rsid w:val="00D47A24"/>
    <w:rsid w:val="00D509D6"/>
    <w:rsid w:val="00D517AB"/>
    <w:rsid w:val="00D526AB"/>
    <w:rsid w:val="00D55E46"/>
    <w:rsid w:val="00D60D2D"/>
    <w:rsid w:val="00D61FC3"/>
    <w:rsid w:val="00D6673E"/>
    <w:rsid w:val="00D75816"/>
    <w:rsid w:val="00D769F7"/>
    <w:rsid w:val="00D85013"/>
    <w:rsid w:val="00D8785A"/>
    <w:rsid w:val="00D90586"/>
    <w:rsid w:val="00D93013"/>
    <w:rsid w:val="00D9391E"/>
    <w:rsid w:val="00DA5EA0"/>
    <w:rsid w:val="00DB6ACD"/>
    <w:rsid w:val="00DF001F"/>
    <w:rsid w:val="00DF0E6E"/>
    <w:rsid w:val="00E07887"/>
    <w:rsid w:val="00E12D44"/>
    <w:rsid w:val="00E12FD7"/>
    <w:rsid w:val="00E24E21"/>
    <w:rsid w:val="00E26274"/>
    <w:rsid w:val="00E3752C"/>
    <w:rsid w:val="00E44C45"/>
    <w:rsid w:val="00E61199"/>
    <w:rsid w:val="00E6750D"/>
    <w:rsid w:val="00E70CCC"/>
    <w:rsid w:val="00E71831"/>
    <w:rsid w:val="00E77586"/>
    <w:rsid w:val="00EA6E6E"/>
    <w:rsid w:val="00EB50D3"/>
    <w:rsid w:val="00ED2725"/>
    <w:rsid w:val="00EE04AF"/>
    <w:rsid w:val="00EE730C"/>
    <w:rsid w:val="00EF13AA"/>
    <w:rsid w:val="00EF6774"/>
    <w:rsid w:val="00F0243F"/>
    <w:rsid w:val="00F05B03"/>
    <w:rsid w:val="00F11167"/>
    <w:rsid w:val="00F15668"/>
    <w:rsid w:val="00F15ABD"/>
    <w:rsid w:val="00F31270"/>
    <w:rsid w:val="00F346B9"/>
    <w:rsid w:val="00F36EEB"/>
    <w:rsid w:val="00F42AC1"/>
    <w:rsid w:val="00F43A6D"/>
    <w:rsid w:val="00F47298"/>
    <w:rsid w:val="00F4788B"/>
    <w:rsid w:val="00F54F5B"/>
    <w:rsid w:val="00F61573"/>
    <w:rsid w:val="00F61952"/>
    <w:rsid w:val="00F91887"/>
    <w:rsid w:val="00FC75C9"/>
    <w:rsid w:val="00FD2E83"/>
    <w:rsid w:val="00FD5234"/>
    <w:rsid w:val="00FD5E45"/>
    <w:rsid w:val="00FD6311"/>
    <w:rsid w:val="00FF3ECA"/>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7FFB"/>
  <w15:docId w15:val="{CE2328E4-29FF-405B-AF6C-4C0EE55A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120" w:line="259" w:lineRule="auto"/>
      <w:outlineLvl w:val="0"/>
    </w:pPr>
    <w:rPr>
      <w:smallCaps/>
      <w:sz w:val="32"/>
      <w:szCs w:val="32"/>
    </w:rPr>
  </w:style>
  <w:style w:type="paragraph" w:styleId="Heading2">
    <w:name w:val="heading 2"/>
    <w:basedOn w:val="Normal"/>
    <w:next w:val="Normal"/>
    <w:pPr>
      <w:keepNext/>
      <w:keepLines/>
      <w:spacing w:before="40" w:line="259" w:lineRule="auto"/>
      <w:outlineLvl w:val="1"/>
    </w:pPr>
    <w:rPr>
      <w:smallCaps/>
      <w:color w:val="7F7F7F"/>
      <w:sz w:val="26"/>
      <w:szCs w:val="26"/>
    </w:rPr>
  </w:style>
  <w:style w:type="paragraph" w:styleId="Heading3">
    <w:name w:val="heading 3"/>
    <w:basedOn w:val="Normal"/>
    <w:next w:val="Normal"/>
    <w:link w:val="Heading3Char"/>
    <w:uiPriority w:val="9"/>
    <w:qFormat/>
    <w:pPr>
      <w:outlineLvl w:val="2"/>
    </w:pPr>
    <w:rPr>
      <w:b/>
    </w:rPr>
  </w:style>
  <w:style w:type="paragraph" w:styleId="Heading4">
    <w:name w:val="heading 4"/>
    <w:basedOn w:val="Normal"/>
    <w:next w:val="Normal"/>
    <w:link w:val="Heading4Char"/>
    <w:uiPriority w:val="9"/>
    <w:qFormat/>
    <w:pPr>
      <w:spacing w:before="100" w:after="100"/>
      <w:outlineLvl w:val="3"/>
    </w:pPr>
    <w:rPr>
      <w:b/>
    </w:rPr>
  </w:style>
  <w:style w:type="paragraph" w:styleId="Heading5">
    <w:name w:val="heading 5"/>
    <w:basedOn w:val="Normal"/>
    <w:next w:val="Normal"/>
    <w:pPr>
      <w:keepNext/>
      <w:keepLines/>
      <w:spacing w:before="40" w:line="259" w:lineRule="auto"/>
      <w:outlineLvl w:val="4"/>
    </w:pPr>
    <w:rPr>
      <w:color w:val="2F5496"/>
    </w:rPr>
  </w:style>
  <w:style w:type="paragraph" w:styleId="Heading6">
    <w:name w:val="heading 6"/>
    <w:basedOn w:val="Normal"/>
    <w:next w:val="Normal"/>
    <w:pPr>
      <w:keepNext/>
      <w:keepLines/>
      <w:spacing w:before="40" w:line="259" w:lineRule="auto"/>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mallCaps/>
      <w:sz w:val="56"/>
      <w:szCs w:val="56"/>
    </w:rPr>
  </w:style>
  <w:style w:type="paragraph" w:styleId="Subtitle">
    <w:name w:val="Subtitle"/>
    <w:basedOn w:val="Normal"/>
    <w:next w:val="Normal"/>
    <w:pPr>
      <w:spacing w:before="60" w:after="160" w:line="259" w:lineRule="auto"/>
    </w:pPr>
    <w:rPr>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CA"/>
    <w:rPr>
      <w:rFonts w:ascii="Segoe UI" w:hAnsi="Segoe UI" w:cs="Segoe UI"/>
      <w:sz w:val="18"/>
      <w:szCs w:val="18"/>
    </w:rPr>
  </w:style>
  <w:style w:type="character" w:styleId="LineNumber">
    <w:name w:val="line number"/>
    <w:basedOn w:val="DefaultParagraphFont"/>
    <w:uiPriority w:val="99"/>
    <w:semiHidden/>
    <w:unhideWhenUsed/>
    <w:rsid w:val="007860CA"/>
  </w:style>
  <w:style w:type="paragraph" w:styleId="CommentSubject">
    <w:name w:val="annotation subject"/>
    <w:basedOn w:val="CommentText"/>
    <w:next w:val="CommentText"/>
    <w:link w:val="CommentSubjectChar"/>
    <w:uiPriority w:val="99"/>
    <w:semiHidden/>
    <w:unhideWhenUsed/>
    <w:rsid w:val="00FD6311"/>
    <w:rPr>
      <w:b/>
      <w:bCs/>
    </w:rPr>
  </w:style>
  <w:style w:type="character" w:customStyle="1" w:styleId="CommentSubjectChar">
    <w:name w:val="Comment Subject Char"/>
    <w:basedOn w:val="CommentTextChar"/>
    <w:link w:val="CommentSubject"/>
    <w:uiPriority w:val="99"/>
    <w:semiHidden/>
    <w:rsid w:val="00FD6311"/>
    <w:rPr>
      <w:b/>
      <w:bCs/>
      <w:sz w:val="20"/>
      <w:szCs w:val="20"/>
    </w:rPr>
  </w:style>
  <w:style w:type="paragraph" w:styleId="Revision">
    <w:name w:val="Revision"/>
    <w:hidden/>
    <w:uiPriority w:val="99"/>
    <w:semiHidden/>
    <w:rsid w:val="00F36EEB"/>
    <w:pPr>
      <w:spacing w:after="0" w:line="240" w:lineRule="auto"/>
      <w:jc w:val="left"/>
    </w:pPr>
  </w:style>
  <w:style w:type="character" w:customStyle="1" w:styleId="Heading3Char">
    <w:name w:val="Heading 3 Char"/>
    <w:basedOn w:val="DefaultParagraphFont"/>
    <w:link w:val="Heading3"/>
    <w:uiPriority w:val="9"/>
    <w:rsid w:val="00EA6E6E"/>
    <w:rPr>
      <w:b/>
    </w:rPr>
  </w:style>
  <w:style w:type="character" w:customStyle="1" w:styleId="Heading4Char">
    <w:name w:val="Heading 4 Char"/>
    <w:basedOn w:val="DefaultParagraphFont"/>
    <w:link w:val="Heading4"/>
    <w:uiPriority w:val="9"/>
    <w:rsid w:val="00EA6E6E"/>
    <w:rPr>
      <w:b/>
    </w:rPr>
  </w:style>
  <w:style w:type="paragraph" w:customStyle="1" w:styleId="msonormal0">
    <w:name w:val="msonormal"/>
    <w:basedOn w:val="Normal"/>
    <w:rsid w:val="00EA6E6E"/>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EA6E6E"/>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A6E6E"/>
    <w:rPr>
      <w:color w:val="0000FF"/>
      <w:u w:val="single"/>
    </w:rPr>
  </w:style>
  <w:style w:type="character" w:styleId="FollowedHyperlink">
    <w:name w:val="FollowedHyperlink"/>
    <w:basedOn w:val="DefaultParagraphFont"/>
    <w:uiPriority w:val="99"/>
    <w:semiHidden/>
    <w:unhideWhenUsed/>
    <w:rsid w:val="00EA6E6E"/>
    <w:rPr>
      <w:color w:val="800080"/>
      <w:u w:val="single"/>
    </w:rPr>
  </w:style>
  <w:style w:type="character" w:customStyle="1" w:styleId="apple-tab-span">
    <w:name w:val="apple-tab-span"/>
    <w:basedOn w:val="DefaultParagraphFont"/>
    <w:rsid w:val="00EA6E6E"/>
  </w:style>
  <w:style w:type="character" w:styleId="UnresolvedMention">
    <w:name w:val="Unresolved Mention"/>
    <w:basedOn w:val="DefaultParagraphFont"/>
    <w:uiPriority w:val="99"/>
    <w:semiHidden/>
    <w:unhideWhenUsed/>
    <w:rsid w:val="004E26F7"/>
    <w:rPr>
      <w:color w:val="605E5C"/>
      <w:shd w:val="clear" w:color="auto" w:fill="E1DFDD"/>
    </w:rPr>
  </w:style>
  <w:style w:type="paragraph" w:styleId="Header">
    <w:name w:val="header"/>
    <w:basedOn w:val="Normal"/>
    <w:link w:val="HeaderChar"/>
    <w:uiPriority w:val="99"/>
    <w:unhideWhenUsed/>
    <w:rsid w:val="00F6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73"/>
  </w:style>
  <w:style w:type="paragraph" w:styleId="Footer">
    <w:name w:val="footer"/>
    <w:basedOn w:val="Normal"/>
    <w:link w:val="FooterChar"/>
    <w:uiPriority w:val="99"/>
    <w:unhideWhenUsed/>
    <w:rsid w:val="00F6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573"/>
  </w:style>
  <w:style w:type="paragraph" w:styleId="NoSpacing">
    <w:name w:val="No Spacing"/>
    <w:uiPriority w:val="1"/>
    <w:qFormat/>
    <w:rsid w:val="006578EF"/>
    <w:pPr>
      <w:spacing w:after="0" w:line="240" w:lineRule="auto"/>
    </w:pPr>
  </w:style>
  <w:style w:type="paragraph" w:styleId="ListParagraph">
    <w:name w:val="List Paragraph"/>
    <w:basedOn w:val="Normal"/>
    <w:uiPriority w:val="34"/>
    <w:qFormat/>
    <w:rsid w:val="00AC0128"/>
    <w:pPr>
      <w:ind w:left="720"/>
      <w:contextualSpacing/>
    </w:pPr>
  </w:style>
  <w:style w:type="paragraph" w:customStyle="1" w:styleId="Normal1">
    <w:name w:val="Normal1"/>
    <w:rsid w:val="00D60D2D"/>
    <w:pPr>
      <w:spacing w:after="0" w:line="276" w:lineRule="auto"/>
      <w:jc w:val="left"/>
    </w:pPr>
    <w:rPr>
      <w:rFonts w:ascii="Arial" w:eastAsia="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54794">
      <w:bodyDiv w:val="1"/>
      <w:marLeft w:val="0"/>
      <w:marRight w:val="0"/>
      <w:marTop w:val="0"/>
      <w:marBottom w:val="0"/>
      <w:divBdr>
        <w:top w:val="none" w:sz="0" w:space="0" w:color="auto"/>
        <w:left w:val="none" w:sz="0" w:space="0" w:color="auto"/>
        <w:bottom w:val="none" w:sz="0" w:space="0" w:color="auto"/>
        <w:right w:val="none" w:sz="0" w:space="0" w:color="auto"/>
      </w:divBdr>
    </w:div>
    <w:div w:id="923952982">
      <w:bodyDiv w:val="1"/>
      <w:marLeft w:val="0"/>
      <w:marRight w:val="0"/>
      <w:marTop w:val="0"/>
      <w:marBottom w:val="0"/>
      <w:divBdr>
        <w:top w:val="none" w:sz="0" w:space="0" w:color="auto"/>
        <w:left w:val="none" w:sz="0" w:space="0" w:color="auto"/>
        <w:bottom w:val="none" w:sz="0" w:space="0" w:color="auto"/>
        <w:right w:val="none" w:sz="0" w:space="0" w:color="auto"/>
      </w:divBdr>
    </w:div>
    <w:div w:id="1313556385">
      <w:bodyDiv w:val="1"/>
      <w:marLeft w:val="0"/>
      <w:marRight w:val="0"/>
      <w:marTop w:val="0"/>
      <w:marBottom w:val="0"/>
      <w:divBdr>
        <w:top w:val="none" w:sz="0" w:space="0" w:color="auto"/>
        <w:left w:val="none" w:sz="0" w:space="0" w:color="auto"/>
        <w:bottom w:val="none" w:sz="0" w:space="0" w:color="auto"/>
        <w:right w:val="none" w:sz="0" w:space="0" w:color="auto"/>
      </w:divBdr>
    </w:div>
    <w:div w:id="1839996541">
      <w:bodyDiv w:val="1"/>
      <w:marLeft w:val="0"/>
      <w:marRight w:val="0"/>
      <w:marTop w:val="0"/>
      <w:marBottom w:val="0"/>
      <w:divBdr>
        <w:top w:val="none" w:sz="0" w:space="0" w:color="auto"/>
        <w:left w:val="none" w:sz="0" w:space="0" w:color="auto"/>
        <w:bottom w:val="none" w:sz="0" w:space="0" w:color="auto"/>
        <w:right w:val="none" w:sz="0" w:space="0" w:color="auto"/>
      </w:divBdr>
    </w:div>
    <w:div w:id="1930121188">
      <w:bodyDiv w:val="1"/>
      <w:marLeft w:val="0"/>
      <w:marRight w:val="0"/>
      <w:marTop w:val="0"/>
      <w:marBottom w:val="0"/>
      <w:divBdr>
        <w:top w:val="none" w:sz="0" w:space="0" w:color="auto"/>
        <w:left w:val="none" w:sz="0" w:space="0" w:color="auto"/>
        <w:bottom w:val="none" w:sz="0" w:space="0" w:color="auto"/>
        <w:right w:val="none" w:sz="0" w:space="0" w:color="auto"/>
      </w:divBdr>
    </w:div>
    <w:div w:id="1936284041">
      <w:bodyDiv w:val="1"/>
      <w:marLeft w:val="0"/>
      <w:marRight w:val="0"/>
      <w:marTop w:val="0"/>
      <w:marBottom w:val="0"/>
      <w:divBdr>
        <w:top w:val="none" w:sz="0" w:space="0" w:color="auto"/>
        <w:left w:val="none" w:sz="0" w:space="0" w:color="auto"/>
        <w:bottom w:val="none" w:sz="0" w:space="0" w:color="auto"/>
        <w:right w:val="none" w:sz="0" w:space="0" w:color="auto"/>
      </w:divBdr>
    </w:div>
    <w:div w:id="1940137809">
      <w:bodyDiv w:val="1"/>
      <w:marLeft w:val="0"/>
      <w:marRight w:val="0"/>
      <w:marTop w:val="0"/>
      <w:marBottom w:val="0"/>
      <w:divBdr>
        <w:top w:val="none" w:sz="0" w:space="0" w:color="auto"/>
        <w:left w:val="none" w:sz="0" w:space="0" w:color="auto"/>
        <w:bottom w:val="none" w:sz="0" w:space="0" w:color="auto"/>
        <w:right w:val="none" w:sz="0" w:space="0" w:color="auto"/>
      </w:divBdr>
      <w:divsChild>
        <w:div w:id="466631263">
          <w:marLeft w:val="0"/>
          <w:marRight w:val="0"/>
          <w:marTop w:val="0"/>
          <w:marBottom w:val="0"/>
          <w:divBdr>
            <w:top w:val="none" w:sz="0" w:space="0" w:color="auto"/>
            <w:left w:val="none" w:sz="0" w:space="0" w:color="auto"/>
            <w:bottom w:val="none" w:sz="0" w:space="0" w:color="auto"/>
            <w:right w:val="none" w:sz="0" w:space="0" w:color="auto"/>
          </w:divBdr>
        </w:div>
        <w:div w:id="1671789681">
          <w:marLeft w:val="0"/>
          <w:marRight w:val="0"/>
          <w:marTop w:val="0"/>
          <w:marBottom w:val="0"/>
          <w:divBdr>
            <w:top w:val="none" w:sz="0" w:space="0" w:color="auto"/>
            <w:left w:val="none" w:sz="0" w:space="0" w:color="auto"/>
            <w:bottom w:val="none" w:sz="0" w:space="0" w:color="auto"/>
            <w:right w:val="none" w:sz="0" w:space="0" w:color="auto"/>
          </w:divBdr>
        </w:div>
        <w:div w:id="976303007">
          <w:marLeft w:val="0"/>
          <w:marRight w:val="0"/>
          <w:marTop w:val="0"/>
          <w:marBottom w:val="0"/>
          <w:divBdr>
            <w:top w:val="none" w:sz="0" w:space="0" w:color="auto"/>
            <w:left w:val="none" w:sz="0" w:space="0" w:color="auto"/>
            <w:bottom w:val="none" w:sz="0" w:space="0" w:color="auto"/>
            <w:right w:val="none" w:sz="0" w:space="0" w:color="auto"/>
          </w:divBdr>
        </w:div>
        <w:div w:id="1598781791">
          <w:marLeft w:val="0"/>
          <w:marRight w:val="0"/>
          <w:marTop w:val="0"/>
          <w:marBottom w:val="0"/>
          <w:divBdr>
            <w:top w:val="none" w:sz="0" w:space="0" w:color="auto"/>
            <w:left w:val="none" w:sz="0" w:space="0" w:color="auto"/>
            <w:bottom w:val="none" w:sz="0" w:space="0" w:color="auto"/>
            <w:right w:val="none" w:sz="0" w:space="0" w:color="auto"/>
          </w:divBdr>
        </w:div>
        <w:div w:id="1765684760">
          <w:marLeft w:val="0"/>
          <w:marRight w:val="0"/>
          <w:marTop w:val="0"/>
          <w:marBottom w:val="0"/>
          <w:divBdr>
            <w:top w:val="none" w:sz="0" w:space="0" w:color="auto"/>
            <w:left w:val="none" w:sz="0" w:space="0" w:color="auto"/>
            <w:bottom w:val="none" w:sz="0" w:space="0" w:color="auto"/>
            <w:right w:val="none" w:sz="0" w:space="0" w:color="auto"/>
          </w:divBdr>
        </w:div>
        <w:div w:id="1547058810">
          <w:marLeft w:val="0"/>
          <w:marRight w:val="0"/>
          <w:marTop w:val="0"/>
          <w:marBottom w:val="0"/>
          <w:divBdr>
            <w:top w:val="none" w:sz="0" w:space="0" w:color="auto"/>
            <w:left w:val="none" w:sz="0" w:space="0" w:color="auto"/>
            <w:bottom w:val="none" w:sz="0" w:space="0" w:color="auto"/>
            <w:right w:val="none" w:sz="0" w:space="0" w:color="auto"/>
          </w:divBdr>
        </w:div>
        <w:div w:id="1910187952">
          <w:marLeft w:val="0"/>
          <w:marRight w:val="0"/>
          <w:marTop w:val="0"/>
          <w:marBottom w:val="0"/>
          <w:divBdr>
            <w:top w:val="none" w:sz="0" w:space="0" w:color="auto"/>
            <w:left w:val="none" w:sz="0" w:space="0" w:color="auto"/>
            <w:bottom w:val="none" w:sz="0" w:space="0" w:color="auto"/>
            <w:right w:val="none" w:sz="0" w:space="0" w:color="auto"/>
          </w:divBdr>
        </w:div>
        <w:div w:id="671377871">
          <w:marLeft w:val="0"/>
          <w:marRight w:val="0"/>
          <w:marTop w:val="0"/>
          <w:marBottom w:val="0"/>
          <w:divBdr>
            <w:top w:val="none" w:sz="0" w:space="0" w:color="auto"/>
            <w:left w:val="none" w:sz="0" w:space="0" w:color="auto"/>
            <w:bottom w:val="none" w:sz="0" w:space="0" w:color="auto"/>
            <w:right w:val="none" w:sz="0" w:space="0" w:color="auto"/>
          </w:divBdr>
        </w:div>
        <w:div w:id="1665694368">
          <w:marLeft w:val="0"/>
          <w:marRight w:val="0"/>
          <w:marTop w:val="0"/>
          <w:marBottom w:val="0"/>
          <w:divBdr>
            <w:top w:val="none" w:sz="0" w:space="0" w:color="auto"/>
            <w:left w:val="none" w:sz="0" w:space="0" w:color="auto"/>
            <w:bottom w:val="none" w:sz="0" w:space="0" w:color="auto"/>
            <w:right w:val="none" w:sz="0" w:space="0" w:color="auto"/>
          </w:divBdr>
        </w:div>
        <w:div w:id="2079939773">
          <w:marLeft w:val="0"/>
          <w:marRight w:val="0"/>
          <w:marTop w:val="0"/>
          <w:marBottom w:val="0"/>
          <w:divBdr>
            <w:top w:val="none" w:sz="0" w:space="0" w:color="auto"/>
            <w:left w:val="none" w:sz="0" w:space="0" w:color="auto"/>
            <w:bottom w:val="none" w:sz="0" w:space="0" w:color="auto"/>
            <w:right w:val="none" w:sz="0" w:space="0" w:color="auto"/>
          </w:divBdr>
        </w:div>
        <w:div w:id="1462771740">
          <w:marLeft w:val="0"/>
          <w:marRight w:val="0"/>
          <w:marTop w:val="0"/>
          <w:marBottom w:val="0"/>
          <w:divBdr>
            <w:top w:val="none" w:sz="0" w:space="0" w:color="auto"/>
            <w:left w:val="none" w:sz="0" w:space="0" w:color="auto"/>
            <w:bottom w:val="none" w:sz="0" w:space="0" w:color="auto"/>
            <w:right w:val="none" w:sz="0" w:space="0" w:color="auto"/>
          </w:divBdr>
        </w:div>
        <w:div w:id="1548255016">
          <w:marLeft w:val="0"/>
          <w:marRight w:val="0"/>
          <w:marTop w:val="0"/>
          <w:marBottom w:val="0"/>
          <w:divBdr>
            <w:top w:val="none" w:sz="0" w:space="0" w:color="auto"/>
            <w:left w:val="none" w:sz="0" w:space="0" w:color="auto"/>
            <w:bottom w:val="none" w:sz="0" w:space="0" w:color="auto"/>
            <w:right w:val="none" w:sz="0" w:space="0" w:color="auto"/>
          </w:divBdr>
        </w:div>
        <w:div w:id="1297756511">
          <w:marLeft w:val="0"/>
          <w:marRight w:val="0"/>
          <w:marTop w:val="0"/>
          <w:marBottom w:val="0"/>
          <w:divBdr>
            <w:top w:val="none" w:sz="0" w:space="0" w:color="auto"/>
            <w:left w:val="none" w:sz="0" w:space="0" w:color="auto"/>
            <w:bottom w:val="none" w:sz="0" w:space="0" w:color="auto"/>
            <w:right w:val="none" w:sz="0" w:space="0" w:color="auto"/>
          </w:divBdr>
        </w:div>
        <w:div w:id="257833327">
          <w:marLeft w:val="0"/>
          <w:marRight w:val="0"/>
          <w:marTop w:val="0"/>
          <w:marBottom w:val="0"/>
          <w:divBdr>
            <w:top w:val="none" w:sz="0" w:space="0" w:color="auto"/>
            <w:left w:val="none" w:sz="0" w:space="0" w:color="auto"/>
            <w:bottom w:val="none" w:sz="0" w:space="0" w:color="auto"/>
            <w:right w:val="none" w:sz="0" w:space="0" w:color="auto"/>
          </w:divBdr>
        </w:div>
      </w:divsChild>
    </w:div>
    <w:div w:id="2066176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50B6-A9B3-4DD8-929C-465E7C44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21</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Jade</dc:creator>
  <cp:lastModifiedBy>Morris, Jade</cp:lastModifiedBy>
  <cp:revision>95</cp:revision>
  <cp:lastPrinted>2018-09-07T09:19:00Z</cp:lastPrinted>
  <dcterms:created xsi:type="dcterms:W3CDTF">2018-09-07T10:24:00Z</dcterms:created>
  <dcterms:modified xsi:type="dcterms:W3CDTF">2018-11-15T11:21:00Z</dcterms:modified>
</cp:coreProperties>
</file>