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5F" w:rsidRPr="00CE6D8B" w:rsidRDefault="00AD2E5F" w:rsidP="002A5C15">
      <w:pPr>
        <w:pageBreakBefore/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E6D8B">
        <w:rPr>
          <w:b/>
          <w:bCs/>
          <w:color w:val="000000"/>
          <w:sz w:val="28"/>
          <w:szCs w:val="28"/>
        </w:rPr>
        <w:t xml:space="preserve">Haematopoiesis shows </w:t>
      </w:r>
      <w:r>
        <w:rPr>
          <w:b/>
          <w:bCs/>
          <w:color w:val="000000"/>
          <w:sz w:val="28"/>
          <w:szCs w:val="28"/>
        </w:rPr>
        <w:t>closer</w:t>
      </w:r>
      <w:r w:rsidRPr="00CE6D8B">
        <w:rPr>
          <w:b/>
          <w:bCs/>
          <w:color w:val="000000"/>
          <w:sz w:val="28"/>
          <w:szCs w:val="28"/>
        </w:rPr>
        <w:t xml:space="preserve"> correlation with calculated free testosterone </w:t>
      </w:r>
      <w:r>
        <w:rPr>
          <w:b/>
          <w:bCs/>
          <w:color w:val="000000"/>
          <w:sz w:val="28"/>
          <w:szCs w:val="28"/>
        </w:rPr>
        <w:t>in men</w:t>
      </w:r>
      <w:r w:rsidRPr="00CE6D8B">
        <w:rPr>
          <w:b/>
          <w:bCs/>
          <w:color w:val="000000"/>
          <w:sz w:val="28"/>
          <w:szCs w:val="28"/>
        </w:rPr>
        <w:t xml:space="preserve"> than total testosterone.</w:t>
      </w:r>
    </w:p>
    <w:p w:rsidR="00AD2E5F" w:rsidRPr="00CE6D8B" w:rsidRDefault="00AD2E5F" w:rsidP="001D199A">
      <w:pPr>
        <w:spacing w:before="24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David R </w:t>
      </w:r>
      <w:r w:rsidRPr="00CE6D8B">
        <w:rPr>
          <w:b/>
          <w:bCs/>
          <w:color w:val="000000"/>
        </w:rPr>
        <w:t>Woods</w:t>
      </w:r>
      <w:r w:rsidRPr="00CE6D8B">
        <w:rPr>
          <w:b/>
          <w:bCs/>
          <w:color w:val="000000"/>
          <w:vertAlign w:val="superscript"/>
        </w:rPr>
        <w:t xml:space="preserve"> 1,2,3,4</w:t>
      </w:r>
      <w:r w:rsidRPr="00CE6D8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Neil E </w:t>
      </w:r>
      <w:r w:rsidRPr="00CE6D8B">
        <w:rPr>
          <w:b/>
          <w:bCs/>
          <w:color w:val="000000"/>
        </w:rPr>
        <w:t>Hill</w:t>
      </w:r>
      <w:r w:rsidRPr="00CE6D8B">
        <w:rPr>
          <w:b/>
          <w:bCs/>
          <w:color w:val="000000"/>
          <w:vertAlign w:val="superscript"/>
        </w:rPr>
        <w:t xml:space="preserve"> 2</w:t>
      </w:r>
      <w:r w:rsidRPr="00CE6D8B">
        <w:rPr>
          <w:b/>
          <w:bCs/>
        </w:rPr>
        <w:t xml:space="preserve">, </w:t>
      </w:r>
      <w:r>
        <w:rPr>
          <w:b/>
          <w:bCs/>
        </w:rPr>
        <w:t xml:space="preserve">R Dermot G </w:t>
      </w:r>
      <w:r w:rsidRPr="00CE6D8B">
        <w:rPr>
          <w:b/>
          <w:bCs/>
          <w:color w:val="000000"/>
        </w:rPr>
        <w:t>Neely</w:t>
      </w:r>
      <w:r w:rsidRPr="00CE6D8B">
        <w:rPr>
          <w:b/>
          <w:bCs/>
          <w:color w:val="000000"/>
          <w:vertAlign w:val="superscript"/>
        </w:rPr>
        <w:t xml:space="preserve"> 5</w:t>
      </w:r>
      <w:r w:rsidRPr="00CE6D8B">
        <w:rPr>
          <w:b/>
          <w:bCs/>
          <w:color w:val="000000"/>
          <w:kern w:val="24"/>
        </w:rPr>
        <w:t xml:space="preserve">, </w:t>
      </w:r>
      <w:r>
        <w:rPr>
          <w:b/>
          <w:bCs/>
          <w:color w:val="000000"/>
          <w:kern w:val="24"/>
        </w:rPr>
        <w:t xml:space="preserve">Kate L </w:t>
      </w:r>
      <w:r w:rsidRPr="00CE6D8B">
        <w:rPr>
          <w:b/>
          <w:bCs/>
          <w:color w:val="000000"/>
        </w:rPr>
        <w:t>Talks</w:t>
      </w:r>
      <w:r w:rsidRPr="00CE6D8B">
        <w:rPr>
          <w:b/>
          <w:bCs/>
          <w:color w:val="000000"/>
          <w:vertAlign w:val="superscript"/>
        </w:rPr>
        <w:t xml:space="preserve"> 6</w:t>
      </w:r>
      <w:r w:rsidRPr="00CE6D8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Alison </w:t>
      </w:r>
      <w:r w:rsidRPr="00CE6D8B">
        <w:rPr>
          <w:b/>
          <w:bCs/>
          <w:color w:val="000000"/>
        </w:rPr>
        <w:t>Heggie A</w:t>
      </w:r>
      <w:r w:rsidRPr="00CE6D8B">
        <w:rPr>
          <w:b/>
          <w:bCs/>
          <w:color w:val="000000"/>
          <w:vertAlign w:val="superscript"/>
        </w:rPr>
        <w:t xml:space="preserve"> 7</w:t>
      </w:r>
      <w:r w:rsidRPr="00CE6D8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Richard </w:t>
      </w:r>
      <w:r w:rsidRPr="00CE6D8B">
        <w:rPr>
          <w:b/>
          <w:bCs/>
          <w:color w:val="000000"/>
        </w:rPr>
        <w:t>Quinton</w:t>
      </w:r>
      <w:r w:rsidRPr="00CE6D8B">
        <w:rPr>
          <w:b/>
          <w:bCs/>
          <w:color w:val="000000"/>
          <w:vertAlign w:val="superscript"/>
        </w:rPr>
        <w:t xml:space="preserve"> 4,8</w:t>
      </w:r>
      <w:r w:rsidRPr="00CE6D8B">
        <w:rPr>
          <w:b/>
          <w:bCs/>
          <w:color w:val="000000"/>
        </w:rPr>
        <w:t>.</w:t>
      </w:r>
    </w:p>
    <w:p w:rsidR="00AD2E5F" w:rsidRPr="00CE6D8B" w:rsidRDefault="00AD2E5F" w:rsidP="001D199A">
      <w:pPr>
        <w:spacing w:before="240" w:line="360" w:lineRule="auto"/>
        <w:jc w:val="both"/>
      </w:pPr>
      <w:proofErr w:type="gramStart"/>
      <w:r w:rsidRPr="00CE6D8B">
        <w:rPr>
          <w:kern w:val="24"/>
          <w:vertAlign w:val="superscript"/>
        </w:rPr>
        <w:t xml:space="preserve">1 </w:t>
      </w:r>
      <w:r w:rsidRPr="00C57AD6">
        <w:rPr>
          <w:i/>
          <w:iCs/>
        </w:rPr>
        <w:t>Department of Endocrinology &amp; Diabetes, Northumbria NHS Trust, NE63 9JJ.</w:t>
      </w:r>
      <w:proofErr w:type="gramEnd"/>
      <w:r w:rsidRPr="00C57AD6">
        <w:rPr>
          <w:i/>
          <w:iCs/>
        </w:rPr>
        <w:t xml:space="preserve"> UK</w:t>
      </w:r>
    </w:p>
    <w:p w:rsidR="00AD2E5F" w:rsidRPr="00CE6D8B" w:rsidRDefault="00AD2E5F" w:rsidP="002A5C15">
      <w:pPr>
        <w:spacing w:before="120" w:line="360" w:lineRule="auto"/>
        <w:jc w:val="both"/>
      </w:pPr>
      <w:r w:rsidRPr="00CE6D8B">
        <w:rPr>
          <w:kern w:val="24"/>
          <w:vertAlign w:val="superscript"/>
        </w:rPr>
        <w:t xml:space="preserve">2 </w:t>
      </w:r>
      <w:r w:rsidRPr="00C57AD6">
        <w:rPr>
          <w:i/>
          <w:iCs/>
        </w:rPr>
        <w:t xml:space="preserve">Royal </w:t>
      </w:r>
      <w:proofErr w:type="gramStart"/>
      <w:r w:rsidRPr="00C57AD6">
        <w:rPr>
          <w:i/>
          <w:iCs/>
        </w:rPr>
        <w:t>Centre</w:t>
      </w:r>
      <w:proofErr w:type="gramEnd"/>
      <w:r w:rsidRPr="00C57AD6">
        <w:rPr>
          <w:i/>
          <w:iCs/>
        </w:rPr>
        <w:t xml:space="preserve"> for Defence Medicine, Birmingham, B15 2GW. UK</w:t>
      </w:r>
    </w:p>
    <w:p w:rsidR="00AD2E5F" w:rsidRPr="00CE6D8B" w:rsidRDefault="00AD2E5F" w:rsidP="002A5C15">
      <w:pPr>
        <w:spacing w:before="120" w:line="360" w:lineRule="auto"/>
        <w:jc w:val="both"/>
      </w:pPr>
      <w:proofErr w:type="gramStart"/>
      <w:r w:rsidRPr="00CE6D8B">
        <w:rPr>
          <w:kern w:val="24"/>
          <w:vertAlign w:val="superscript"/>
        </w:rPr>
        <w:t xml:space="preserve">3 </w:t>
      </w:r>
      <w:r w:rsidRPr="00C57AD6">
        <w:rPr>
          <w:i/>
          <w:iCs/>
        </w:rPr>
        <w:t>Carnegie Research Institute, Leeds Beckett University, LS1 3HE, UK.</w:t>
      </w:r>
      <w:proofErr w:type="gramEnd"/>
    </w:p>
    <w:p w:rsidR="00AD2E5F" w:rsidRPr="00C57AD6" w:rsidRDefault="00AD2E5F" w:rsidP="002A5C15">
      <w:pPr>
        <w:spacing w:before="120" w:line="360" w:lineRule="auto"/>
        <w:jc w:val="both"/>
        <w:rPr>
          <w:i/>
          <w:iCs/>
          <w:color w:val="000000"/>
        </w:rPr>
      </w:pPr>
      <w:r w:rsidRPr="00C57AD6">
        <w:rPr>
          <w:i/>
          <w:iCs/>
          <w:color w:val="000000"/>
        </w:rPr>
        <w:t>Departments of</w:t>
      </w:r>
      <w:r w:rsidRPr="00CE6D8B">
        <w:rPr>
          <w:color w:val="000000"/>
        </w:rPr>
        <w:t xml:space="preserve"> </w:t>
      </w:r>
      <w:r w:rsidRPr="00CE6D8B">
        <w:rPr>
          <w:color w:val="000000"/>
          <w:vertAlign w:val="superscript"/>
        </w:rPr>
        <w:t xml:space="preserve">4 </w:t>
      </w:r>
      <w:r w:rsidRPr="00C57AD6">
        <w:rPr>
          <w:i/>
          <w:iCs/>
          <w:color w:val="000000"/>
        </w:rPr>
        <w:t>Endocrinology</w:t>
      </w:r>
      <w:r w:rsidRPr="00CE6D8B">
        <w:rPr>
          <w:color w:val="000000"/>
          <w:kern w:val="24"/>
          <w:vertAlign w:val="superscript"/>
        </w:rPr>
        <w:t xml:space="preserve"> 5 </w:t>
      </w:r>
      <w:r w:rsidRPr="00C57AD6">
        <w:rPr>
          <w:i/>
          <w:iCs/>
          <w:color w:val="000000"/>
        </w:rPr>
        <w:t>Clinical Biochemistry &amp;</w:t>
      </w:r>
      <w:r w:rsidRPr="00CE6D8B">
        <w:rPr>
          <w:color w:val="000000"/>
        </w:rPr>
        <w:t xml:space="preserve"> </w:t>
      </w:r>
      <w:r w:rsidRPr="00CE6D8B">
        <w:rPr>
          <w:color w:val="000000"/>
          <w:vertAlign w:val="superscript"/>
        </w:rPr>
        <w:t xml:space="preserve">6 </w:t>
      </w:r>
      <w:r w:rsidRPr="00C57AD6">
        <w:rPr>
          <w:i/>
          <w:iCs/>
          <w:color w:val="000000"/>
        </w:rPr>
        <w:t>Haematology, Newcastle-upon-Tyne Hospitals NHS Trust, NE1 4LP. UK</w:t>
      </w:r>
    </w:p>
    <w:p w:rsidR="00AD2E5F" w:rsidRPr="00CE6D8B" w:rsidRDefault="00AD2E5F" w:rsidP="002A5C15">
      <w:pPr>
        <w:spacing w:before="120" w:line="360" w:lineRule="auto"/>
        <w:jc w:val="both"/>
        <w:rPr>
          <w:color w:val="000000"/>
        </w:rPr>
      </w:pPr>
      <w:r w:rsidRPr="00C57AD6">
        <w:rPr>
          <w:i/>
          <w:iCs/>
          <w:color w:val="000000"/>
        </w:rPr>
        <w:t>Institutes of</w:t>
      </w:r>
      <w:r w:rsidRPr="00CE6D8B">
        <w:rPr>
          <w:color w:val="000000"/>
        </w:rPr>
        <w:t xml:space="preserve"> </w:t>
      </w:r>
      <w:r w:rsidRPr="00CE6D8B">
        <w:rPr>
          <w:color w:val="000000"/>
          <w:kern w:val="24"/>
          <w:vertAlign w:val="superscript"/>
        </w:rPr>
        <w:t xml:space="preserve">7 </w:t>
      </w:r>
      <w:r w:rsidRPr="00C57AD6">
        <w:rPr>
          <w:i/>
          <w:iCs/>
          <w:color w:val="000000"/>
        </w:rPr>
        <w:t>Cellular &amp;</w:t>
      </w:r>
      <w:r w:rsidRPr="00CE6D8B">
        <w:rPr>
          <w:color w:val="000000"/>
        </w:rPr>
        <w:t xml:space="preserve"> </w:t>
      </w:r>
      <w:r w:rsidRPr="00CE6D8B">
        <w:rPr>
          <w:color w:val="000000"/>
          <w:kern w:val="24"/>
          <w:vertAlign w:val="superscript"/>
        </w:rPr>
        <w:t xml:space="preserve">8 </w:t>
      </w:r>
      <w:r w:rsidRPr="00C57AD6">
        <w:rPr>
          <w:i/>
          <w:iCs/>
          <w:color w:val="000000"/>
        </w:rPr>
        <w:t xml:space="preserve">Genetic </w:t>
      </w:r>
      <w:proofErr w:type="gramStart"/>
      <w:r w:rsidRPr="00C57AD6">
        <w:rPr>
          <w:i/>
          <w:iCs/>
          <w:color w:val="000000"/>
        </w:rPr>
        <w:t>Medicine</w:t>
      </w:r>
      <w:proofErr w:type="gramEnd"/>
      <w:r w:rsidRPr="00C57AD6">
        <w:rPr>
          <w:i/>
          <w:iCs/>
          <w:color w:val="000000"/>
        </w:rPr>
        <w:t>, University of Newcastle-upon-Tyne, NE1 3BZ. UK</w:t>
      </w:r>
    </w:p>
    <w:p w:rsidR="00AD2E5F" w:rsidRPr="00CE6D8B" w:rsidRDefault="00AD2E5F" w:rsidP="002A5C15">
      <w:pPr>
        <w:spacing w:line="360" w:lineRule="auto"/>
        <w:jc w:val="both"/>
      </w:pPr>
    </w:p>
    <w:p w:rsidR="00AD2E5F" w:rsidRPr="00CE6D8B" w:rsidRDefault="00AD2E5F" w:rsidP="002A5C15">
      <w:pPr>
        <w:spacing w:line="360" w:lineRule="auto"/>
        <w:jc w:val="both"/>
      </w:pPr>
      <w:r w:rsidRPr="00CE6D8B">
        <w:rPr>
          <w:b/>
          <w:bCs/>
          <w:color w:val="000000"/>
        </w:rPr>
        <w:t>Corresponding author:</w:t>
      </w:r>
      <w:r w:rsidRPr="00CE6D8B">
        <w:rPr>
          <w:b/>
          <w:bCs/>
          <w:color w:val="000000"/>
        </w:rPr>
        <w:tab/>
      </w:r>
      <w:r w:rsidRPr="00C57AD6">
        <w:rPr>
          <w:b/>
          <w:bCs/>
        </w:rPr>
        <w:t>Dr Richard Quinton</w:t>
      </w:r>
    </w:p>
    <w:p w:rsidR="00AD2E5F" w:rsidRPr="00CE6D8B" w:rsidRDefault="00AD2E5F" w:rsidP="002A5C15">
      <w:pPr>
        <w:spacing w:line="360" w:lineRule="auto"/>
        <w:ind w:left="2118" w:firstLine="706"/>
        <w:jc w:val="both"/>
      </w:pPr>
      <w:r w:rsidRPr="00CE6D8B">
        <w:t>Department of Endocrinology</w:t>
      </w:r>
    </w:p>
    <w:p w:rsidR="00AD2E5F" w:rsidRPr="00CE6D8B" w:rsidRDefault="00AD2E5F" w:rsidP="002A5C15">
      <w:pPr>
        <w:spacing w:line="360" w:lineRule="auto"/>
        <w:ind w:left="2118" w:firstLine="706"/>
        <w:jc w:val="both"/>
      </w:pPr>
      <w:r w:rsidRPr="00CE6D8B">
        <w:t>Royal Victoria Infirmary</w:t>
      </w:r>
    </w:p>
    <w:p w:rsidR="00AD2E5F" w:rsidRPr="00CE6D8B" w:rsidRDefault="00AD2E5F" w:rsidP="002A5C15">
      <w:pPr>
        <w:spacing w:line="360" w:lineRule="auto"/>
        <w:ind w:left="2118" w:firstLine="706"/>
        <w:jc w:val="both"/>
        <w:rPr>
          <w:color w:val="000000"/>
        </w:rPr>
      </w:pPr>
      <w:r w:rsidRPr="00CE6D8B">
        <w:rPr>
          <w:color w:val="000000"/>
        </w:rPr>
        <w:t>Newcastle-upon-Tyne</w:t>
      </w:r>
    </w:p>
    <w:p w:rsidR="00AD2E5F" w:rsidRPr="00CE6D8B" w:rsidRDefault="00AD2E5F" w:rsidP="002A5C15">
      <w:pPr>
        <w:spacing w:line="360" w:lineRule="auto"/>
        <w:ind w:left="2118" w:firstLine="706"/>
        <w:jc w:val="both"/>
        <w:rPr>
          <w:color w:val="000000"/>
        </w:rPr>
      </w:pPr>
      <w:r w:rsidRPr="00CE6D8B">
        <w:rPr>
          <w:color w:val="000000"/>
        </w:rPr>
        <w:t>NE1 4LP</w:t>
      </w:r>
    </w:p>
    <w:p w:rsidR="00AD2E5F" w:rsidRPr="00CE6D8B" w:rsidRDefault="00AD2E5F" w:rsidP="002A5C15">
      <w:pPr>
        <w:spacing w:line="360" w:lineRule="auto"/>
        <w:ind w:left="2118" w:firstLine="706"/>
        <w:jc w:val="both"/>
        <w:rPr>
          <w:color w:val="000000"/>
        </w:rPr>
      </w:pPr>
      <w:r w:rsidRPr="00CE6D8B">
        <w:rPr>
          <w:color w:val="000000"/>
        </w:rPr>
        <w:t>UK</w:t>
      </w:r>
    </w:p>
    <w:p w:rsidR="00AD2E5F" w:rsidRPr="00CE6D8B" w:rsidRDefault="00AD2E5F" w:rsidP="00510652">
      <w:pPr>
        <w:spacing w:line="360" w:lineRule="auto"/>
        <w:ind w:left="706" w:firstLine="706"/>
        <w:jc w:val="both"/>
      </w:pPr>
      <w:proofErr w:type="gramStart"/>
      <w:r w:rsidRPr="00CE6D8B">
        <w:t>e-mail</w:t>
      </w:r>
      <w:proofErr w:type="gramEnd"/>
      <w:r w:rsidRPr="00CE6D8B">
        <w:t>:</w:t>
      </w:r>
      <w:r w:rsidRPr="00CE6D8B">
        <w:tab/>
      </w:r>
      <w:r w:rsidRPr="00CE6D8B">
        <w:tab/>
        <w:t>richard.quinton@ncl.ac.uk</w:t>
      </w:r>
    </w:p>
    <w:p w:rsidR="00AD2E5F" w:rsidRPr="00CE6D8B" w:rsidRDefault="00AD2E5F" w:rsidP="00510652">
      <w:pPr>
        <w:spacing w:after="120" w:line="360" w:lineRule="auto"/>
        <w:ind w:left="706" w:firstLine="706"/>
        <w:jc w:val="both"/>
        <w:rPr>
          <w:color w:val="000000"/>
        </w:rPr>
      </w:pPr>
      <w:r w:rsidRPr="00CE6D8B">
        <w:rPr>
          <w:color w:val="000000"/>
        </w:rPr>
        <w:t xml:space="preserve">Tel: </w:t>
      </w:r>
      <w:r w:rsidRPr="00CE6D8B">
        <w:rPr>
          <w:color w:val="000000"/>
        </w:rPr>
        <w:tab/>
      </w:r>
      <w:r w:rsidRPr="00CE6D8B">
        <w:rPr>
          <w:color w:val="000000"/>
        </w:rPr>
        <w:tab/>
        <w:t>0191 282 4635</w:t>
      </w:r>
    </w:p>
    <w:p w:rsidR="00AD2E5F" w:rsidRPr="00CE6D8B" w:rsidRDefault="00AD2E5F" w:rsidP="00510652">
      <w:pPr>
        <w:spacing w:after="120" w:line="360" w:lineRule="auto"/>
        <w:ind w:left="706" w:firstLine="706"/>
        <w:jc w:val="both"/>
        <w:rPr>
          <w:color w:val="000000"/>
        </w:rPr>
      </w:pPr>
      <w:r w:rsidRPr="00CE6D8B">
        <w:rPr>
          <w:color w:val="000000"/>
        </w:rPr>
        <w:t xml:space="preserve">Fax: </w:t>
      </w:r>
      <w:r w:rsidRPr="00CE6D8B">
        <w:rPr>
          <w:color w:val="000000"/>
        </w:rPr>
        <w:tab/>
      </w:r>
      <w:r w:rsidRPr="00CE6D8B">
        <w:rPr>
          <w:color w:val="000000"/>
        </w:rPr>
        <w:tab/>
        <w:t>0191 282 0129</w:t>
      </w:r>
    </w:p>
    <w:p w:rsidR="008A0AA6" w:rsidRPr="00510652" w:rsidRDefault="00A678F4" w:rsidP="002A5C15">
      <w:pPr>
        <w:spacing w:before="480" w:line="360" w:lineRule="auto"/>
      </w:pPr>
      <w:r w:rsidRPr="00510652">
        <w:rPr>
          <w:b/>
          <w:bCs/>
        </w:rPr>
        <w:t>Key words</w:t>
      </w:r>
      <w:r w:rsidR="008A0AA6" w:rsidRPr="00510652">
        <w:rPr>
          <w:b/>
          <w:bCs/>
        </w:rPr>
        <w:t>:</w:t>
      </w:r>
      <w:r w:rsidR="008A0AA6" w:rsidRPr="00510652">
        <w:rPr>
          <w:b/>
          <w:bCs/>
        </w:rPr>
        <w:tab/>
        <w:t xml:space="preserve"> </w:t>
      </w:r>
      <w:r w:rsidRPr="00510652">
        <w:t>testosterone, calculated free testosterone,</w:t>
      </w:r>
      <w:r w:rsidR="008A0AA6" w:rsidRPr="00510652">
        <w:t xml:space="preserve"> </w:t>
      </w:r>
      <w:proofErr w:type="spellStart"/>
      <w:r w:rsidR="008A0AA6" w:rsidRPr="00510652">
        <w:t>hematopoiesis</w:t>
      </w:r>
      <w:proofErr w:type="spellEnd"/>
      <w:r w:rsidR="008A0AA6" w:rsidRPr="00510652">
        <w:t xml:space="preserve">, </w:t>
      </w:r>
      <w:proofErr w:type="spellStart"/>
      <w:r w:rsidR="008A0AA6" w:rsidRPr="00510652">
        <w:t>hemoglobin</w:t>
      </w:r>
      <w:proofErr w:type="spellEnd"/>
      <w:r w:rsidR="008A0AA6" w:rsidRPr="00510652">
        <w:t xml:space="preserve">, </w:t>
      </w:r>
      <w:proofErr w:type="spellStart"/>
      <w:r w:rsidR="008A0AA6" w:rsidRPr="00510652">
        <w:t>h</w:t>
      </w:r>
      <w:r w:rsidRPr="00510652">
        <w:t>ematocrit</w:t>
      </w:r>
      <w:proofErr w:type="spellEnd"/>
    </w:p>
    <w:p w:rsidR="002A5C15" w:rsidRPr="00510652" w:rsidRDefault="008A0AA6" w:rsidP="001D199A">
      <w:pPr>
        <w:spacing w:before="240" w:line="360" w:lineRule="auto"/>
      </w:pPr>
      <w:r w:rsidRPr="00510652">
        <w:rPr>
          <w:b/>
          <w:bCs/>
        </w:rPr>
        <w:t>Word count:</w:t>
      </w:r>
      <w:r w:rsidRPr="00510652">
        <w:rPr>
          <w:b/>
          <w:bCs/>
        </w:rPr>
        <w:tab/>
      </w:r>
      <w:r w:rsidRPr="00A40159">
        <w:rPr>
          <w:bCs/>
        </w:rPr>
        <w:t xml:space="preserve"> </w:t>
      </w:r>
      <w:r w:rsidR="005A4904" w:rsidRPr="00A40159">
        <w:rPr>
          <w:bCs/>
        </w:rPr>
        <w:t>1,</w:t>
      </w:r>
      <w:r w:rsidR="00A40159" w:rsidRPr="00A40159">
        <w:rPr>
          <w:bCs/>
        </w:rPr>
        <w:t>106</w:t>
      </w:r>
      <w:r w:rsidR="005A4904" w:rsidRPr="00510652">
        <w:t xml:space="preserve"> </w:t>
      </w:r>
    </w:p>
    <w:p w:rsidR="002A5C15" w:rsidRPr="001E5E6E" w:rsidRDefault="002A5C15" w:rsidP="001D199A">
      <w:pPr>
        <w:spacing w:before="480" w:line="480" w:lineRule="auto"/>
        <w:jc w:val="both"/>
        <w:rPr>
          <w:b/>
          <w:bCs/>
        </w:rPr>
      </w:pPr>
      <w:r w:rsidRPr="001E5E6E">
        <w:rPr>
          <w:b/>
          <w:bCs/>
        </w:rPr>
        <w:t>Author D</w:t>
      </w:r>
      <w:r>
        <w:rPr>
          <w:b/>
          <w:bCs/>
        </w:rPr>
        <w:t>eclarations</w:t>
      </w:r>
    </w:p>
    <w:p w:rsidR="002A5C15" w:rsidRPr="001E5E6E" w:rsidRDefault="002A5C15" w:rsidP="002A5C15">
      <w:pPr>
        <w:widowControl/>
        <w:suppressAutoHyphens w:val="0"/>
        <w:spacing w:before="120" w:line="480" w:lineRule="auto"/>
        <w:jc w:val="both"/>
        <w:textAlignment w:val="auto"/>
        <w:rPr>
          <w:kern w:val="0"/>
          <w:sz w:val="22"/>
          <w:szCs w:val="22"/>
          <w:lang w:eastAsia="en-US"/>
        </w:rPr>
      </w:pPr>
      <w:r w:rsidRPr="001E5E6E">
        <w:rPr>
          <w:kern w:val="0"/>
          <w:sz w:val="22"/>
          <w:szCs w:val="22"/>
          <w:lang w:eastAsia="en-US"/>
        </w:rPr>
        <w:t>The authors declare that there is no conflict of interest that could be perceived as prejudicing the impartiality of the research reported.</w:t>
      </w:r>
    </w:p>
    <w:p w:rsidR="008A0AA6" w:rsidRPr="00D35C9E" w:rsidRDefault="002A5C15" w:rsidP="001D199A">
      <w:pPr>
        <w:widowControl/>
        <w:suppressAutoHyphens w:val="0"/>
        <w:spacing w:before="120" w:line="480" w:lineRule="auto"/>
        <w:jc w:val="both"/>
        <w:textAlignment w:val="auto"/>
        <w:rPr>
          <w:sz w:val="28"/>
          <w:szCs w:val="28"/>
        </w:rPr>
      </w:pPr>
      <w:r w:rsidRPr="001E5E6E">
        <w:rPr>
          <w:kern w:val="0"/>
          <w:sz w:val="22"/>
          <w:szCs w:val="22"/>
          <w:lang w:eastAsia="en-US"/>
        </w:rPr>
        <w:t>This research did not receive any specific grant from any funding agency in the public, commercial or not-for-profit sector.</w:t>
      </w:r>
      <w:r w:rsidR="00AD2E5F">
        <w:br w:type="page"/>
      </w:r>
    </w:p>
    <w:p w:rsidR="006D2930" w:rsidRDefault="00EC51CF" w:rsidP="008A0AA6">
      <w:pPr>
        <w:spacing w:line="480" w:lineRule="auto"/>
        <w:jc w:val="both"/>
        <w:rPr>
          <w:color w:val="212121"/>
        </w:rPr>
      </w:pPr>
      <w:r>
        <w:lastRenderedPageBreak/>
        <w:t>Serum total testosterone (</w:t>
      </w:r>
      <w:proofErr w:type="spellStart"/>
      <w:r w:rsidR="001668BF">
        <w:t>t</w:t>
      </w:r>
      <w:r>
        <w:t>T</w:t>
      </w:r>
      <w:proofErr w:type="spellEnd"/>
      <w:r>
        <w:t>)</w:t>
      </w:r>
      <w:r w:rsidRPr="00CE6D8B">
        <w:t xml:space="preserve"> includes both free testosterone (</w:t>
      </w:r>
      <w:proofErr w:type="spellStart"/>
      <w:proofErr w:type="gramStart"/>
      <w:r w:rsidRPr="00CE6D8B">
        <w:t>fT</w:t>
      </w:r>
      <w:proofErr w:type="spellEnd"/>
      <w:r>
        <w:t xml:space="preserve"> ;</w:t>
      </w:r>
      <w:proofErr w:type="gramEnd"/>
      <w:r w:rsidRPr="00CE6D8B">
        <w:t xml:space="preserve"> 0.5</w:t>
      </w:r>
      <w:r>
        <w:t xml:space="preserve"> to </w:t>
      </w:r>
      <w:r w:rsidRPr="00CE6D8B">
        <w:t xml:space="preserve">3% of </w:t>
      </w:r>
      <w:r>
        <w:t>total and believed to be the biologically active form)</w:t>
      </w:r>
      <w:r w:rsidRPr="00CE6D8B">
        <w:t xml:space="preserve"> </w:t>
      </w:r>
      <w:r>
        <w:t xml:space="preserve">and </w:t>
      </w:r>
      <w:r w:rsidRPr="00CE6D8B">
        <w:t>SHBG- and albumin</w:t>
      </w:r>
      <w:r>
        <w:t>-</w:t>
      </w:r>
      <w:r w:rsidR="001668BF">
        <w:t xml:space="preserve"> </w:t>
      </w:r>
      <w:r>
        <w:t>bound forms</w:t>
      </w:r>
      <w:r w:rsidRPr="00CE6D8B">
        <w:t xml:space="preserve"> [</w:t>
      </w:r>
      <w:r w:rsidR="001668BF">
        <w:t>1</w:t>
      </w:r>
      <w:r w:rsidRPr="00CE6D8B">
        <w:t>]</w:t>
      </w:r>
      <w:r>
        <w:t xml:space="preserve">.  </w:t>
      </w:r>
      <w:r w:rsidR="008A0AA6">
        <w:t xml:space="preserve">Guidelines for </w:t>
      </w:r>
      <w:r w:rsidR="008A0AA6" w:rsidRPr="00CE6D8B">
        <w:t>diagnosi</w:t>
      </w:r>
      <w:r w:rsidR="008A0AA6">
        <w:t>ng</w:t>
      </w:r>
      <w:r w:rsidR="008A0AA6" w:rsidRPr="00CE6D8B">
        <w:t xml:space="preserve"> and treat</w:t>
      </w:r>
      <w:r w:rsidR="008A0AA6">
        <w:t xml:space="preserve">ing </w:t>
      </w:r>
      <w:r w:rsidR="008A0AA6" w:rsidRPr="00CE6D8B">
        <w:t xml:space="preserve">male hypogonadism </w:t>
      </w:r>
      <w:r w:rsidR="00AA7D07">
        <w:t xml:space="preserve">that </w:t>
      </w:r>
      <w:r w:rsidR="00A362D7">
        <w:t>emphasise</w:t>
      </w:r>
      <w:r w:rsidR="008A0AA6" w:rsidRPr="00CE6D8B">
        <w:t xml:space="preserve"> </w:t>
      </w:r>
      <w:r w:rsidR="00AA7D07">
        <w:t xml:space="preserve">measurement </w:t>
      </w:r>
      <w:r w:rsidR="008A0AA6" w:rsidRPr="00CE6D8B">
        <w:t>of serum total testosterone (</w:t>
      </w:r>
      <w:proofErr w:type="spellStart"/>
      <w:r w:rsidR="008A0AA6" w:rsidRPr="00CE6D8B">
        <w:t>tT</w:t>
      </w:r>
      <w:proofErr w:type="spellEnd"/>
      <w:r w:rsidR="008A0AA6" w:rsidRPr="00CE6D8B">
        <w:t>) [</w:t>
      </w:r>
      <w:r w:rsidR="001668BF">
        <w:t>2</w:t>
      </w:r>
      <w:r w:rsidR="008A0AA6" w:rsidRPr="00CE6D8B">
        <w:t>]</w:t>
      </w:r>
      <w:r w:rsidR="008A0AA6">
        <w:t xml:space="preserve"> </w:t>
      </w:r>
      <w:r w:rsidR="00E97FE5">
        <w:t>may not address</w:t>
      </w:r>
      <w:r w:rsidR="00A362D7">
        <w:t xml:space="preserve"> </w:t>
      </w:r>
      <w:r w:rsidR="008221C2">
        <w:t xml:space="preserve">the major </w:t>
      </w:r>
      <w:r w:rsidR="00134D33">
        <w:rPr>
          <w:color w:val="212121"/>
        </w:rPr>
        <w:t>variations</w:t>
      </w:r>
      <w:r w:rsidR="008A0AA6" w:rsidRPr="00CE6D8B">
        <w:rPr>
          <w:color w:val="212121"/>
        </w:rPr>
        <w:t xml:space="preserve"> in sex hormone binding globulin (SHBG)</w:t>
      </w:r>
      <w:r w:rsidR="002E1BCE">
        <w:rPr>
          <w:color w:val="212121"/>
        </w:rPr>
        <w:t xml:space="preserve"> </w:t>
      </w:r>
      <w:r w:rsidR="008A0AA6" w:rsidRPr="00CE6D8B">
        <w:rPr>
          <w:color w:val="212121"/>
        </w:rPr>
        <w:t>and consequent testosterone bioavailability</w:t>
      </w:r>
      <w:r w:rsidR="002E1BCE">
        <w:rPr>
          <w:color w:val="212121"/>
        </w:rPr>
        <w:t xml:space="preserve"> (BT</w:t>
      </w:r>
      <w:r w:rsidR="008221C2">
        <w:rPr>
          <w:color w:val="212121"/>
        </w:rPr>
        <w:t xml:space="preserve"> –either calculated or assayed directly</w:t>
      </w:r>
      <w:r w:rsidR="002E1BCE">
        <w:rPr>
          <w:color w:val="212121"/>
        </w:rPr>
        <w:t>)</w:t>
      </w:r>
      <w:r w:rsidR="008A0AA6" w:rsidRPr="00CE6D8B">
        <w:rPr>
          <w:color w:val="212121"/>
        </w:rPr>
        <w:t xml:space="preserve"> </w:t>
      </w:r>
      <w:r w:rsidR="00E97FE5">
        <w:rPr>
          <w:color w:val="212121"/>
        </w:rPr>
        <w:t xml:space="preserve">that are </w:t>
      </w:r>
      <w:r w:rsidR="008A0AA6">
        <w:rPr>
          <w:color w:val="212121"/>
        </w:rPr>
        <w:t>associated</w:t>
      </w:r>
      <w:r w:rsidR="008A0AA6" w:rsidRPr="00CE6D8B">
        <w:rPr>
          <w:color w:val="212121"/>
        </w:rPr>
        <w:t xml:space="preserve"> with age, obesity, anticonvulsant therapy</w:t>
      </w:r>
      <w:r w:rsidR="008A0AA6">
        <w:rPr>
          <w:color w:val="212121"/>
        </w:rPr>
        <w:t>,</w:t>
      </w:r>
      <w:r w:rsidR="008A0AA6" w:rsidRPr="00CE6D8B">
        <w:rPr>
          <w:color w:val="212121"/>
        </w:rPr>
        <w:t xml:space="preserve"> thyroid and liver disease</w:t>
      </w:r>
      <w:r w:rsidR="008A0AA6" w:rsidRPr="008221C2">
        <w:rPr>
          <w:color w:val="212121"/>
        </w:rPr>
        <w:t xml:space="preserve">. </w:t>
      </w:r>
      <w:r w:rsidR="006D2930" w:rsidRPr="008221C2">
        <w:rPr>
          <w:color w:val="212121"/>
        </w:rPr>
        <w:t xml:space="preserve"> For these reasons, recent Endocrine Society of Australia (ESA) guidelines [2] acknowledge the value of measuring SHBG as well as </w:t>
      </w:r>
      <w:r w:rsidR="002E1BCE" w:rsidRPr="002A0057">
        <w:rPr>
          <w:color w:val="212121"/>
        </w:rPr>
        <w:t>B</w:t>
      </w:r>
      <w:r w:rsidR="006D2930" w:rsidRPr="008221C2">
        <w:rPr>
          <w:color w:val="212121"/>
        </w:rPr>
        <w:t>T, but nevertheless state that “</w:t>
      </w:r>
      <w:r w:rsidR="006D2930" w:rsidRPr="008221C2">
        <w:rPr>
          <w:i/>
          <w:color w:val="212121"/>
        </w:rPr>
        <w:t xml:space="preserve">There is no evidence that free or bioavailable testosterone levels, which are usually not directly measured but </w:t>
      </w:r>
      <w:proofErr w:type="gramStart"/>
      <w:r w:rsidR="006D2930" w:rsidRPr="008221C2">
        <w:rPr>
          <w:i/>
          <w:color w:val="212121"/>
        </w:rPr>
        <w:t>calculated…</w:t>
      </w:r>
      <w:proofErr w:type="gramEnd"/>
      <w:r w:rsidR="006D2930" w:rsidRPr="008221C2">
        <w:rPr>
          <w:i/>
          <w:color w:val="212121"/>
        </w:rPr>
        <w:t xml:space="preserve">are a better measure of androgen status than total testosterone level. </w:t>
      </w:r>
      <w:r w:rsidR="00BC27D1" w:rsidRPr="008221C2">
        <w:rPr>
          <w:i/>
          <w:color w:val="212121"/>
        </w:rPr>
        <w:t xml:space="preserve"> </w:t>
      </w:r>
      <w:r w:rsidR="006D2930" w:rsidRPr="008221C2">
        <w:rPr>
          <w:i/>
          <w:color w:val="212121"/>
        </w:rPr>
        <w:t>Moreover, reference intervals for these</w:t>
      </w:r>
      <w:r w:rsidR="0005299F" w:rsidRPr="002A0057">
        <w:rPr>
          <w:i/>
          <w:color w:val="212121"/>
        </w:rPr>
        <w:t xml:space="preserve"> [</w:t>
      </w:r>
      <w:r w:rsidR="00DE2EF0" w:rsidRPr="002A0057">
        <w:rPr>
          <w:i/>
          <w:color w:val="212121"/>
        </w:rPr>
        <w:t>BT leve</w:t>
      </w:r>
      <w:r w:rsidR="008221C2">
        <w:rPr>
          <w:i/>
          <w:color w:val="212121"/>
        </w:rPr>
        <w:t>l</w:t>
      </w:r>
      <w:r w:rsidR="00DE2EF0" w:rsidRPr="002A0057">
        <w:rPr>
          <w:i/>
          <w:color w:val="212121"/>
        </w:rPr>
        <w:t>s</w:t>
      </w:r>
      <w:r w:rsidR="0005299F" w:rsidRPr="002A0057">
        <w:rPr>
          <w:i/>
          <w:color w:val="212121"/>
        </w:rPr>
        <w:t>]</w:t>
      </w:r>
      <w:r w:rsidR="006D2930" w:rsidRPr="008221C2">
        <w:rPr>
          <w:i/>
          <w:color w:val="212121"/>
        </w:rPr>
        <w:t xml:space="preserve"> are even less well defined than those for measured testosterone concentrations.  Therefore, they</w:t>
      </w:r>
      <w:r w:rsidR="0005299F" w:rsidRPr="002A0057">
        <w:rPr>
          <w:i/>
          <w:color w:val="212121"/>
        </w:rPr>
        <w:t xml:space="preserve"> [</w:t>
      </w:r>
      <w:r w:rsidR="00DE2EF0" w:rsidRPr="002A0057">
        <w:rPr>
          <w:i/>
          <w:color w:val="212121"/>
        </w:rPr>
        <w:t>BT levels</w:t>
      </w:r>
      <w:r w:rsidR="0005299F" w:rsidRPr="002A0057">
        <w:rPr>
          <w:i/>
          <w:color w:val="212121"/>
        </w:rPr>
        <w:t>]</w:t>
      </w:r>
      <w:r w:rsidR="006D2930" w:rsidRPr="008221C2">
        <w:rPr>
          <w:i/>
          <w:color w:val="212121"/>
        </w:rPr>
        <w:t xml:space="preserve"> are not recommended for clinical decision making.</w:t>
      </w:r>
      <w:r w:rsidR="006D2930" w:rsidRPr="008221C2">
        <w:rPr>
          <w:color w:val="212121"/>
        </w:rPr>
        <w:t>”</w:t>
      </w:r>
    </w:p>
    <w:p w:rsidR="00FD7718" w:rsidRPr="005F3919" w:rsidRDefault="008A0AA6" w:rsidP="00290BE4">
      <w:pPr>
        <w:spacing w:line="480" w:lineRule="auto"/>
        <w:jc w:val="both"/>
        <w:rPr>
          <w:color w:val="212121"/>
        </w:rPr>
      </w:pPr>
      <w:r w:rsidRPr="00CE6D8B">
        <w:t>A</w:t>
      </w:r>
      <w:r w:rsidRPr="00CE6D8B">
        <w:rPr>
          <w:color w:val="212121"/>
        </w:rPr>
        <w:t>lthough</w:t>
      </w:r>
      <w:r w:rsidRPr="00CE6D8B">
        <w:t xml:space="preserve"> commercial</w:t>
      </w:r>
      <w:r w:rsidR="00470A93">
        <w:t>ly available</w:t>
      </w:r>
      <w:r w:rsidRPr="00CE6D8B">
        <w:t xml:space="preserve"> </w:t>
      </w:r>
      <w:r w:rsidR="00A362D7">
        <w:rPr>
          <w:color w:val="212121"/>
        </w:rPr>
        <w:t xml:space="preserve">direct </w:t>
      </w:r>
      <w:proofErr w:type="spellStart"/>
      <w:r w:rsidR="00A362D7">
        <w:rPr>
          <w:color w:val="212121"/>
        </w:rPr>
        <w:t>fT</w:t>
      </w:r>
      <w:proofErr w:type="spellEnd"/>
      <w:r w:rsidR="00A362D7">
        <w:rPr>
          <w:color w:val="212121"/>
        </w:rPr>
        <w:t xml:space="preserve"> assays </w:t>
      </w:r>
      <w:r w:rsidR="00134D33">
        <w:rPr>
          <w:color w:val="212121"/>
        </w:rPr>
        <w:t xml:space="preserve">are </w:t>
      </w:r>
      <w:r>
        <w:rPr>
          <w:color w:val="212121"/>
        </w:rPr>
        <w:t xml:space="preserve">not </w:t>
      </w:r>
      <w:r w:rsidR="00A362D7">
        <w:rPr>
          <w:color w:val="212121"/>
        </w:rPr>
        <w:t xml:space="preserve">always </w:t>
      </w:r>
      <w:r w:rsidRPr="00CE6D8B">
        <w:rPr>
          <w:color w:val="212121"/>
        </w:rPr>
        <w:t xml:space="preserve">robust, calculated </w:t>
      </w:r>
      <w:proofErr w:type="spellStart"/>
      <w:r w:rsidRPr="00CE6D8B">
        <w:rPr>
          <w:color w:val="212121"/>
        </w:rPr>
        <w:t>fT</w:t>
      </w:r>
      <w:proofErr w:type="spellEnd"/>
      <w:r w:rsidRPr="00CE6D8B">
        <w:rPr>
          <w:color w:val="212121"/>
        </w:rPr>
        <w:t xml:space="preserve"> (c-</w:t>
      </w:r>
      <w:proofErr w:type="spellStart"/>
      <w:r>
        <w:rPr>
          <w:color w:val="212121"/>
        </w:rPr>
        <w:t>fT</w:t>
      </w:r>
      <w:proofErr w:type="spellEnd"/>
      <w:r>
        <w:rPr>
          <w:color w:val="212121"/>
        </w:rPr>
        <w:t xml:space="preserve">) </w:t>
      </w:r>
      <w:r w:rsidR="0005299F">
        <w:rPr>
          <w:color w:val="212121"/>
        </w:rPr>
        <w:t xml:space="preserve">values from </w:t>
      </w:r>
      <w:r>
        <w:rPr>
          <w:color w:val="212121"/>
        </w:rPr>
        <w:t xml:space="preserve">mass-action formula based </w:t>
      </w:r>
      <w:r w:rsidRPr="00CE6D8B">
        <w:rPr>
          <w:color w:val="212121"/>
        </w:rPr>
        <w:t xml:space="preserve">on directly-assayed levels of </w:t>
      </w:r>
      <w:proofErr w:type="spellStart"/>
      <w:r w:rsidRPr="00CE6D8B">
        <w:rPr>
          <w:color w:val="212121"/>
        </w:rPr>
        <w:t>tT</w:t>
      </w:r>
      <w:proofErr w:type="spellEnd"/>
      <w:r w:rsidRPr="00CE6D8B">
        <w:rPr>
          <w:color w:val="212121"/>
        </w:rPr>
        <w:t xml:space="preserve"> and SHBG ±albumin </w:t>
      </w:r>
      <w:r>
        <w:rPr>
          <w:color w:val="212121"/>
        </w:rPr>
        <w:t>show</w:t>
      </w:r>
      <w:r w:rsidRPr="00CE6D8B">
        <w:rPr>
          <w:color w:val="212121"/>
        </w:rPr>
        <w:t xml:space="preserve"> promise [</w:t>
      </w:r>
      <w:r w:rsidR="00A73B98" w:rsidRPr="002A0057">
        <w:rPr>
          <w:color w:val="212121"/>
        </w:rPr>
        <w:t>4</w:t>
      </w:r>
      <w:r w:rsidRPr="00CE6D8B">
        <w:rPr>
          <w:color w:val="212121"/>
        </w:rPr>
        <w:t>]</w:t>
      </w:r>
      <w:r>
        <w:rPr>
          <w:color w:val="212121"/>
        </w:rPr>
        <w:t xml:space="preserve">.  </w:t>
      </w:r>
      <w:r w:rsidR="00290BE4">
        <w:rPr>
          <w:color w:val="212121"/>
        </w:rPr>
        <w:t>T</w:t>
      </w:r>
      <w:r w:rsidR="00FD7718">
        <w:rPr>
          <w:color w:val="212121"/>
        </w:rPr>
        <w:t xml:space="preserve">he </w:t>
      </w:r>
      <w:proofErr w:type="spellStart"/>
      <w:r w:rsidR="00FD7718" w:rsidRPr="00A710DF">
        <w:rPr>
          <w:i/>
          <w:color w:val="212121"/>
        </w:rPr>
        <w:t>Vermeulen</w:t>
      </w:r>
      <w:proofErr w:type="spellEnd"/>
      <w:r w:rsidR="00FD7718">
        <w:rPr>
          <w:color w:val="212121"/>
        </w:rPr>
        <w:t xml:space="preserve"> equation</w:t>
      </w:r>
      <w:r w:rsidR="002A5C15">
        <w:rPr>
          <w:rStyle w:val="FootnoteReference"/>
          <w:color w:val="212121"/>
        </w:rPr>
        <w:footnoteReference w:id="1"/>
      </w:r>
      <w:r w:rsidR="00FD7718">
        <w:rPr>
          <w:color w:val="212121"/>
        </w:rPr>
        <w:t xml:space="preserve"> </w:t>
      </w:r>
      <w:r w:rsidR="00290BE4">
        <w:rPr>
          <w:color w:val="212121"/>
        </w:rPr>
        <w:t>gives m</w:t>
      </w:r>
      <w:r w:rsidR="00FD7718">
        <w:rPr>
          <w:color w:val="212121"/>
        </w:rPr>
        <w:t>uch greater weighting to SHBG compared with albumin levels, aiming to reflect the much stronger affinity of SHBG-</w:t>
      </w:r>
      <w:r w:rsidR="00FD7718" w:rsidRPr="00CE6D8B">
        <w:rPr>
          <w:color w:val="212121"/>
        </w:rPr>
        <w:t xml:space="preserve">binding </w:t>
      </w:r>
      <w:r w:rsidR="00FD7718">
        <w:rPr>
          <w:color w:val="212121"/>
        </w:rPr>
        <w:t xml:space="preserve">for </w:t>
      </w:r>
      <w:r w:rsidR="00FD7718" w:rsidRPr="00A710DF">
        <w:rPr>
          <w:color w:val="212121"/>
        </w:rPr>
        <w:t>testosterone</w:t>
      </w:r>
      <w:r w:rsidR="00FD7718">
        <w:rPr>
          <w:color w:val="212121"/>
        </w:rPr>
        <w:t xml:space="preserve">, </w:t>
      </w:r>
      <w:r w:rsidR="00290BE4">
        <w:rPr>
          <w:color w:val="212121"/>
        </w:rPr>
        <w:t xml:space="preserve">so </w:t>
      </w:r>
      <w:r w:rsidR="00FD7718">
        <w:rPr>
          <w:color w:val="212121"/>
        </w:rPr>
        <w:t>that</w:t>
      </w:r>
      <w:r w:rsidR="00FD7718" w:rsidRPr="00CE6D8B">
        <w:rPr>
          <w:color w:val="212121"/>
        </w:rPr>
        <w:t xml:space="preserve"> </w:t>
      </w:r>
      <w:r w:rsidR="00290BE4">
        <w:rPr>
          <w:color w:val="212121"/>
        </w:rPr>
        <w:t xml:space="preserve">in practice </w:t>
      </w:r>
      <w:r w:rsidR="00FD7718">
        <w:rPr>
          <w:color w:val="212121"/>
        </w:rPr>
        <w:t xml:space="preserve">variation in </w:t>
      </w:r>
      <w:r w:rsidR="00FD7718" w:rsidRPr="00CE6D8B">
        <w:rPr>
          <w:color w:val="212121"/>
        </w:rPr>
        <w:t xml:space="preserve">albumin concentration within </w:t>
      </w:r>
      <w:r w:rsidR="00FD7718">
        <w:rPr>
          <w:color w:val="212121"/>
        </w:rPr>
        <w:t xml:space="preserve">the </w:t>
      </w:r>
      <w:r w:rsidR="00FD7718" w:rsidRPr="00CE6D8B">
        <w:rPr>
          <w:color w:val="212121"/>
        </w:rPr>
        <w:t xml:space="preserve">physiologic range </w:t>
      </w:r>
      <w:r w:rsidR="00FD7718">
        <w:rPr>
          <w:color w:val="212121"/>
        </w:rPr>
        <w:t>exerts a relatively small effect on c-</w:t>
      </w:r>
      <w:proofErr w:type="spellStart"/>
      <w:r w:rsidR="00FD7718">
        <w:rPr>
          <w:color w:val="212121"/>
        </w:rPr>
        <w:t>fT</w:t>
      </w:r>
      <w:r w:rsidR="00FD7718" w:rsidRPr="00CE6D8B">
        <w:rPr>
          <w:color w:val="212121"/>
        </w:rPr>
        <w:t>.</w:t>
      </w:r>
      <w:proofErr w:type="spellEnd"/>
      <w:r w:rsidR="00FD7718">
        <w:rPr>
          <w:color w:val="212121"/>
        </w:rPr>
        <w:t xml:space="preserve">  Hence, for simplicity, many laboratories input a fixed value (46</w:t>
      </w:r>
      <w:r w:rsidR="00290BE4">
        <w:rPr>
          <w:color w:val="212121"/>
        </w:rPr>
        <w:t xml:space="preserve"> </w:t>
      </w:r>
      <w:r w:rsidR="00FD7718">
        <w:rPr>
          <w:color w:val="212121"/>
        </w:rPr>
        <w:t>g/</w:t>
      </w:r>
      <w:r w:rsidR="00290BE4">
        <w:rPr>
          <w:color w:val="212121"/>
        </w:rPr>
        <w:t>l in our lab</w:t>
      </w:r>
      <w:r w:rsidR="00FD7718">
        <w:rPr>
          <w:color w:val="212121"/>
        </w:rPr>
        <w:t xml:space="preserve">) to the calculation, rather than the actual measured serum albumin concentration. </w:t>
      </w:r>
    </w:p>
    <w:p w:rsidR="00CC6584" w:rsidRDefault="00CC6584" w:rsidP="00290BE4">
      <w:pPr>
        <w:spacing w:line="480" w:lineRule="auto"/>
        <w:jc w:val="both"/>
        <w:rPr>
          <w:color w:val="212121"/>
        </w:rPr>
      </w:pPr>
      <w:r w:rsidRPr="005F3919">
        <w:rPr>
          <w:color w:val="212121"/>
        </w:rPr>
        <w:t xml:space="preserve">Measuring both serum </w:t>
      </w:r>
      <w:proofErr w:type="spellStart"/>
      <w:r w:rsidRPr="005F3919">
        <w:rPr>
          <w:color w:val="212121"/>
        </w:rPr>
        <w:t>tT</w:t>
      </w:r>
      <w:proofErr w:type="spellEnd"/>
      <w:r w:rsidRPr="005F3919">
        <w:rPr>
          <w:color w:val="212121"/>
        </w:rPr>
        <w:t xml:space="preserve"> and SHBG, and utilizing these two values in clinical decision-making </w:t>
      </w:r>
      <w:r w:rsidR="00FD7718">
        <w:rPr>
          <w:color w:val="212121"/>
        </w:rPr>
        <w:t xml:space="preserve">but </w:t>
      </w:r>
      <w:r w:rsidRPr="005F3919">
        <w:rPr>
          <w:color w:val="212121"/>
        </w:rPr>
        <w:t xml:space="preserve">without calculating </w:t>
      </w:r>
      <w:proofErr w:type="spellStart"/>
      <w:r w:rsidRPr="005F3919">
        <w:rPr>
          <w:color w:val="212121"/>
        </w:rPr>
        <w:t>fT</w:t>
      </w:r>
      <w:proofErr w:type="spellEnd"/>
      <w:r w:rsidRPr="005F3919">
        <w:rPr>
          <w:color w:val="212121"/>
        </w:rPr>
        <w:t xml:space="preserve"> (as per ESA guidance) seems counterintuitive.  However, it is important to recognize that </w:t>
      </w:r>
      <w:r w:rsidR="00FD7718">
        <w:rPr>
          <w:color w:val="212121"/>
        </w:rPr>
        <w:t xml:space="preserve">both total and </w:t>
      </w:r>
      <w:r w:rsidRPr="005F3919">
        <w:rPr>
          <w:color w:val="212121"/>
        </w:rPr>
        <w:t xml:space="preserve">BT calculated </w:t>
      </w:r>
      <w:r w:rsidR="00FD7718" w:rsidRPr="005F3919">
        <w:rPr>
          <w:color w:val="212121"/>
        </w:rPr>
        <w:t>values are</w:t>
      </w:r>
      <w:r w:rsidR="00284D00">
        <w:rPr>
          <w:color w:val="212121"/>
        </w:rPr>
        <w:t xml:space="preserve"> </w:t>
      </w:r>
      <w:r w:rsidRPr="005F3919">
        <w:rPr>
          <w:color w:val="212121"/>
        </w:rPr>
        <w:t>surrogate</w:t>
      </w:r>
      <w:r w:rsidR="00284D00">
        <w:rPr>
          <w:color w:val="212121"/>
        </w:rPr>
        <w:t>s</w:t>
      </w:r>
      <w:r w:rsidRPr="005F3919">
        <w:rPr>
          <w:color w:val="212121"/>
        </w:rPr>
        <w:t xml:space="preserve"> for the various biological end-points of androgen-action (“</w:t>
      </w:r>
      <w:proofErr w:type="spellStart"/>
      <w:r w:rsidRPr="005F3919">
        <w:rPr>
          <w:color w:val="212121"/>
        </w:rPr>
        <w:t>androgenicity</w:t>
      </w:r>
      <w:proofErr w:type="spellEnd"/>
      <w:r w:rsidRPr="005F3919">
        <w:rPr>
          <w:color w:val="212121"/>
        </w:rPr>
        <w:t xml:space="preserve">”) that remain difficult to quantify.   </w:t>
      </w:r>
    </w:p>
    <w:p w:rsidR="008A0AA6" w:rsidRPr="00CE6D8B" w:rsidRDefault="00A73B98" w:rsidP="00290BE4">
      <w:pPr>
        <w:spacing w:line="480" w:lineRule="auto"/>
        <w:jc w:val="both"/>
      </w:pPr>
      <w:r w:rsidRPr="00EC51CF">
        <w:t xml:space="preserve">To test </w:t>
      </w:r>
      <w:r w:rsidRPr="00FD7718">
        <w:t>our hypothesis that c-</w:t>
      </w:r>
      <w:proofErr w:type="spellStart"/>
      <w:r w:rsidRPr="00FD7718">
        <w:t>fT</w:t>
      </w:r>
      <w:proofErr w:type="spellEnd"/>
      <w:r w:rsidRPr="00FD7718">
        <w:t xml:space="preserve"> might provide a better surrogate for </w:t>
      </w:r>
      <w:proofErr w:type="spellStart"/>
      <w:r w:rsidRPr="00FD7718">
        <w:t>androgenicity</w:t>
      </w:r>
      <w:proofErr w:type="spellEnd"/>
      <w:r w:rsidRPr="00FD7718">
        <w:t xml:space="preserve"> than </w:t>
      </w:r>
      <w:proofErr w:type="spellStart"/>
      <w:r w:rsidRPr="00FD7718">
        <w:t>tT</w:t>
      </w:r>
      <w:proofErr w:type="spellEnd"/>
      <w:r w:rsidRPr="00FD7718">
        <w:t xml:space="preserve">, we </w:t>
      </w:r>
      <w:r w:rsidR="00FD7718" w:rsidRPr="00FD7718">
        <w:lastRenderedPageBreak/>
        <w:t>identified</w:t>
      </w:r>
      <w:r w:rsidRPr="00FD7718">
        <w:t xml:space="preserve"> an androgen-dependent biological parameter that was (a) important to human health, (b) robust and reproducible with low coefficient-of-variation (CV), (c) routinely-measured in the clinical setting so </w:t>
      </w:r>
      <w:r w:rsidR="002E1BCE" w:rsidRPr="00FD7718">
        <w:t xml:space="preserve">data collection is convenient and </w:t>
      </w:r>
      <w:r w:rsidRPr="00FD7718">
        <w:t xml:space="preserve">inexpensive, (d) showed an association below, within and above the adult male normal range for serum </w:t>
      </w:r>
      <w:proofErr w:type="spellStart"/>
      <w:r w:rsidR="002E1BCE" w:rsidRPr="00FD7718">
        <w:t>t</w:t>
      </w:r>
      <w:r w:rsidRPr="00FD7718">
        <w:t>T</w:t>
      </w:r>
      <w:proofErr w:type="spellEnd"/>
      <w:r w:rsidRPr="00FD7718">
        <w:t xml:space="preserve"> and (e) was independent of aromatisation to </w:t>
      </w:r>
      <w:proofErr w:type="spellStart"/>
      <w:r w:rsidRPr="00FD7718">
        <w:t>estradiol</w:t>
      </w:r>
      <w:proofErr w:type="spellEnd"/>
      <w:r w:rsidRPr="00FD7718">
        <w:t xml:space="preserve">.  </w:t>
      </w:r>
      <w:r w:rsidR="00470A93">
        <w:t>Complete b</w:t>
      </w:r>
      <w:r w:rsidR="008A0AA6" w:rsidRPr="00CE6D8B">
        <w:t>lood count (</w:t>
      </w:r>
      <w:r w:rsidR="008A0AA6">
        <w:t>C</w:t>
      </w:r>
      <w:r w:rsidR="008A0AA6" w:rsidRPr="00CE6D8B">
        <w:t xml:space="preserve">BC) </w:t>
      </w:r>
      <w:r w:rsidR="008A0AA6">
        <w:t>was</w:t>
      </w:r>
      <w:r w:rsidR="008A0AA6" w:rsidRPr="00CE6D8B">
        <w:t xml:space="preserve"> </w:t>
      </w:r>
      <w:r w:rsidR="00D03162">
        <w:t>an</w:t>
      </w:r>
      <w:r w:rsidR="008A0AA6" w:rsidRPr="00CE6D8B">
        <w:t xml:space="preserve"> obvious candidate</w:t>
      </w:r>
      <w:r w:rsidR="008A0AA6">
        <w:t xml:space="preserve"> as stimulatory effect</w:t>
      </w:r>
      <w:r w:rsidR="00D03162">
        <w:t>s</w:t>
      </w:r>
      <w:r w:rsidR="008A0AA6" w:rsidRPr="00CE6D8B">
        <w:t xml:space="preserve"> of </w:t>
      </w:r>
      <w:r w:rsidR="00686A25">
        <w:t>testosterone</w:t>
      </w:r>
      <w:r w:rsidR="008A0AA6" w:rsidRPr="00CE6D8B">
        <w:t xml:space="preserve"> on</w:t>
      </w:r>
      <w:r w:rsidR="008A0AA6">
        <w:t xml:space="preserve"> </w:t>
      </w:r>
      <w:proofErr w:type="spellStart"/>
      <w:r w:rsidR="008A0AA6">
        <w:t>hem</w:t>
      </w:r>
      <w:r w:rsidR="008A0AA6" w:rsidRPr="00CE6D8B">
        <w:t>atopoiesis</w:t>
      </w:r>
      <w:proofErr w:type="spellEnd"/>
      <w:r w:rsidR="008A0AA6" w:rsidRPr="00CE6D8B">
        <w:t xml:space="preserve"> </w:t>
      </w:r>
      <w:r w:rsidR="00D03162">
        <w:t>are</w:t>
      </w:r>
      <w:r w:rsidR="008A0AA6">
        <w:t xml:space="preserve"> well-recognised, albeit poorly-</w:t>
      </w:r>
      <w:r w:rsidR="008A0AA6" w:rsidRPr="00CE6D8B">
        <w:t>under</w:t>
      </w:r>
      <w:r w:rsidR="00D03162">
        <w:t>stood</w:t>
      </w:r>
      <w:r w:rsidR="008A0AA6">
        <w:t>.  Men</w:t>
      </w:r>
      <w:r w:rsidR="008A0AA6" w:rsidRPr="00CE6D8B">
        <w:t xml:space="preserve"> have </w:t>
      </w:r>
      <w:r w:rsidR="00B5443C">
        <w:t>higher</w:t>
      </w:r>
      <w:r w:rsidR="008A0AA6" w:rsidRPr="00CE6D8B">
        <w:t xml:space="preserve"> mean</w:t>
      </w:r>
      <w:r w:rsidR="008A0AA6">
        <w:t xml:space="preserve"> </w:t>
      </w:r>
      <w:proofErr w:type="spellStart"/>
      <w:r w:rsidR="008A0AA6">
        <w:t>hem</w:t>
      </w:r>
      <w:r w:rsidR="008A0AA6" w:rsidRPr="00CE6D8B">
        <w:t>oglobin</w:t>
      </w:r>
      <w:proofErr w:type="spellEnd"/>
      <w:r w:rsidR="008A0AA6" w:rsidRPr="00CE6D8B">
        <w:t xml:space="preserve"> concentration</w:t>
      </w:r>
      <w:r w:rsidR="00B5443C">
        <w:t>s</w:t>
      </w:r>
      <w:r w:rsidR="008A0AA6" w:rsidRPr="00CE6D8B">
        <w:t xml:space="preserve"> (</w:t>
      </w:r>
      <w:proofErr w:type="spellStart"/>
      <w:r w:rsidR="008A0AA6" w:rsidRPr="00CE6D8B">
        <w:t>Hb</w:t>
      </w:r>
      <w:proofErr w:type="spellEnd"/>
      <w:r w:rsidR="008A0AA6" w:rsidRPr="00CE6D8B">
        <w:t>),</w:t>
      </w:r>
      <w:r w:rsidR="008A0AA6">
        <w:t xml:space="preserve"> </w:t>
      </w:r>
      <w:proofErr w:type="spellStart"/>
      <w:r w:rsidR="008A0AA6">
        <w:t>hem</w:t>
      </w:r>
      <w:r w:rsidR="008A0AA6" w:rsidRPr="00CE6D8B">
        <w:t>atocrit</w:t>
      </w:r>
      <w:proofErr w:type="spellEnd"/>
      <w:r w:rsidR="008A0AA6" w:rsidRPr="00CE6D8B">
        <w:t xml:space="preserve"> (</w:t>
      </w:r>
      <w:proofErr w:type="spellStart"/>
      <w:r w:rsidR="008A0AA6" w:rsidRPr="00CE6D8B">
        <w:t>Hct</w:t>
      </w:r>
      <w:proofErr w:type="spellEnd"/>
      <w:r w:rsidR="008A0AA6" w:rsidRPr="00CE6D8B">
        <w:t>) and red cell count (</w:t>
      </w:r>
      <w:proofErr w:type="spellStart"/>
      <w:proofErr w:type="gramStart"/>
      <w:r w:rsidR="008A0AA6" w:rsidRPr="00CE6D8B">
        <w:t>rbc</w:t>
      </w:r>
      <w:proofErr w:type="spellEnd"/>
      <w:proofErr w:type="gramEnd"/>
      <w:r w:rsidR="008A0AA6" w:rsidRPr="00CE6D8B">
        <w:t xml:space="preserve">) than women, children and </w:t>
      </w:r>
      <w:proofErr w:type="spellStart"/>
      <w:r w:rsidR="008A0AA6" w:rsidRPr="00CE6D8B">
        <w:t>hypogonadal</w:t>
      </w:r>
      <w:proofErr w:type="spellEnd"/>
      <w:r w:rsidR="008A0AA6" w:rsidRPr="00CE6D8B">
        <w:t xml:space="preserve"> m</w:t>
      </w:r>
      <w:r w:rsidR="008A0AA6">
        <w:t xml:space="preserve">ales; </w:t>
      </w:r>
      <w:r w:rsidR="008A0AA6" w:rsidRPr="00CE6D8B">
        <w:t>intentional (</w:t>
      </w:r>
      <w:r w:rsidR="008A0AA6" w:rsidRPr="00CE6D8B">
        <w:rPr>
          <w:i/>
          <w:iCs/>
        </w:rPr>
        <w:t>e</w:t>
      </w:r>
      <w:r w:rsidR="00470A93">
        <w:rPr>
          <w:i/>
          <w:iCs/>
        </w:rPr>
        <w:t>.</w:t>
      </w:r>
      <w:r w:rsidR="008A0AA6" w:rsidRPr="00CE6D8B">
        <w:rPr>
          <w:i/>
          <w:iCs/>
        </w:rPr>
        <w:t>g.</w:t>
      </w:r>
      <w:r w:rsidR="008A0AA6">
        <w:t xml:space="preserve"> </w:t>
      </w:r>
      <w:r w:rsidR="008A0AA6" w:rsidRPr="00CE6D8B">
        <w:t xml:space="preserve">competitive sports) </w:t>
      </w:r>
      <w:r w:rsidR="00D03162">
        <w:t>and</w:t>
      </w:r>
      <w:r w:rsidR="008A0AA6" w:rsidRPr="00CE6D8B">
        <w:t xml:space="preserve"> inadvertent</w:t>
      </w:r>
      <w:r w:rsidR="00D03162">
        <w:t>/</w:t>
      </w:r>
      <w:r w:rsidR="008A0AA6" w:rsidRPr="00CE6D8B">
        <w:t xml:space="preserve">iatrogenic </w:t>
      </w:r>
      <w:r w:rsidR="008A0AA6">
        <w:t xml:space="preserve">T </w:t>
      </w:r>
      <w:r w:rsidR="008A0AA6" w:rsidRPr="00CE6D8B">
        <w:t xml:space="preserve">over-treatment </w:t>
      </w:r>
      <w:r w:rsidR="008A0AA6">
        <w:t xml:space="preserve">can </w:t>
      </w:r>
      <w:r w:rsidR="00470A93">
        <w:t xml:space="preserve">also </w:t>
      </w:r>
      <w:r w:rsidR="008A0AA6">
        <w:t>cause</w:t>
      </w:r>
      <w:r w:rsidR="008A0AA6" w:rsidRPr="00CE6D8B">
        <w:t xml:space="preserve"> </w:t>
      </w:r>
      <w:proofErr w:type="spellStart"/>
      <w:r w:rsidR="008A0AA6" w:rsidRPr="00CE6D8B">
        <w:t>erythrocytosis</w:t>
      </w:r>
      <w:proofErr w:type="spellEnd"/>
      <w:r w:rsidR="008A0AA6">
        <w:t xml:space="preserve">. </w:t>
      </w:r>
    </w:p>
    <w:p w:rsidR="008A0AA6" w:rsidRPr="00F953C0" w:rsidRDefault="00D34E89" w:rsidP="00290BE4">
      <w:pPr>
        <w:spacing w:line="480" w:lineRule="auto"/>
        <w:jc w:val="both"/>
        <w:rPr>
          <w:rFonts w:eastAsia="Batang"/>
          <w:color w:val="000000"/>
        </w:rPr>
      </w:pPr>
      <w:r>
        <w:t xml:space="preserve">Our </w:t>
      </w:r>
      <w:r w:rsidR="00D53181">
        <w:t xml:space="preserve">local population is overwhelmingly </w:t>
      </w:r>
      <w:proofErr w:type="spellStart"/>
      <w:r w:rsidR="00D53181">
        <w:t>Causasian</w:t>
      </w:r>
      <w:proofErr w:type="spellEnd"/>
      <w:r w:rsidR="00D53181">
        <w:t xml:space="preserve"> and our laboratory processes all samples </w:t>
      </w:r>
      <w:r w:rsidR="00DB499A">
        <w:t xml:space="preserve">collected </w:t>
      </w:r>
      <w:r w:rsidR="00D53181">
        <w:t xml:space="preserve">by local primary and secondary care providers.  Laboratory screening for hypogonadism and for monitoring </w:t>
      </w:r>
      <w:r w:rsidR="00DB499A">
        <w:t>testosterone</w:t>
      </w:r>
      <w:r w:rsidR="00D53181">
        <w:t xml:space="preserve"> therapy is performed in both primary and secondary care settings, but the Endocrine unit advises on all initiations of </w:t>
      </w:r>
      <w:r w:rsidR="00DB499A">
        <w:t xml:space="preserve">testosterone </w:t>
      </w:r>
      <w:r w:rsidR="00D53181">
        <w:t xml:space="preserve">treatment and provides long-term input in respect of dose-adjustments.   </w:t>
      </w:r>
      <w:r>
        <w:t>T</w:t>
      </w:r>
      <w:r w:rsidR="008A0AA6">
        <w:t>housands</w:t>
      </w:r>
      <w:r w:rsidR="008A0AA6" w:rsidRPr="00CE6D8B">
        <w:t xml:space="preserve"> of men </w:t>
      </w:r>
      <w:r w:rsidR="008A0AA6">
        <w:t>had</w:t>
      </w:r>
      <w:r w:rsidR="008A0AA6" w:rsidRPr="00CE6D8B">
        <w:t xml:space="preserve"> undergone same-day </w:t>
      </w:r>
      <w:r w:rsidR="008A0AA6">
        <w:t>testing</w:t>
      </w:r>
      <w:r w:rsidR="008A0AA6" w:rsidRPr="00CE6D8B">
        <w:t xml:space="preserve"> for </w:t>
      </w:r>
      <w:r w:rsidR="008A0AA6">
        <w:t xml:space="preserve">CBC, </w:t>
      </w:r>
      <w:proofErr w:type="spellStart"/>
      <w:r w:rsidR="008A0AA6">
        <w:t>tT</w:t>
      </w:r>
      <w:proofErr w:type="spellEnd"/>
      <w:r w:rsidR="008A0AA6">
        <w:t xml:space="preserve"> and SHBG</w:t>
      </w:r>
      <w:r w:rsidR="008A0AA6" w:rsidRPr="00CE6D8B">
        <w:t xml:space="preserve"> </w:t>
      </w:r>
      <w:r w:rsidR="008A0AA6">
        <w:t xml:space="preserve">levels </w:t>
      </w:r>
      <w:r w:rsidR="008A0AA6" w:rsidRPr="00CE6D8B">
        <w:t>in our laborator</w:t>
      </w:r>
      <w:r w:rsidR="008A0AA6">
        <w:t xml:space="preserve">y </w:t>
      </w:r>
      <w:r>
        <w:t xml:space="preserve">that consisted of </w:t>
      </w:r>
      <w:r w:rsidR="008A0AA6">
        <w:t>morning venepuncture for diagnostic purposes in untreated men</w:t>
      </w:r>
      <w:r w:rsidR="00A362D7">
        <w:t xml:space="preserve"> and</w:t>
      </w:r>
      <w:r w:rsidR="008A0AA6">
        <w:t xml:space="preserve"> trough venepuncture for monitoring men receiving </w:t>
      </w:r>
      <w:r w:rsidR="00A362D7">
        <w:t xml:space="preserve">intramuscular </w:t>
      </w:r>
      <w:r w:rsidR="00DB499A">
        <w:t xml:space="preserve">testosterone </w:t>
      </w:r>
      <w:r w:rsidR="008A0AA6" w:rsidRPr="00CE6D8B">
        <w:t>replacement</w:t>
      </w:r>
      <w:r w:rsidR="008A0AA6">
        <w:t>, as per local guidelines</w:t>
      </w:r>
      <w:r>
        <w:t>. W</w:t>
      </w:r>
      <w:r w:rsidR="008A0AA6">
        <w:t>e ex</w:t>
      </w:r>
      <w:r w:rsidR="008A0AA6" w:rsidRPr="00CE6D8B">
        <w:t>tracted biochemical and</w:t>
      </w:r>
      <w:r w:rsidR="008A0AA6">
        <w:t xml:space="preserve"> </w:t>
      </w:r>
      <w:proofErr w:type="spellStart"/>
      <w:r w:rsidR="008A0AA6">
        <w:t>hem</w:t>
      </w:r>
      <w:r w:rsidR="008A0AA6" w:rsidRPr="00CE6D8B">
        <w:t>atological</w:t>
      </w:r>
      <w:proofErr w:type="spellEnd"/>
      <w:r w:rsidR="008A0AA6" w:rsidRPr="00CE6D8B">
        <w:t xml:space="preserve"> parameters </w:t>
      </w:r>
      <w:r w:rsidR="008A0AA6">
        <w:t xml:space="preserve">over </w:t>
      </w:r>
      <w:r w:rsidR="00DB499A">
        <w:t>four</w:t>
      </w:r>
      <w:r w:rsidR="008A0AA6">
        <w:t xml:space="preserve"> years </w:t>
      </w:r>
      <w:r w:rsidR="008A0AA6" w:rsidRPr="00CE6D8B">
        <w:t>on 2</w:t>
      </w:r>
      <w:r w:rsidR="008A0AA6">
        <w:t>,</w:t>
      </w:r>
      <w:r w:rsidR="008A0AA6" w:rsidRPr="00CE6D8B">
        <w:t xml:space="preserve">529 consecutive </w:t>
      </w:r>
      <w:r w:rsidR="008A0AA6">
        <w:t>men</w:t>
      </w:r>
      <w:r w:rsidR="008A0AA6" w:rsidRPr="00CE6D8B">
        <w:t xml:space="preserve"> (aged 18</w:t>
      </w:r>
      <w:r w:rsidR="008A0AA6">
        <w:t>+</w:t>
      </w:r>
      <w:r w:rsidR="008A0AA6" w:rsidRPr="00CE6D8B">
        <w:t xml:space="preserve"> years) from our </w:t>
      </w:r>
      <w:r w:rsidR="008A0AA6">
        <w:t xml:space="preserve">database.  </w:t>
      </w:r>
      <w:r w:rsidR="00D53181">
        <w:t>We hypothesised</w:t>
      </w:r>
      <w:r w:rsidR="00D53181" w:rsidRPr="00CE6D8B">
        <w:t xml:space="preserve"> that </w:t>
      </w:r>
      <w:r w:rsidR="00D53181">
        <w:t xml:space="preserve">large sample size and low CV for </w:t>
      </w:r>
      <w:r w:rsidR="00D53181" w:rsidRPr="00CE6D8B">
        <w:t xml:space="preserve">parameters measured would </w:t>
      </w:r>
      <w:r w:rsidR="00D53181">
        <w:t>allow meaningful correlations to emerge, despite limited data on confounding</w:t>
      </w:r>
      <w:r w:rsidR="00D53181" w:rsidRPr="00CE6D8B">
        <w:t xml:space="preserve"> factors</w:t>
      </w:r>
      <w:r w:rsidR="00D53181">
        <w:t xml:space="preserve"> due to </w:t>
      </w:r>
      <w:r w:rsidR="005D14DC">
        <w:t xml:space="preserve">de-identification of </w:t>
      </w:r>
      <w:r w:rsidR="00D53181">
        <w:t xml:space="preserve">data </w:t>
      </w:r>
      <w:r w:rsidR="005D14DC">
        <w:t xml:space="preserve">as </w:t>
      </w:r>
      <w:r w:rsidR="00D53181">
        <w:t xml:space="preserve">mandated by </w:t>
      </w:r>
      <w:r w:rsidR="008A0AA6">
        <w:t xml:space="preserve">the </w:t>
      </w:r>
      <w:r w:rsidR="008A0AA6" w:rsidRPr="00CE6D8B">
        <w:t>Information Guardian</w:t>
      </w:r>
      <w:r w:rsidR="00D53181">
        <w:t>.</w:t>
      </w:r>
      <w:r w:rsidR="008A0AA6">
        <w:t xml:space="preserve"> </w:t>
      </w:r>
      <w:r w:rsidR="00D53181">
        <w:t xml:space="preserve"> </w:t>
      </w:r>
      <w:r w:rsidR="008A0AA6" w:rsidRPr="00294EEB">
        <w:t xml:space="preserve">Data collected </w:t>
      </w:r>
      <w:r w:rsidR="005D14DC">
        <w:t>were for</w:t>
      </w:r>
      <w:r w:rsidR="008A0AA6" w:rsidRPr="00294EEB">
        <w:t xml:space="preserve"> </w:t>
      </w:r>
      <w:proofErr w:type="spellStart"/>
      <w:r w:rsidR="008A0AA6" w:rsidRPr="00294EEB">
        <w:t>Hb</w:t>
      </w:r>
      <w:proofErr w:type="spellEnd"/>
      <w:r w:rsidR="008A0AA6" w:rsidRPr="00294EEB">
        <w:t xml:space="preserve">, </w:t>
      </w:r>
      <w:proofErr w:type="spellStart"/>
      <w:r w:rsidR="008A0AA6" w:rsidRPr="00294EEB">
        <w:t>Hct</w:t>
      </w:r>
      <w:proofErr w:type="spellEnd"/>
      <w:r w:rsidR="008A0AA6" w:rsidRPr="00294EEB">
        <w:t xml:space="preserve">, </w:t>
      </w:r>
      <w:proofErr w:type="spellStart"/>
      <w:proofErr w:type="gramStart"/>
      <w:r w:rsidR="008A0AA6" w:rsidRPr="00294EEB">
        <w:t>rbc</w:t>
      </w:r>
      <w:proofErr w:type="spellEnd"/>
      <w:proofErr w:type="gramEnd"/>
      <w:r w:rsidR="008A0AA6" w:rsidRPr="00294EEB">
        <w:t xml:space="preserve">, SHBG and </w:t>
      </w:r>
      <w:proofErr w:type="spellStart"/>
      <w:r w:rsidR="008A0AA6" w:rsidRPr="00294EEB">
        <w:t>tT</w:t>
      </w:r>
      <w:proofErr w:type="spellEnd"/>
      <w:r w:rsidR="005D14DC">
        <w:t xml:space="preserve"> levels</w:t>
      </w:r>
      <w:r w:rsidR="008A0AA6">
        <w:t xml:space="preserve">.  </w:t>
      </w:r>
      <w:r w:rsidR="008A0AA6" w:rsidRPr="00294EEB">
        <w:t>SHBG (</w:t>
      </w:r>
      <w:proofErr w:type="spellStart"/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nmol</w:t>
      </w:r>
      <w:proofErr w:type="spellEnd"/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/L</w:t>
      </w:r>
      <w:r w:rsidR="008A0AA6" w:rsidRPr="00294EEB">
        <w:t>)</w:t>
      </w:r>
      <w:r w:rsidR="005D14DC">
        <w:t xml:space="preserve"> and </w:t>
      </w:r>
      <w:proofErr w:type="spellStart"/>
      <w:r w:rsidR="005D14DC">
        <w:t>tT</w:t>
      </w:r>
      <w:proofErr w:type="spellEnd"/>
      <w:r w:rsidR="008A0AA6" w:rsidRPr="00294EEB">
        <w:t xml:space="preserve"> was </w:t>
      </w:r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analysed on the Roche Modular System (Roche Diagnostics, Lewes, UK) by a two-site san</w:t>
      </w:r>
      <w:r w:rsidR="008A0AA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dwich immunoassay</w:t>
      </w:r>
      <w:r w:rsidR="005D14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 and</w:t>
      </w:r>
      <w:r w:rsidR="008A0AA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electro-</w:t>
      </w:r>
      <w:proofErr w:type="spellStart"/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chemiluminescence</w:t>
      </w:r>
      <w:proofErr w:type="spellEnd"/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technology</w:t>
      </w:r>
      <w:r w:rsidR="008A0AA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proofErr w:type="gramStart"/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fT</w:t>
      </w:r>
      <w:proofErr w:type="spellEnd"/>
      <w:proofErr w:type="gramEnd"/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AA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calculate</w:t>
      </w:r>
      <w:r w:rsidR="008A0AA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d</w:t>
      </w:r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AA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using</w:t>
      </w:r>
      <w:r w:rsidR="008A0AA6" w:rsidRPr="00294EEB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="008A0AA6" w:rsidRPr="002A5C15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Vermeulen</w:t>
      </w:r>
      <w:proofErr w:type="spellEnd"/>
      <w:r w:rsidR="008A0AA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equation (</w:t>
      </w:r>
      <w:r w:rsidR="00A73B98" w:rsidRPr="00290BE4">
        <w:rPr>
          <w:rStyle w:val="HTMLTypewriter"/>
          <w:rFonts w:ascii="Times New Roman" w:hAnsi="Times New Roman" w:cs="Times New Roman"/>
          <w:sz w:val="24"/>
          <w:szCs w:val="24"/>
        </w:rPr>
        <w:t>4</w:t>
      </w:r>
      <w:r w:rsidR="00290BE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)</w:t>
      </w:r>
    </w:p>
    <w:p w:rsidR="008A0AA6" w:rsidRPr="00CE6D8B" w:rsidRDefault="008A0AA6" w:rsidP="008A0AA6">
      <w:pPr>
        <w:spacing w:line="480" w:lineRule="auto"/>
        <w:jc w:val="both"/>
      </w:pPr>
      <w:r w:rsidRPr="00CE6D8B">
        <w:t xml:space="preserve">Mean </w:t>
      </w:r>
      <w:r>
        <w:t xml:space="preserve">data </w:t>
      </w:r>
      <w:r w:rsidRPr="00CE6D8B">
        <w:t>(±</w:t>
      </w:r>
      <w:proofErr w:type="spellStart"/>
      <w:r w:rsidRPr="00CE6D8B">
        <w:t>s.d</w:t>
      </w:r>
      <w:proofErr w:type="spellEnd"/>
      <w:r>
        <w:t>) were as follows:</w:t>
      </w:r>
      <w:r w:rsidRPr="00CE6D8B">
        <w:t xml:space="preserve"> </w:t>
      </w:r>
      <w:proofErr w:type="spellStart"/>
      <w:r w:rsidRPr="00CE6D8B">
        <w:t>tT</w:t>
      </w:r>
      <w:proofErr w:type="spellEnd"/>
      <w:r w:rsidRPr="00CE6D8B">
        <w:t xml:space="preserve"> 13.5±7</w:t>
      </w:r>
      <w:r>
        <w:t xml:space="preserve"> </w:t>
      </w:r>
      <w:proofErr w:type="spellStart"/>
      <w:r>
        <w:t>nmol</w:t>
      </w:r>
      <w:proofErr w:type="spellEnd"/>
      <w:r>
        <w:t>/l</w:t>
      </w:r>
      <w:r w:rsidRPr="00CE6D8B">
        <w:t>; c-</w:t>
      </w:r>
      <w:proofErr w:type="spellStart"/>
      <w:r w:rsidRPr="00CE6D8B">
        <w:t>fT</w:t>
      </w:r>
      <w:proofErr w:type="spellEnd"/>
      <w:r w:rsidRPr="00CE6D8B">
        <w:t xml:space="preserve"> 267±156</w:t>
      </w:r>
      <w:r>
        <w:t xml:space="preserve"> </w:t>
      </w:r>
      <w:proofErr w:type="spellStart"/>
      <w:r>
        <w:t>pmol</w:t>
      </w:r>
      <w:proofErr w:type="spellEnd"/>
      <w:r>
        <w:t>/l</w:t>
      </w:r>
      <w:r w:rsidRPr="00CE6D8B">
        <w:t xml:space="preserve">; </w:t>
      </w:r>
      <w:proofErr w:type="spellStart"/>
      <w:r w:rsidRPr="00CE6D8B">
        <w:t>Hb</w:t>
      </w:r>
      <w:proofErr w:type="spellEnd"/>
      <w:r w:rsidRPr="00CE6D8B">
        <w:t xml:space="preserve"> 14.7±1.6</w:t>
      </w:r>
      <w:r>
        <w:t xml:space="preserve"> g/l</w:t>
      </w:r>
      <w:r w:rsidRPr="00CE6D8B">
        <w:t xml:space="preserve">, </w:t>
      </w:r>
      <w:proofErr w:type="spellStart"/>
      <w:r w:rsidRPr="00CE6D8B">
        <w:t>Hct</w:t>
      </w:r>
      <w:proofErr w:type="spellEnd"/>
      <w:r w:rsidRPr="00CE6D8B">
        <w:t xml:space="preserve"> 0.44±0.04; age 54±17 yrs</w:t>
      </w:r>
      <w:r>
        <w:t xml:space="preserve">.  </w:t>
      </w:r>
      <w:proofErr w:type="gramStart"/>
      <w:r w:rsidRPr="00CE6D8B">
        <w:t>c-</w:t>
      </w:r>
      <w:proofErr w:type="spellStart"/>
      <w:r w:rsidRPr="00CE6D8B">
        <w:t>fT</w:t>
      </w:r>
      <w:proofErr w:type="spellEnd"/>
      <w:proofErr w:type="gramEnd"/>
      <w:r w:rsidRPr="00CE6D8B">
        <w:t xml:space="preserve"> and </w:t>
      </w:r>
      <w:proofErr w:type="spellStart"/>
      <w:r w:rsidRPr="00CE6D8B">
        <w:t>tT</w:t>
      </w:r>
      <w:proofErr w:type="spellEnd"/>
      <w:r w:rsidRPr="00CE6D8B">
        <w:t xml:space="preserve"> were non-parametrically distributed and were therefore log-</w:t>
      </w:r>
      <w:r w:rsidRPr="00CE6D8B">
        <w:lastRenderedPageBreak/>
        <w:t>transformed before perform</w:t>
      </w:r>
      <w:r>
        <w:t>ing</w:t>
      </w:r>
      <w:r w:rsidRPr="00CE6D8B">
        <w:t xml:space="preserve"> correlation analyses (</w:t>
      </w:r>
      <w:r>
        <w:rPr>
          <w:i/>
          <w:iCs/>
          <w:color w:val="000000"/>
          <w:shd w:val="clear" w:color="auto" w:fill="FFFFFF"/>
        </w:rPr>
        <w:t>Stata Statistical Software</w:t>
      </w:r>
      <w:r w:rsidRPr="00CE6D8B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 xml:space="preserve">2013 </w:t>
      </w:r>
      <w:r w:rsidRPr="00CE6D8B">
        <w:rPr>
          <w:i/>
          <w:iCs/>
          <w:color w:val="000000"/>
          <w:shd w:val="clear" w:color="auto" w:fill="FFFFFF"/>
        </w:rPr>
        <w:t>Release</w:t>
      </w:r>
      <w:r w:rsidRPr="00CE6D8B">
        <w:rPr>
          <w:color w:val="000000"/>
          <w:shd w:val="clear" w:color="auto" w:fill="FFFFFF"/>
        </w:rPr>
        <w:t>. C</w:t>
      </w:r>
      <w:r>
        <w:rPr>
          <w:color w:val="000000"/>
          <w:shd w:val="clear" w:color="auto" w:fill="FFFFFF"/>
        </w:rPr>
        <w:t>ollege Station, TX, USA</w:t>
      </w:r>
      <w:r w:rsidRPr="00CE6D8B">
        <w:rPr>
          <w:color w:val="000000"/>
          <w:shd w:val="clear" w:color="auto" w:fill="FFFFFF"/>
        </w:rPr>
        <w:t>).</w:t>
      </w:r>
      <w:r w:rsidRPr="00CE6D8B">
        <w:t xml:space="preserve">  </w:t>
      </w:r>
    </w:p>
    <w:p w:rsidR="008A0AA6" w:rsidRDefault="008A0AA6" w:rsidP="00134D33">
      <w:pPr>
        <w:spacing w:before="120" w:line="480" w:lineRule="auto"/>
        <w:jc w:val="both"/>
      </w:pPr>
      <w:r w:rsidRPr="00CE6D8B">
        <w:t>Ln-c-</w:t>
      </w:r>
      <w:proofErr w:type="spellStart"/>
      <w:r w:rsidRPr="00CE6D8B">
        <w:t>fT</w:t>
      </w:r>
      <w:proofErr w:type="spellEnd"/>
      <w:r w:rsidRPr="00CE6D8B">
        <w:t xml:space="preserve"> correlated (p&lt;0.001) with </w:t>
      </w:r>
      <w:proofErr w:type="spellStart"/>
      <w:r w:rsidRPr="00CE6D8B">
        <w:t>Hb</w:t>
      </w:r>
      <w:proofErr w:type="spellEnd"/>
      <w:r w:rsidRPr="00CE6D8B">
        <w:t xml:space="preserve"> (rho 0.</w:t>
      </w:r>
      <w:r>
        <w:t xml:space="preserve">304 –Figure 1), </w:t>
      </w:r>
      <w:proofErr w:type="spellStart"/>
      <w:r>
        <w:t>Hct</w:t>
      </w:r>
      <w:proofErr w:type="spellEnd"/>
      <w:r>
        <w:t xml:space="preserve"> (rho 0.300)</w:t>
      </w:r>
      <w:r w:rsidRPr="00CE6D8B">
        <w:t xml:space="preserve"> and </w:t>
      </w:r>
      <w:proofErr w:type="spellStart"/>
      <w:proofErr w:type="gramStart"/>
      <w:r w:rsidRPr="00CE6D8B">
        <w:t>rbc</w:t>
      </w:r>
      <w:proofErr w:type="spellEnd"/>
      <w:proofErr w:type="gramEnd"/>
      <w:r w:rsidRPr="00CE6D8B">
        <w:t xml:space="preserve"> (rho 0.278)</w:t>
      </w:r>
      <w:r>
        <w:t xml:space="preserve">.  </w:t>
      </w:r>
      <w:r w:rsidRPr="00CE6D8B">
        <w:t>Ln-</w:t>
      </w:r>
      <w:proofErr w:type="spellStart"/>
      <w:r w:rsidRPr="00CE6D8B">
        <w:t>tT</w:t>
      </w:r>
      <w:proofErr w:type="spellEnd"/>
      <w:r w:rsidRPr="00CE6D8B">
        <w:t xml:space="preserve"> correlated (p&lt;0.001) with </w:t>
      </w:r>
      <w:proofErr w:type="spellStart"/>
      <w:r w:rsidRPr="00CE6D8B">
        <w:t>Hb</w:t>
      </w:r>
      <w:proofErr w:type="spellEnd"/>
      <w:r w:rsidRPr="00CE6D8B">
        <w:t xml:space="preserve"> (rho 0.168), </w:t>
      </w:r>
      <w:proofErr w:type="spellStart"/>
      <w:r w:rsidRPr="00CE6D8B">
        <w:t>Hct</w:t>
      </w:r>
      <w:proofErr w:type="spellEnd"/>
      <w:r w:rsidRPr="00CE6D8B">
        <w:t xml:space="preserve"> (rho 0.153) and </w:t>
      </w:r>
      <w:proofErr w:type="spellStart"/>
      <w:proofErr w:type="gramStart"/>
      <w:r w:rsidRPr="00CE6D8B">
        <w:t>rbc</w:t>
      </w:r>
      <w:proofErr w:type="spellEnd"/>
      <w:proofErr w:type="gramEnd"/>
      <w:r w:rsidRPr="00CE6D8B">
        <w:t xml:space="preserve"> (rho 0.101) (Table 1)</w:t>
      </w:r>
      <w:r>
        <w:t xml:space="preserve">.  </w:t>
      </w:r>
      <w:r w:rsidRPr="00CE6D8B">
        <w:t xml:space="preserve">To address the effects of age on testosterone levels, partial correlations </w:t>
      </w:r>
      <w:r w:rsidRPr="00CE6D8B">
        <w:rPr>
          <w:color w:val="222222"/>
          <w:shd w:val="clear" w:color="auto" w:fill="FFFFFF"/>
        </w:rPr>
        <w:t xml:space="preserve">of log transformed </w:t>
      </w:r>
      <w:proofErr w:type="spellStart"/>
      <w:r>
        <w:rPr>
          <w:color w:val="222222"/>
          <w:shd w:val="clear" w:color="auto" w:fill="FFFFFF"/>
        </w:rPr>
        <w:t>tT</w:t>
      </w:r>
      <w:proofErr w:type="spellEnd"/>
      <w:r w:rsidRPr="00CE6D8B">
        <w:rPr>
          <w:color w:val="222222"/>
          <w:shd w:val="clear" w:color="auto" w:fill="FFFFFF"/>
        </w:rPr>
        <w:t xml:space="preserve"> and </w:t>
      </w:r>
      <w:r>
        <w:rPr>
          <w:color w:val="222222"/>
          <w:shd w:val="clear" w:color="auto" w:fill="FFFFFF"/>
        </w:rPr>
        <w:t>c-</w:t>
      </w:r>
      <w:proofErr w:type="spellStart"/>
      <w:r>
        <w:rPr>
          <w:color w:val="222222"/>
          <w:shd w:val="clear" w:color="auto" w:fill="FFFFFF"/>
        </w:rPr>
        <w:t>fT</w:t>
      </w:r>
      <w:proofErr w:type="spellEnd"/>
      <w:r w:rsidRPr="00CE6D8B">
        <w:rPr>
          <w:color w:val="222222"/>
          <w:shd w:val="clear" w:color="auto" w:fill="FFFFFF"/>
        </w:rPr>
        <w:t xml:space="preserve">, with age and </w:t>
      </w:r>
      <w:proofErr w:type="spellStart"/>
      <w:r w:rsidRPr="00CE6D8B">
        <w:rPr>
          <w:color w:val="222222"/>
          <w:shd w:val="clear" w:color="auto" w:fill="FFFFFF"/>
        </w:rPr>
        <w:t>Hb</w:t>
      </w:r>
      <w:proofErr w:type="spellEnd"/>
      <w:r w:rsidRPr="00CE6D8B">
        <w:rPr>
          <w:color w:val="222222"/>
          <w:shd w:val="clear" w:color="auto" w:fill="FFFFFF"/>
        </w:rPr>
        <w:t>/</w:t>
      </w:r>
      <w:proofErr w:type="spellStart"/>
      <w:r w:rsidRPr="00CE6D8B">
        <w:rPr>
          <w:color w:val="222222"/>
          <w:shd w:val="clear" w:color="auto" w:fill="FFFFFF"/>
        </w:rPr>
        <w:t>Hct</w:t>
      </w:r>
      <w:proofErr w:type="spellEnd"/>
      <w:r w:rsidRPr="00CE6D8B">
        <w:rPr>
          <w:color w:val="222222"/>
          <w:shd w:val="clear" w:color="auto" w:fill="FFFFFF"/>
        </w:rPr>
        <w:t>/</w:t>
      </w:r>
      <w:proofErr w:type="spellStart"/>
      <w:r w:rsidRPr="00CE6D8B">
        <w:rPr>
          <w:color w:val="222222"/>
          <w:shd w:val="clear" w:color="auto" w:fill="FFFFFF"/>
        </w:rPr>
        <w:t>rbc</w:t>
      </w:r>
      <w:proofErr w:type="spellEnd"/>
      <w:r w:rsidRPr="00CE6D8B">
        <w:rPr>
          <w:color w:val="222222"/>
          <w:shd w:val="clear" w:color="auto" w:fill="FFFFFF"/>
        </w:rPr>
        <w:t xml:space="preserve"> as the independent variables were undertaken</w:t>
      </w:r>
      <w:r>
        <w:rPr>
          <w:color w:val="222222"/>
          <w:shd w:val="clear" w:color="auto" w:fill="FFFFFF"/>
        </w:rPr>
        <w:t xml:space="preserve">.  </w:t>
      </w:r>
      <w:r w:rsidRPr="00CE6D8B">
        <w:t>When age wa</w:t>
      </w:r>
      <w:r>
        <w:t xml:space="preserve">s included in the analysis, </w:t>
      </w:r>
      <w:r w:rsidRPr="00CE6D8B">
        <w:t>partial correlations (all p&lt;0.001) of Ln-</w:t>
      </w:r>
      <w:r>
        <w:t>c-</w:t>
      </w:r>
      <w:proofErr w:type="spellStart"/>
      <w:r w:rsidR="006254CA">
        <w:t>fT</w:t>
      </w:r>
      <w:proofErr w:type="spellEnd"/>
      <w:r w:rsidR="006254CA">
        <w:t xml:space="preserve"> </w:t>
      </w:r>
      <w:r w:rsidR="00995F5D" w:rsidRPr="00CE6D8B">
        <w:t>changed very little</w:t>
      </w:r>
      <w:r w:rsidR="00995F5D">
        <w:t>;</w:t>
      </w:r>
      <w:r w:rsidR="006254CA">
        <w:t xml:space="preserve"> </w:t>
      </w:r>
      <w:proofErr w:type="spellStart"/>
      <w:r w:rsidR="006254CA">
        <w:t>Hb</w:t>
      </w:r>
      <w:proofErr w:type="spellEnd"/>
      <w:r w:rsidR="006254CA">
        <w:t xml:space="preserve"> </w:t>
      </w:r>
      <w:r w:rsidR="00995F5D">
        <w:t xml:space="preserve">changed to </w:t>
      </w:r>
      <w:r w:rsidR="006254CA">
        <w:t>(rho 0.301</w:t>
      </w:r>
      <w:r w:rsidRPr="00CE6D8B">
        <w:t xml:space="preserve">), </w:t>
      </w:r>
      <w:proofErr w:type="spellStart"/>
      <w:r w:rsidRPr="00CE6D8B">
        <w:t>Hct</w:t>
      </w:r>
      <w:proofErr w:type="spellEnd"/>
      <w:r w:rsidRPr="00CE6D8B">
        <w:t xml:space="preserve"> </w:t>
      </w:r>
      <w:r w:rsidR="00995F5D">
        <w:t xml:space="preserve">to </w:t>
      </w:r>
      <w:r w:rsidRPr="00CE6D8B">
        <w:t xml:space="preserve">(rho 0.297), </w:t>
      </w:r>
      <w:proofErr w:type="spellStart"/>
      <w:proofErr w:type="gramStart"/>
      <w:r w:rsidRPr="00CE6D8B">
        <w:t>rbc</w:t>
      </w:r>
      <w:proofErr w:type="spellEnd"/>
      <w:proofErr w:type="gramEnd"/>
      <w:r w:rsidRPr="00CE6D8B">
        <w:t xml:space="preserve"> </w:t>
      </w:r>
      <w:r w:rsidR="00995F5D">
        <w:t xml:space="preserve">to </w:t>
      </w:r>
      <w:r w:rsidRPr="00CE6D8B">
        <w:t>(rho 0.274)</w:t>
      </w:r>
      <w:r w:rsidR="006254CA">
        <w:t>,</w:t>
      </w:r>
      <w:r w:rsidRPr="00CE6D8B">
        <w:t xml:space="preserve"> and Ln-</w:t>
      </w:r>
      <w:proofErr w:type="spellStart"/>
      <w:r w:rsidRPr="00CE6D8B">
        <w:t>tT</w:t>
      </w:r>
      <w:proofErr w:type="spellEnd"/>
      <w:r w:rsidRPr="00CE6D8B">
        <w:t xml:space="preserve"> with </w:t>
      </w:r>
      <w:proofErr w:type="spellStart"/>
      <w:r w:rsidRPr="00CE6D8B">
        <w:t>Hb</w:t>
      </w:r>
      <w:proofErr w:type="spellEnd"/>
      <w:r w:rsidRPr="00CE6D8B">
        <w:t xml:space="preserve"> </w:t>
      </w:r>
      <w:r w:rsidR="00995F5D">
        <w:t xml:space="preserve">to </w:t>
      </w:r>
      <w:r w:rsidRPr="00CE6D8B">
        <w:t xml:space="preserve">(rho 0.167), </w:t>
      </w:r>
      <w:proofErr w:type="spellStart"/>
      <w:r w:rsidRPr="00CE6D8B">
        <w:t>Hct</w:t>
      </w:r>
      <w:proofErr w:type="spellEnd"/>
      <w:r w:rsidRPr="00CE6D8B">
        <w:t xml:space="preserve"> </w:t>
      </w:r>
      <w:r w:rsidR="00995F5D">
        <w:t xml:space="preserve">to </w:t>
      </w:r>
      <w:r w:rsidRPr="00CE6D8B">
        <w:t xml:space="preserve">(rho 0.152) and </w:t>
      </w:r>
      <w:proofErr w:type="spellStart"/>
      <w:r w:rsidRPr="00CE6D8B">
        <w:t>rbc</w:t>
      </w:r>
      <w:proofErr w:type="spellEnd"/>
      <w:r w:rsidRPr="00CE6D8B">
        <w:t xml:space="preserve"> </w:t>
      </w:r>
      <w:r w:rsidR="00995F5D">
        <w:t xml:space="preserve">to </w:t>
      </w:r>
      <w:r w:rsidRPr="00CE6D8B">
        <w:t>(rho 0.100)</w:t>
      </w:r>
      <w:r>
        <w:t xml:space="preserve">.  </w:t>
      </w:r>
    </w:p>
    <w:p w:rsidR="008A0AA6" w:rsidRPr="00CE6D8B" w:rsidRDefault="008A0AA6" w:rsidP="008A0AA6">
      <w:pPr>
        <w:spacing w:line="480" w:lineRule="auto"/>
        <w:jc w:val="both"/>
      </w:pPr>
      <w:r w:rsidRPr="00CE6D8B">
        <w:t>Differences between correlation coefficients for c-</w:t>
      </w:r>
      <w:proofErr w:type="spellStart"/>
      <w:r w:rsidRPr="00CE6D8B">
        <w:t>fT</w:t>
      </w:r>
      <w:proofErr w:type="spellEnd"/>
      <w:r w:rsidRPr="00CE6D8B">
        <w:t xml:space="preserve"> and </w:t>
      </w:r>
      <w:proofErr w:type="spellStart"/>
      <w:r w:rsidRPr="00CE6D8B">
        <w:t>tT</w:t>
      </w:r>
      <w:proofErr w:type="spellEnd"/>
      <w:r w:rsidRPr="00CE6D8B">
        <w:t xml:space="preserve"> were statistically significant, with no overlap between the</w:t>
      </w:r>
      <w:r>
        <w:t>ir</w:t>
      </w:r>
      <w:r w:rsidRPr="00CE6D8B">
        <w:t xml:space="preserve"> 95% confidence interval</w:t>
      </w:r>
      <w:r>
        <w:t>s (CI)</w:t>
      </w:r>
      <w:r w:rsidRPr="00CE6D8B">
        <w:t xml:space="preserve">.  As </w:t>
      </w:r>
      <w:r>
        <w:t>anticipated</w:t>
      </w:r>
      <w:r w:rsidRPr="00CE6D8B">
        <w:t xml:space="preserve">, these correlations were relatively weak, </w:t>
      </w:r>
      <w:r>
        <w:t>reflecting</w:t>
      </w:r>
      <w:r w:rsidRPr="00CE6D8B">
        <w:t xml:space="preserve"> the multiplicity of environmental and genetic factors af</w:t>
      </w:r>
      <w:r>
        <w:t xml:space="preserve">fecting </w:t>
      </w:r>
      <w:proofErr w:type="spellStart"/>
      <w:r>
        <w:t>hematopoiesis</w:t>
      </w:r>
      <w:proofErr w:type="spellEnd"/>
      <w:r w:rsidRPr="00CE6D8B">
        <w:t xml:space="preserve">, but they were </w:t>
      </w:r>
      <w:r w:rsidR="00995F5D">
        <w:t>significantly</w:t>
      </w:r>
      <w:r w:rsidR="00995F5D" w:rsidRPr="00CE6D8B">
        <w:t xml:space="preserve"> </w:t>
      </w:r>
      <w:r w:rsidRPr="00CE6D8B">
        <w:t>stronger for c-</w:t>
      </w:r>
      <w:proofErr w:type="spellStart"/>
      <w:r w:rsidRPr="00CE6D8B">
        <w:t>fT</w:t>
      </w:r>
      <w:proofErr w:type="spellEnd"/>
      <w:r w:rsidRPr="00CE6D8B">
        <w:t xml:space="preserve"> than </w:t>
      </w:r>
      <w:proofErr w:type="spellStart"/>
      <w:r w:rsidRPr="00CE6D8B">
        <w:t>tT</w:t>
      </w:r>
      <w:proofErr w:type="spellEnd"/>
      <w:r w:rsidR="00995F5D">
        <w:t xml:space="preserve"> (p-value </w:t>
      </w:r>
      <w:r w:rsidR="00C37F57">
        <w:t>&lt;0.05</w:t>
      </w:r>
      <w:r w:rsidR="00995F5D">
        <w:t>)</w:t>
      </w:r>
      <w:r w:rsidRPr="00CE6D8B">
        <w:t>.</w:t>
      </w:r>
    </w:p>
    <w:p w:rsidR="008A0AA6" w:rsidRPr="00655DF3" w:rsidRDefault="008A0AA6" w:rsidP="00655DF3">
      <w:pPr>
        <w:widowControl/>
        <w:suppressAutoHyphens w:val="0"/>
        <w:spacing w:line="480" w:lineRule="auto"/>
        <w:jc w:val="both"/>
        <w:textAlignment w:val="auto"/>
        <w:rPr>
          <w:b/>
          <w:sz w:val="28"/>
          <w:szCs w:val="28"/>
        </w:rPr>
      </w:pPr>
      <w:r>
        <w:t>Clinicians need to</w:t>
      </w:r>
      <w:r w:rsidRPr="00CE6D8B">
        <w:t xml:space="preserve"> </w:t>
      </w:r>
      <w:r>
        <w:t>avoid mis</w:t>
      </w:r>
      <w:r w:rsidRPr="00CE6D8B">
        <w:t>diagnos</w:t>
      </w:r>
      <w:r>
        <w:t xml:space="preserve">ing </w:t>
      </w:r>
      <w:r w:rsidRPr="00CE6D8B">
        <w:t>male hypogonadism</w:t>
      </w:r>
      <w:r w:rsidR="00D53181">
        <w:t xml:space="preserve"> and,</w:t>
      </w:r>
      <w:r>
        <w:t xml:space="preserve"> </w:t>
      </w:r>
      <w:r w:rsidR="00D53181">
        <w:t>when indicated,</w:t>
      </w:r>
      <w:r w:rsidR="00D53181" w:rsidRPr="00CE6D8B">
        <w:t xml:space="preserve"> </w:t>
      </w:r>
      <w:r w:rsidRPr="00CE6D8B">
        <w:t>deliver</w:t>
      </w:r>
      <w:r>
        <w:t xml:space="preserve"> safe, </w:t>
      </w:r>
      <w:r w:rsidRPr="00CE6D8B">
        <w:t xml:space="preserve">effective </w:t>
      </w:r>
      <w:r w:rsidR="00346E79">
        <w:t>testosterone</w:t>
      </w:r>
      <w:r>
        <w:t xml:space="preserve"> </w:t>
      </w:r>
      <w:r w:rsidRPr="00CE6D8B">
        <w:t>treatment</w:t>
      </w:r>
      <w:r>
        <w:t>.  E</w:t>
      </w:r>
      <w:r w:rsidRPr="00CE6D8B">
        <w:t xml:space="preserve">ven </w:t>
      </w:r>
      <w:r>
        <w:t>following</w:t>
      </w:r>
      <w:r w:rsidRPr="00CE6D8B">
        <w:t xml:space="preserve"> </w:t>
      </w:r>
      <w:r>
        <w:t>best practice in venepuncture-scheduling,</w:t>
      </w:r>
      <w:r w:rsidRPr="00CE6D8B">
        <w:t xml:space="preserve"> there are always “</w:t>
      </w:r>
      <w:proofErr w:type="spellStart"/>
      <w:r w:rsidRPr="00CE6D8B">
        <w:t>gr</w:t>
      </w:r>
      <w:r>
        <w:t>ay</w:t>
      </w:r>
      <w:proofErr w:type="spellEnd"/>
      <w:r>
        <w:t>-</w:t>
      </w:r>
      <w:r w:rsidRPr="00CE6D8B">
        <w:t xml:space="preserve">area” </w:t>
      </w:r>
      <w:proofErr w:type="spellStart"/>
      <w:r w:rsidRPr="00CE6D8B">
        <w:t>tT</w:t>
      </w:r>
      <w:proofErr w:type="spellEnd"/>
      <w:r w:rsidRPr="00CE6D8B">
        <w:t xml:space="preserve"> results and many clinicians </w:t>
      </w:r>
      <w:r>
        <w:t xml:space="preserve">already use </w:t>
      </w:r>
      <w:r w:rsidRPr="00CE6D8B">
        <w:t>c</w:t>
      </w:r>
      <w:r>
        <w:t>-</w:t>
      </w:r>
      <w:proofErr w:type="spellStart"/>
      <w:r w:rsidRPr="00CE6D8B">
        <w:t>fT</w:t>
      </w:r>
      <w:proofErr w:type="spellEnd"/>
      <w:r w:rsidRPr="00CE6D8B">
        <w:t xml:space="preserve"> </w:t>
      </w:r>
      <w:r>
        <w:t>to</w:t>
      </w:r>
      <w:r w:rsidRPr="00CE6D8B">
        <w:t xml:space="preserve"> </w:t>
      </w:r>
      <w:r w:rsidR="00346E79">
        <w:t>aid interpretation</w:t>
      </w:r>
      <w:r>
        <w:t xml:space="preserve"> </w:t>
      </w:r>
      <w:r w:rsidR="00C37F57">
        <w:t xml:space="preserve">in </w:t>
      </w:r>
      <w:r w:rsidRPr="00CE6D8B">
        <w:t xml:space="preserve">obese men with </w:t>
      </w:r>
      <w:r w:rsidR="00C37F57">
        <w:t>normal serum gonadotropins and “</w:t>
      </w:r>
      <w:proofErr w:type="spellStart"/>
      <w:r w:rsidR="00C37F57">
        <w:t>gray</w:t>
      </w:r>
      <w:proofErr w:type="spellEnd"/>
      <w:r w:rsidR="00C37F57">
        <w:t xml:space="preserve"> area” </w:t>
      </w:r>
      <w:proofErr w:type="spellStart"/>
      <w:r w:rsidRPr="00CE6D8B">
        <w:t>tT</w:t>
      </w:r>
      <w:proofErr w:type="spellEnd"/>
      <w:r>
        <w:t xml:space="preserve"> </w:t>
      </w:r>
      <w:r w:rsidR="00C37F57">
        <w:t>just above or below the lower end of reference range</w:t>
      </w:r>
      <w:r w:rsidRPr="00CE6D8B">
        <w:t xml:space="preserve">.  </w:t>
      </w:r>
      <w:r w:rsidR="009106E9">
        <w:t xml:space="preserve">Moreover, </w:t>
      </w:r>
      <w:r w:rsidR="00A8241A">
        <w:t>testosterone</w:t>
      </w:r>
      <w:r w:rsidRPr="00CE6D8B">
        <w:t xml:space="preserve"> replacement can </w:t>
      </w:r>
      <w:r>
        <w:t xml:space="preserve">be </w:t>
      </w:r>
      <w:r w:rsidR="00D53181">
        <w:t xml:space="preserve">particularly </w:t>
      </w:r>
      <w:r>
        <w:t>problematic in</w:t>
      </w:r>
      <w:r w:rsidRPr="00CE6D8B">
        <w:t xml:space="preserve"> men</w:t>
      </w:r>
      <w:r w:rsidR="00C37F57">
        <w:t xml:space="preserve"> older than 65 years</w:t>
      </w:r>
      <w:r>
        <w:t>, who are both predisposed to</w:t>
      </w:r>
      <w:r w:rsidRPr="00CE6D8B">
        <w:t xml:space="preserve"> </w:t>
      </w:r>
      <w:r w:rsidR="00C37F57">
        <w:t>testosterone</w:t>
      </w:r>
      <w:r>
        <w:t xml:space="preserve">-induced </w:t>
      </w:r>
      <w:proofErr w:type="spellStart"/>
      <w:r>
        <w:t>erythrocytosis</w:t>
      </w:r>
      <w:proofErr w:type="spellEnd"/>
      <w:r>
        <w:t xml:space="preserve"> and at greater underlying risk </w:t>
      </w:r>
      <w:r w:rsidRPr="00CE6D8B">
        <w:t xml:space="preserve">of vascular </w:t>
      </w:r>
      <w:r>
        <w:t>events</w:t>
      </w:r>
      <w:r w:rsidRPr="00CE6D8B">
        <w:t xml:space="preserve">. </w:t>
      </w:r>
    </w:p>
    <w:p w:rsidR="005A4904" w:rsidRPr="00CE6D8B" w:rsidRDefault="005A4904" w:rsidP="00655DF3">
      <w:pPr>
        <w:spacing w:line="480" w:lineRule="auto"/>
        <w:jc w:val="both"/>
      </w:pPr>
      <w:r w:rsidRPr="00655DF3">
        <w:t>We have identified c-</w:t>
      </w:r>
      <w:proofErr w:type="spellStart"/>
      <w:r w:rsidRPr="00655DF3">
        <w:t>fT</w:t>
      </w:r>
      <w:proofErr w:type="spellEnd"/>
      <w:r w:rsidRPr="00655DF3">
        <w:t xml:space="preserve"> as a potentially useful surrogate for </w:t>
      </w:r>
      <w:proofErr w:type="spellStart"/>
      <w:r w:rsidRPr="00655DF3">
        <w:t>androgenicity</w:t>
      </w:r>
      <w:proofErr w:type="spellEnd"/>
      <w:r w:rsidRPr="00655DF3">
        <w:t xml:space="preserve"> </w:t>
      </w:r>
      <w:r w:rsidR="00A8241A" w:rsidRPr="00655DF3">
        <w:t xml:space="preserve">that is </w:t>
      </w:r>
      <w:r w:rsidRPr="00655DF3">
        <w:t xml:space="preserve">slightly but significantly better in this respect than </w:t>
      </w:r>
      <w:proofErr w:type="spellStart"/>
      <w:r w:rsidRPr="00655DF3">
        <w:t>than</w:t>
      </w:r>
      <w:proofErr w:type="spellEnd"/>
      <w:r w:rsidRPr="00655DF3">
        <w:t xml:space="preserve"> </w:t>
      </w:r>
      <w:proofErr w:type="spellStart"/>
      <w:r w:rsidRPr="00655DF3">
        <w:t>tT</w:t>
      </w:r>
      <w:proofErr w:type="spellEnd"/>
      <w:r w:rsidRPr="00655DF3">
        <w:t xml:space="preserve"> when validated against one objective parameter of T-action: </w:t>
      </w:r>
      <w:proofErr w:type="spellStart"/>
      <w:r w:rsidRPr="00655DF3">
        <w:t>hematopoiesis</w:t>
      </w:r>
      <w:proofErr w:type="spellEnd"/>
      <w:r w:rsidRPr="00655DF3">
        <w:t>.  Serum T has previously been analysed in respect of a binary correlation with presence/a</w:t>
      </w:r>
      <w:r w:rsidR="00655DF3">
        <w:t>b</w:t>
      </w:r>
      <w:r w:rsidRPr="00655DF3">
        <w:t xml:space="preserve">sence of anaemia in a population [5], but not in relation to </w:t>
      </w:r>
      <w:proofErr w:type="spellStart"/>
      <w:r w:rsidRPr="00655DF3">
        <w:t>hematopoiesis</w:t>
      </w:r>
      <w:proofErr w:type="spellEnd"/>
      <w:r w:rsidRPr="00655DF3">
        <w:t xml:space="preserve"> metrics presented as continuous variables.  Previous investigators have also found better correlations of c-</w:t>
      </w:r>
      <w:proofErr w:type="spellStart"/>
      <w:r w:rsidRPr="00655DF3">
        <w:t>fT</w:t>
      </w:r>
      <w:proofErr w:type="spellEnd"/>
      <w:r w:rsidRPr="00655DF3">
        <w:t xml:space="preserve"> than </w:t>
      </w:r>
      <w:proofErr w:type="spellStart"/>
      <w:r w:rsidRPr="00655DF3">
        <w:t>tT</w:t>
      </w:r>
      <w:proofErr w:type="spellEnd"/>
      <w:r w:rsidRPr="00655DF3">
        <w:t xml:space="preserve"> with bone densitometry and patient symptom scores [6</w:t>
      </w:r>
      <w:proofErr w:type="gramStart"/>
      <w:r w:rsidRPr="00655DF3">
        <w:t>,7</w:t>
      </w:r>
      <w:proofErr w:type="gramEnd"/>
      <w:r w:rsidRPr="00CE6D8B">
        <w:t xml:space="preserve">], but </w:t>
      </w:r>
      <w:r>
        <w:t xml:space="preserve">unlike CBC, </w:t>
      </w:r>
      <w:r w:rsidRPr="00CE6D8B">
        <w:t xml:space="preserve">these </w:t>
      </w:r>
      <w:r>
        <w:t xml:space="preserve">metrics of </w:t>
      </w:r>
      <w:proofErr w:type="spellStart"/>
      <w:r>
        <w:lastRenderedPageBreak/>
        <w:t>androgenicity</w:t>
      </w:r>
      <w:proofErr w:type="spellEnd"/>
      <w:r>
        <w:t xml:space="preserve"> are far more </w:t>
      </w:r>
      <w:r w:rsidRPr="00CE6D8B">
        <w:t xml:space="preserve">resource-intensive </w:t>
      </w:r>
      <w:r>
        <w:t>to capture and have</w:t>
      </w:r>
      <w:r w:rsidRPr="00CE6D8B">
        <w:t xml:space="preserve"> much larger CVs.</w:t>
      </w:r>
    </w:p>
    <w:p w:rsidR="008A0AA6" w:rsidRDefault="008A0AA6" w:rsidP="008A0AA6">
      <w:pPr>
        <w:spacing w:before="120" w:line="480" w:lineRule="auto"/>
        <w:jc w:val="both"/>
      </w:pPr>
      <w:r w:rsidRPr="00CE6D8B">
        <w:t xml:space="preserve">In summary, both </w:t>
      </w:r>
      <w:proofErr w:type="spellStart"/>
      <w:r w:rsidRPr="00CE6D8B">
        <w:t>tT</w:t>
      </w:r>
      <w:proofErr w:type="spellEnd"/>
      <w:r w:rsidRPr="00CE6D8B">
        <w:t xml:space="preserve"> and c-</w:t>
      </w:r>
      <w:proofErr w:type="spellStart"/>
      <w:r>
        <w:t>f</w:t>
      </w:r>
      <w:r w:rsidRPr="00CE6D8B">
        <w:t>T</w:t>
      </w:r>
      <w:proofErr w:type="spellEnd"/>
      <w:r w:rsidRPr="00CE6D8B">
        <w:t xml:space="preserve"> show a small but significant correlation with laboratory measures of</w:t>
      </w:r>
      <w:r>
        <w:t xml:space="preserve"> </w:t>
      </w:r>
      <w:proofErr w:type="spellStart"/>
      <w:r>
        <w:t>hem</w:t>
      </w:r>
      <w:r w:rsidR="00D53181">
        <w:t>atop</w:t>
      </w:r>
      <w:r w:rsidRPr="00CE6D8B">
        <w:t>o</w:t>
      </w:r>
      <w:r w:rsidR="00D53181">
        <w:t>e</w:t>
      </w:r>
      <w:r w:rsidRPr="00CE6D8B">
        <w:t>isis</w:t>
      </w:r>
      <w:proofErr w:type="spellEnd"/>
      <w:r w:rsidRPr="00CE6D8B">
        <w:t>, with c</w:t>
      </w:r>
      <w:r>
        <w:t>-</w:t>
      </w:r>
      <w:proofErr w:type="spellStart"/>
      <w:r>
        <w:t>f</w:t>
      </w:r>
      <w:r w:rsidRPr="00CE6D8B">
        <w:t>T</w:t>
      </w:r>
      <w:proofErr w:type="spellEnd"/>
      <w:r w:rsidRPr="00CE6D8B">
        <w:t xml:space="preserve"> performing significantly better in this respect.  </w:t>
      </w:r>
      <w:r>
        <w:t>Using c-</w:t>
      </w:r>
      <w:proofErr w:type="spellStart"/>
      <w:r>
        <w:t>fT</w:t>
      </w:r>
      <w:proofErr w:type="spellEnd"/>
      <w:r>
        <w:t xml:space="preserve"> </w:t>
      </w:r>
      <w:r w:rsidR="00D53181">
        <w:t>instead of</w:t>
      </w:r>
      <w:r>
        <w:t xml:space="preserve"> </w:t>
      </w:r>
      <w:proofErr w:type="spellStart"/>
      <w:r>
        <w:t>tT</w:t>
      </w:r>
      <w:proofErr w:type="spellEnd"/>
      <w:r>
        <w:t xml:space="preserve"> in diagnostics has the potential to reduce misclassification of male obesity as hypogonadism and, in monitoring </w:t>
      </w:r>
      <w:r w:rsidR="0067245D">
        <w:t>testosterone</w:t>
      </w:r>
      <w:r>
        <w:t xml:space="preserve"> therapy, to reduce the risk of </w:t>
      </w:r>
      <w:r w:rsidR="0067245D">
        <w:t>testosterone</w:t>
      </w:r>
      <w:r>
        <w:t>-induced</w:t>
      </w:r>
      <w:r w:rsidRPr="001E5E6E">
        <w:t xml:space="preserve"> </w:t>
      </w:r>
      <w:proofErr w:type="spellStart"/>
      <w:r w:rsidRPr="001E5E6E">
        <w:t>erythrocytosis</w:t>
      </w:r>
      <w:proofErr w:type="spellEnd"/>
      <w:r w:rsidRPr="001E5E6E">
        <w:t>.</w:t>
      </w:r>
    </w:p>
    <w:p w:rsidR="008A0AA6" w:rsidRDefault="008A0AA6" w:rsidP="008A0AA6"/>
    <w:p w:rsidR="00AD2E5F" w:rsidRPr="00CE6D8B" w:rsidRDefault="00AD2E5F">
      <w:pPr>
        <w:rPr>
          <w:b/>
          <w:bCs/>
        </w:rPr>
      </w:pPr>
    </w:p>
    <w:p w:rsidR="00AD2E5F" w:rsidRPr="00EA0B57" w:rsidRDefault="00AD2E5F" w:rsidP="00063DD5">
      <w:pPr>
        <w:ind w:firstLine="567"/>
        <w:rPr>
          <w:b/>
          <w:bCs/>
          <w:sz w:val="28"/>
          <w:szCs w:val="28"/>
        </w:rPr>
      </w:pPr>
      <w:r w:rsidRPr="00EA0B57">
        <w:rPr>
          <w:b/>
          <w:bCs/>
          <w:sz w:val="28"/>
          <w:szCs w:val="28"/>
        </w:rPr>
        <w:t>References</w:t>
      </w:r>
    </w:p>
    <w:p w:rsidR="00AD2E5F" w:rsidRPr="00CE6D8B" w:rsidRDefault="00AD2E5F">
      <w:pPr>
        <w:rPr>
          <w:sz w:val="22"/>
          <w:szCs w:val="22"/>
        </w:rPr>
      </w:pPr>
    </w:p>
    <w:p w:rsidR="00EC51CF" w:rsidRDefault="00EC51CF" w:rsidP="001668BF">
      <w:pPr>
        <w:pStyle w:val="NoSpacing"/>
        <w:numPr>
          <w:ilvl w:val="0"/>
          <w:numId w:val="5"/>
        </w:numPr>
        <w:tabs>
          <w:tab w:val="left" w:pos="567"/>
        </w:tabs>
        <w:spacing w:before="120" w:line="360" w:lineRule="auto"/>
        <w:ind w:left="357" w:hanging="357"/>
        <w:rPr>
          <w:rStyle w:val="Strong"/>
          <w:b w:val="0"/>
          <w:bCs w:val="0"/>
          <w:color w:val="000000"/>
          <w:sz w:val="22"/>
          <w:szCs w:val="22"/>
        </w:rPr>
      </w:pPr>
      <w:proofErr w:type="spellStart"/>
      <w:r w:rsidRPr="00B60CC3">
        <w:rPr>
          <w:rStyle w:val="Strong"/>
          <w:b w:val="0"/>
          <w:bCs w:val="0"/>
          <w:color w:val="000000"/>
          <w:sz w:val="22"/>
          <w:szCs w:val="22"/>
        </w:rPr>
        <w:t>Anawalt</w:t>
      </w:r>
      <w:proofErr w:type="spellEnd"/>
      <w:r w:rsidRPr="00B60CC3">
        <w:rPr>
          <w:rStyle w:val="Strong"/>
          <w:b w:val="0"/>
          <w:bCs w:val="0"/>
          <w:color w:val="000000"/>
          <w:sz w:val="22"/>
          <w:szCs w:val="22"/>
        </w:rPr>
        <w:t xml:space="preserve"> BD, </w:t>
      </w:r>
      <w:proofErr w:type="spellStart"/>
      <w:r w:rsidRPr="00B60CC3">
        <w:rPr>
          <w:rStyle w:val="Strong"/>
          <w:b w:val="0"/>
          <w:bCs w:val="0"/>
          <w:color w:val="000000"/>
          <w:sz w:val="22"/>
          <w:szCs w:val="22"/>
        </w:rPr>
        <w:t>Hotaling</w:t>
      </w:r>
      <w:proofErr w:type="spellEnd"/>
      <w:r w:rsidRPr="00B60CC3">
        <w:rPr>
          <w:rStyle w:val="Strong"/>
          <w:b w:val="0"/>
          <w:bCs w:val="0"/>
          <w:color w:val="000000"/>
          <w:sz w:val="22"/>
          <w:szCs w:val="22"/>
        </w:rPr>
        <w:t xml:space="preserve"> JM, Walsh TJ, Matsumoto AM</w:t>
      </w:r>
      <w:r>
        <w:rPr>
          <w:rStyle w:val="Strong"/>
          <w:b w:val="0"/>
          <w:bCs w:val="0"/>
          <w:color w:val="000000"/>
          <w:sz w:val="22"/>
          <w:szCs w:val="22"/>
        </w:rPr>
        <w:t>.</w:t>
      </w:r>
      <w:r w:rsidRPr="00B60CC3">
        <w:rPr>
          <w:rStyle w:val="Strong"/>
          <w:b w:val="0"/>
          <w:bCs w:val="0"/>
          <w:color w:val="000000"/>
          <w:sz w:val="22"/>
          <w:szCs w:val="22"/>
        </w:rPr>
        <w:t xml:space="preserve"> Performance of total testosterone measurement to predict free testosterone for the biochemical evaluation of male hypogonadism. </w:t>
      </w:r>
      <w:r w:rsidRPr="00B60CC3">
        <w:rPr>
          <w:iCs/>
          <w:color w:val="000000"/>
          <w:sz w:val="22"/>
          <w:szCs w:val="22"/>
        </w:rPr>
        <w:t xml:space="preserve">J </w:t>
      </w:r>
      <w:proofErr w:type="spellStart"/>
      <w:r w:rsidRPr="00B60CC3">
        <w:rPr>
          <w:iCs/>
          <w:color w:val="000000"/>
          <w:sz w:val="22"/>
          <w:szCs w:val="22"/>
        </w:rPr>
        <w:t>Urol</w:t>
      </w:r>
      <w:proofErr w:type="spellEnd"/>
      <w:r w:rsidRPr="00B60CC3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bCs w:val="0"/>
          <w:color w:val="000000"/>
          <w:sz w:val="22"/>
          <w:szCs w:val="22"/>
        </w:rPr>
        <w:t>2012</w:t>
      </w:r>
      <w:proofErr w:type="gramStart"/>
      <w:r>
        <w:rPr>
          <w:rStyle w:val="Strong"/>
          <w:b w:val="0"/>
          <w:bCs w:val="0"/>
          <w:color w:val="000000"/>
          <w:sz w:val="22"/>
          <w:szCs w:val="22"/>
        </w:rPr>
        <w:t>;</w:t>
      </w:r>
      <w:r w:rsidRPr="00B60CC3">
        <w:rPr>
          <w:rStyle w:val="Strong"/>
          <w:b w:val="0"/>
          <w:bCs w:val="0"/>
          <w:color w:val="000000"/>
          <w:sz w:val="22"/>
          <w:szCs w:val="22"/>
        </w:rPr>
        <w:t>187:</w:t>
      </w:r>
      <w:r>
        <w:rPr>
          <w:rStyle w:val="Strong"/>
          <w:b w:val="0"/>
          <w:bCs w:val="0"/>
          <w:color w:val="000000"/>
          <w:sz w:val="22"/>
          <w:szCs w:val="22"/>
        </w:rPr>
        <w:t>1369</w:t>
      </w:r>
      <w:proofErr w:type="gramEnd"/>
      <w:r>
        <w:rPr>
          <w:rStyle w:val="Strong"/>
          <w:b w:val="0"/>
          <w:bCs w:val="0"/>
          <w:color w:val="000000"/>
          <w:sz w:val="22"/>
          <w:szCs w:val="22"/>
        </w:rPr>
        <w:t>-</w:t>
      </w:r>
      <w:r w:rsidRPr="00B60CC3">
        <w:rPr>
          <w:rStyle w:val="Strong"/>
          <w:b w:val="0"/>
          <w:bCs w:val="0"/>
          <w:color w:val="000000"/>
          <w:sz w:val="22"/>
          <w:szCs w:val="22"/>
        </w:rPr>
        <w:t>73.</w:t>
      </w:r>
    </w:p>
    <w:p w:rsidR="001668BF" w:rsidRDefault="001668BF" w:rsidP="001668BF">
      <w:pPr>
        <w:pStyle w:val="NoSpacing"/>
        <w:numPr>
          <w:ilvl w:val="0"/>
          <w:numId w:val="5"/>
        </w:numPr>
        <w:tabs>
          <w:tab w:val="left" w:pos="567"/>
        </w:tabs>
        <w:spacing w:before="120" w:line="360" w:lineRule="auto"/>
        <w:ind w:left="357" w:hanging="357"/>
        <w:rPr>
          <w:rStyle w:val="Strong"/>
          <w:b w:val="0"/>
          <w:bCs w:val="0"/>
          <w:color w:val="000000"/>
          <w:sz w:val="22"/>
          <w:szCs w:val="22"/>
        </w:rPr>
      </w:pPr>
      <w:proofErr w:type="spellStart"/>
      <w:r w:rsidRPr="00CE6D8B">
        <w:rPr>
          <w:rStyle w:val="Strong"/>
          <w:b w:val="0"/>
          <w:bCs w:val="0"/>
          <w:color w:val="000000"/>
          <w:sz w:val="22"/>
          <w:szCs w:val="22"/>
        </w:rPr>
        <w:t>Bhasin</w:t>
      </w:r>
      <w:proofErr w:type="spellEnd"/>
      <w:r w:rsidRPr="00CE6D8B">
        <w:rPr>
          <w:rStyle w:val="Strong"/>
          <w:b w:val="0"/>
          <w:bCs w:val="0"/>
          <w:color w:val="000000"/>
          <w:sz w:val="22"/>
          <w:szCs w:val="22"/>
        </w:rPr>
        <w:t xml:space="preserve"> S</w:t>
      </w:r>
      <w:r>
        <w:rPr>
          <w:rStyle w:val="Strong"/>
          <w:b w:val="0"/>
          <w:bCs w:val="0"/>
          <w:color w:val="000000"/>
          <w:sz w:val="22"/>
          <w:szCs w:val="22"/>
        </w:rPr>
        <w:t>,</w:t>
      </w:r>
      <w:r w:rsidRPr="00CE6D8B">
        <w:rPr>
          <w:rStyle w:val="Strong"/>
          <w:b w:val="0"/>
          <w:bCs w:val="0"/>
          <w:color w:val="000000"/>
          <w:sz w:val="22"/>
          <w:szCs w:val="22"/>
        </w:rPr>
        <w:t xml:space="preserve"> Cunningham GR</w:t>
      </w:r>
      <w:r>
        <w:rPr>
          <w:rStyle w:val="Strong"/>
          <w:b w:val="0"/>
          <w:bCs w:val="0"/>
          <w:color w:val="000000"/>
          <w:sz w:val="22"/>
          <w:szCs w:val="22"/>
        </w:rPr>
        <w:t>,</w:t>
      </w:r>
      <w:r w:rsidRPr="00CE6D8B">
        <w:rPr>
          <w:rStyle w:val="Strong"/>
          <w:b w:val="0"/>
          <w:bCs w:val="0"/>
          <w:color w:val="000000"/>
          <w:sz w:val="22"/>
          <w:szCs w:val="22"/>
        </w:rPr>
        <w:t xml:space="preserve"> Hayes FJ</w:t>
      </w:r>
      <w:r>
        <w:rPr>
          <w:rStyle w:val="Strong"/>
          <w:b w:val="0"/>
          <w:bCs w:val="0"/>
          <w:color w:val="000000"/>
          <w:sz w:val="22"/>
          <w:szCs w:val="22"/>
        </w:rPr>
        <w:t>,</w:t>
      </w:r>
      <w:r w:rsidRPr="00CE6D8B">
        <w:rPr>
          <w:rStyle w:val="Strong"/>
          <w:b w:val="0"/>
          <w:bCs w:val="0"/>
          <w:color w:val="000000"/>
          <w:sz w:val="22"/>
          <w:szCs w:val="22"/>
        </w:rPr>
        <w:t xml:space="preserve"> Matsumoto AM</w:t>
      </w:r>
      <w:r>
        <w:rPr>
          <w:rStyle w:val="Strong"/>
          <w:b w:val="0"/>
          <w:bCs w:val="0"/>
          <w:color w:val="000000"/>
          <w:sz w:val="22"/>
          <w:szCs w:val="22"/>
        </w:rPr>
        <w:t>,</w:t>
      </w:r>
      <w:r w:rsidRPr="00CE6D8B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  <w:r w:rsidRPr="00C4148B">
        <w:rPr>
          <w:rStyle w:val="Strong"/>
          <w:b w:val="0"/>
          <w:bCs w:val="0"/>
          <w:iCs/>
          <w:color w:val="000000"/>
          <w:sz w:val="22"/>
          <w:szCs w:val="22"/>
        </w:rPr>
        <w:t>et al.</w:t>
      </w:r>
      <w:r w:rsidRPr="00CE6D8B">
        <w:rPr>
          <w:rStyle w:val="Strong"/>
          <w:b w:val="0"/>
          <w:bCs w:val="0"/>
          <w:color w:val="000000"/>
          <w:sz w:val="22"/>
          <w:szCs w:val="22"/>
        </w:rPr>
        <w:t xml:space="preserve"> Testosterone therapy in men with androgen deficiency syndromes: an Endocrine Society clinical practice guideline. </w:t>
      </w:r>
      <w:r w:rsidRPr="00B60CC3">
        <w:rPr>
          <w:iCs/>
          <w:color w:val="000000"/>
          <w:sz w:val="22"/>
          <w:szCs w:val="22"/>
        </w:rPr>
        <w:t xml:space="preserve">J </w:t>
      </w:r>
      <w:proofErr w:type="spellStart"/>
      <w:r w:rsidRPr="00B60CC3">
        <w:rPr>
          <w:iCs/>
          <w:color w:val="000000"/>
          <w:sz w:val="22"/>
          <w:szCs w:val="22"/>
        </w:rPr>
        <w:t>Clin</w:t>
      </w:r>
      <w:proofErr w:type="spellEnd"/>
      <w:r w:rsidRPr="00B60CC3">
        <w:rPr>
          <w:iCs/>
          <w:color w:val="000000"/>
          <w:sz w:val="22"/>
          <w:szCs w:val="22"/>
        </w:rPr>
        <w:t xml:space="preserve"> </w:t>
      </w:r>
      <w:proofErr w:type="spellStart"/>
      <w:r w:rsidRPr="00B60CC3">
        <w:rPr>
          <w:iCs/>
          <w:color w:val="000000"/>
          <w:sz w:val="22"/>
          <w:szCs w:val="22"/>
        </w:rPr>
        <w:t>Endocrinol</w:t>
      </w:r>
      <w:proofErr w:type="spellEnd"/>
      <w:r w:rsidRPr="00B60CC3">
        <w:rPr>
          <w:iCs/>
          <w:color w:val="000000"/>
          <w:sz w:val="22"/>
          <w:szCs w:val="22"/>
        </w:rPr>
        <w:t xml:space="preserve"> </w:t>
      </w:r>
      <w:proofErr w:type="spellStart"/>
      <w:r w:rsidRPr="00B60CC3">
        <w:rPr>
          <w:iCs/>
          <w:color w:val="000000"/>
          <w:sz w:val="22"/>
          <w:szCs w:val="22"/>
        </w:rPr>
        <w:t>Metab</w:t>
      </w:r>
      <w:proofErr w:type="spellEnd"/>
      <w:r>
        <w:rPr>
          <w:iCs/>
          <w:color w:val="000000"/>
          <w:sz w:val="22"/>
          <w:szCs w:val="22"/>
        </w:rPr>
        <w:t xml:space="preserve"> 2010</w:t>
      </w:r>
      <w:proofErr w:type="gramStart"/>
      <w:r>
        <w:rPr>
          <w:iCs/>
          <w:color w:val="000000"/>
          <w:sz w:val="22"/>
          <w:szCs w:val="22"/>
        </w:rPr>
        <w:t>;</w:t>
      </w:r>
      <w:r w:rsidRPr="00B60CC3">
        <w:rPr>
          <w:rStyle w:val="Strong"/>
          <w:b w:val="0"/>
          <w:bCs w:val="0"/>
          <w:color w:val="000000"/>
          <w:sz w:val="22"/>
          <w:szCs w:val="22"/>
        </w:rPr>
        <w:t>95:2536</w:t>
      </w:r>
      <w:proofErr w:type="gramEnd"/>
      <w:r w:rsidRPr="00B60CC3">
        <w:rPr>
          <w:rStyle w:val="Strong"/>
          <w:b w:val="0"/>
          <w:bCs w:val="0"/>
          <w:color w:val="000000"/>
          <w:sz w:val="22"/>
          <w:szCs w:val="22"/>
        </w:rPr>
        <w:t>-59.</w:t>
      </w:r>
    </w:p>
    <w:p w:rsidR="00A96C68" w:rsidRDefault="005A4904" w:rsidP="00A96C68">
      <w:pPr>
        <w:pStyle w:val="NoSpacing"/>
        <w:numPr>
          <w:ilvl w:val="0"/>
          <w:numId w:val="5"/>
        </w:numPr>
        <w:tabs>
          <w:tab w:val="left" w:pos="567"/>
        </w:tabs>
        <w:spacing w:before="120" w:line="360" w:lineRule="auto"/>
        <w:ind w:left="357" w:hanging="357"/>
        <w:rPr>
          <w:rStyle w:val="Strong"/>
          <w:b w:val="0"/>
          <w:bCs w:val="0"/>
          <w:color w:val="000000"/>
          <w:sz w:val="22"/>
          <w:szCs w:val="22"/>
        </w:rPr>
      </w:pPr>
      <w:proofErr w:type="spellStart"/>
      <w:r w:rsidRPr="00EC51CF">
        <w:rPr>
          <w:rStyle w:val="Strong"/>
          <w:b w:val="0"/>
          <w:bCs w:val="0"/>
          <w:color w:val="000000"/>
          <w:sz w:val="22"/>
          <w:szCs w:val="22"/>
        </w:rPr>
        <w:t>Yeap</w:t>
      </w:r>
      <w:proofErr w:type="spellEnd"/>
      <w:r w:rsidRPr="00EC51CF">
        <w:rPr>
          <w:rStyle w:val="Strong"/>
          <w:b w:val="0"/>
          <w:bCs w:val="0"/>
          <w:color w:val="000000"/>
          <w:sz w:val="22"/>
          <w:szCs w:val="22"/>
        </w:rPr>
        <w:t xml:space="preserve"> BB, Grossmann M, McLachlan RI, </w:t>
      </w:r>
      <w:proofErr w:type="spellStart"/>
      <w:r w:rsidRPr="00EC51CF">
        <w:rPr>
          <w:rStyle w:val="Strong"/>
          <w:b w:val="0"/>
          <w:bCs w:val="0"/>
          <w:color w:val="000000"/>
          <w:sz w:val="22"/>
          <w:szCs w:val="22"/>
        </w:rPr>
        <w:t>Handelsman</w:t>
      </w:r>
      <w:proofErr w:type="spellEnd"/>
      <w:r w:rsidRPr="00EC51CF">
        <w:rPr>
          <w:rStyle w:val="Strong"/>
          <w:b w:val="0"/>
          <w:bCs w:val="0"/>
          <w:color w:val="000000"/>
          <w:sz w:val="22"/>
          <w:szCs w:val="22"/>
        </w:rPr>
        <w:t xml:space="preserve"> DJ, </w:t>
      </w:r>
      <w:proofErr w:type="spellStart"/>
      <w:r w:rsidRPr="00EC51CF">
        <w:rPr>
          <w:rStyle w:val="Strong"/>
          <w:b w:val="0"/>
          <w:bCs w:val="0"/>
          <w:color w:val="000000"/>
          <w:sz w:val="22"/>
          <w:szCs w:val="22"/>
        </w:rPr>
        <w:t>Wittert</w:t>
      </w:r>
      <w:proofErr w:type="spellEnd"/>
      <w:r w:rsidRPr="00EC51CF">
        <w:rPr>
          <w:rStyle w:val="Strong"/>
          <w:b w:val="0"/>
          <w:bCs w:val="0"/>
          <w:color w:val="000000"/>
          <w:sz w:val="22"/>
          <w:szCs w:val="22"/>
        </w:rPr>
        <w:t xml:space="preserve"> GA, et al. </w:t>
      </w:r>
      <w:r w:rsidRPr="00EC51CF">
        <w:rPr>
          <w:color w:val="000000"/>
          <w:sz w:val="22"/>
          <w:szCs w:val="22"/>
        </w:rPr>
        <w:t>Endocrine Society of Australia position statement on male hypogonadism (part 1): assessment and indications for testosterone therapy. Med J Aust. 2016</w:t>
      </w:r>
      <w:proofErr w:type="gramStart"/>
      <w:r w:rsidRPr="00EC51CF">
        <w:rPr>
          <w:color w:val="000000"/>
          <w:sz w:val="22"/>
          <w:szCs w:val="22"/>
        </w:rPr>
        <w:t>;205:173</w:t>
      </w:r>
      <w:proofErr w:type="gramEnd"/>
      <w:r w:rsidRPr="00EC51CF">
        <w:rPr>
          <w:color w:val="000000"/>
          <w:sz w:val="22"/>
          <w:szCs w:val="22"/>
        </w:rPr>
        <w:t>-8.</w:t>
      </w:r>
    </w:p>
    <w:p w:rsidR="00A96C68" w:rsidRDefault="005A4904" w:rsidP="00A96C68">
      <w:pPr>
        <w:pStyle w:val="NoSpacing"/>
        <w:numPr>
          <w:ilvl w:val="0"/>
          <w:numId w:val="5"/>
        </w:numPr>
        <w:tabs>
          <w:tab w:val="left" w:pos="567"/>
        </w:tabs>
        <w:spacing w:before="120" w:line="360" w:lineRule="auto"/>
        <w:ind w:left="357" w:hanging="357"/>
        <w:rPr>
          <w:rStyle w:val="HTMLCite"/>
          <w:i w:val="0"/>
          <w:iCs w:val="0"/>
          <w:color w:val="000000"/>
          <w:sz w:val="22"/>
          <w:szCs w:val="22"/>
        </w:rPr>
      </w:pPr>
      <w:proofErr w:type="spellStart"/>
      <w:r w:rsidRPr="00A96C68">
        <w:rPr>
          <w:rStyle w:val="Strong"/>
          <w:b w:val="0"/>
          <w:bCs w:val="0"/>
          <w:color w:val="000000"/>
          <w:kern w:val="22"/>
          <w:sz w:val="22"/>
          <w:szCs w:val="22"/>
        </w:rPr>
        <w:t>Vermeulen</w:t>
      </w:r>
      <w:proofErr w:type="spellEnd"/>
      <w:r w:rsidRPr="00A96C68">
        <w:rPr>
          <w:rStyle w:val="Strong"/>
          <w:b w:val="0"/>
          <w:bCs w:val="0"/>
          <w:color w:val="000000"/>
          <w:kern w:val="22"/>
          <w:sz w:val="22"/>
          <w:szCs w:val="22"/>
        </w:rPr>
        <w:t xml:space="preserve"> A, </w:t>
      </w:r>
      <w:proofErr w:type="spellStart"/>
      <w:r w:rsidRPr="00A96C68">
        <w:rPr>
          <w:rStyle w:val="Strong"/>
          <w:b w:val="0"/>
          <w:bCs w:val="0"/>
          <w:color w:val="000000"/>
          <w:kern w:val="22"/>
          <w:sz w:val="22"/>
          <w:szCs w:val="22"/>
        </w:rPr>
        <w:t>Verdonck</w:t>
      </w:r>
      <w:proofErr w:type="spellEnd"/>
      <w:r w:rsidRPr="00A96C68">
        <w:rPr>
          <w:rStyle w:val="Strong"/>
          <w:b w:val="0"/>
          <w:bCs w:val="0"/>
          <w:color w:val="000000"/>
          <w:kern w:val="22"/>
          <w:sz w:val="22"/>
          <w:szCs w:val="22"/>
        </w:rPr>
        <w:t xml:space="preserve"> L, Kaufman JM</w:t>
      </w:r>
      <w:r w:rsidRPr="00A96C68">
        <w:rPr>
          <w:rStyle w:val="HTMLCite"/>
          <w:i w:val="0"/>
          <w:iCs w:val="0"/>
          <w:color w:val="000000"/>
          <w:kern w:val="22"/>
          <w:sz w:val="22"/>
          <w:szCs w:val="22"/>
        </w:rPr>
        <w:t>. A critical evaluation of simple methods for the estimation of free testosterone in serum</w:t>
      </w:r>
      <w:r w:rsidRPr="00A96C68">
        <w:rPr>
          <w:rStyle w:val="HTMLCite"/>
          <w:i w:val="0"/>
          <w:color w:val="000000"/>
          <w:kern w:val="22"/>
          <w:sz w:val="22"/>
          <w:szCs w:val="22"/>
        </w:rPr>
        <w:t>.</w:t>
      </w:r>
      <w:r w:rsidRPr="00A96C68">
        <w:rPr>
          <w:rStyle w:val="HTMLCite"/>
          <w:color w:val="000000"/>
          <w:kern w:val="22"/>
          <w:sz w:val="22"/>
          <w:szCs w:val="22"/>
        </w:rPr>
        <w:t xml:space="preserve"> </w:t>
      </w:r>
      <w:r w:rsidRPr="00A96C68">
        <w:rPr>
          <w:rStyle w:val="cit-source"/>
          <w:iCs/>
          <w:color w:val="000000"/>
          <w:kern w:val="22"/>
          <w:sz w:val="22"/>
          <w:szCs w:val="22"/>
        </w:rPr>
        <w:t xml:space="preserve">J </w:t>
      </w:r>
      <w:proofErr w:type="spellStart"/>
      <w:r w:rsidRPr="00A96C68">
        <w:rPr>
          <w:rStyle w:val="cit-source"/>
          <w:iCs/>
          <w:color w:val="000000"/>
          <w:kern w:val="22"/>
          <w:sz w:val="22"/>
          <w:szCs w:val="22"/>
        </w:rPr>
        <w:t>Clin</w:t>
      </w:r>
      <w:proofErr w:type="spellEnd"/>
      <w:r w:rsidRPr="00A96C68">
        <w:rPr>
          <w:rStyle w:val="cit-source"/>
          <w:iCs/>
          <w:color w:val="000000"/>
          <w:kern w:val="22"/>
          <w:sz w:val="22"/>
          <w:szCs w:val="22"/>
        </w:rPr>
        <w:t xml:space="preserve"> </w:t>
      </w:r>
      <w:proofErr w:type="spellStart"/>
      <w:r w:rsidRPr="00A96C68">
        <w:rPr>
          <w:rStyle w:val="cit-source"/>
          <w:iCs/>
          <w:color w:val="000000"/>
          <w:kern w:val="22"/>
          <w:sz w:val="22"/>
          <w:szCs w:val="22"/>
        </w:rPr>
        <w:t>Endocrinol</w:t>
      </w:r>
      <w:proofErr w:type="spellEnd"/>
      <w:r w:rsidRPr="00A96C68">
        <w:rPr>
          <w:rStyle w:val="cit-source"/>
          <w:iCs/>
          <w:color w:val="000000"/>
          <w:kern w:val="22"/>
          <w:sz w:val="22"/>
          <w:szCs w:val="22"/>
        </w:rPr>
        <w:t xml:space="preserve"> </w:t>
      </w:r>
      <w:proofErr w:type="spellStart"/>
      <w:r w:rsidRPr="00A96C68">
        <w:rPr>
          <w:rStyle w:val="cit-source"/>
          <w:iCs/>
          <w:color w:val="000000"/>
          <w:kern w:val="22"/>
          <w:sz w:val="22"/>
          <w:szCs w:val="22"/>
        </w:rPr>
        <w:t>Metab</w:t>
      </w:r>
      <w:proofErr w:type="spellEnd"/>
      <w:r w:rsidRPr="00A96C68">
        <w:rPr>
          <w:rStyle w:val="cit-source"/>
          <w:color w:val="000000"/>
          <w:kern w:val="22"/>
          <w:sz w:val="22"/>
          <w:szCs w:val="22"/>
        </w:rPr>
        <w:t xml:space="preserve"> 1999</w:t>
      </w:r>
      <w:proofErr w:type="gramStart"/>
      <w:r w:rsidRPr="00A96C68">
        <w:rPr>
          <w:rStyle w:val="cit-source"/>
          <w:color w:val="000000"/>
          <w:kern w:val="22"/>
          <w:sz w:val="22"/>
          <w:szCs w:val="22"/>
        </w:rPr>
        <w:t>;</w:t>
      </w:r>
      <w:r w:rsidRPr="00A96C68">
        <w:rPr>
          <w:rStyle w:val="cit-vol3"/>
          <w:color w:val="000000"/>
          <w:kern w:val="22"/>
          <w:sz w:val="22"/>
          <w:szCs w:val="22"/>
        </w:rPr>
        <w:t>84</w:t>
      </w:r>
      <w:r w:rsidRPr="00A96C68">
        <w:rPr>
          <w:rStyle w:val="HTMLCite"/>
          <w:iCs w:val="0"/>
          <w:color w:val="000000"/>
          <w:kern w:val="22"/>
          <w:sz w:val="22"/>
          <w:szCs w:val="22"/>
        </w:rPr>
        <w:t>:</w:t>
      </w:r>
      <w:r w:rsidRPr="00A96C68">
        <w:rPr>
          <w:rStyle w:val="cit-fpage"/>
          <w:color w:val="000000"/>
          <w:kern w:val="22"/>
          <w:sz w:val="22"/>
          <w:szCs w:val="22"/>
        </w:rPr>
        <w:t>3666</w:t>
      </w:r>
      <w:proofErr w:type="gramEnd"/>
      <w:r w:rsidRPr="00A96C68">
        <w:rPr>
          <w:rStyle w:val="cit-fpage"/>
          <w:color w:val="000000"/>
          <w:kern w:val="22"/>
          <w:sz w:val="22"/>
          <w:szCs w:val="22"/>
        </w:rPr>
        <w:t>-72.</w:t>
      </w:r>
    </w:p>
    <w:p w:rsidR="00A96C68" w:rsidRDefault="005A4904" w:rsidP="00A96C68">
      <w:pPr>
        <w:pStyle w:val="NoSpacing"/>
        <w:numPr>
          <w:ilvl w:val="0"/>
          <w:numId w:val="5"/>
        </w:numPr>
        <w:tabs>
          <w:tab w:val="left" w:pos="567"/>
        </w:tabs>
        <w:spacing w:before="120" w:line="360" w:lineRule="auto"/>
        <w:ind w:left="357" w:hanging="357"/>
        <w:rPr>
          <w:color w:val="000000"/>
          <w:sz w:val="22"/>
          <w:szCs w:val="22"/>
        </w:rPr>
      </w:pPr>
      <w:proofErr w:type="spellStart"/>
      <w:r w:rsidRPr="00A96C68">
        <w:rPr>
          <w:sz w:val="22"/>
          <w:szCs w:val="22"/>
        </w:rPr>
        <w:t>Ferrucci</w:t>
      </w:r>
      <w:proofErr w:type="spellEnd"/>
      <w:r w:rsidRPr="00A96C68">
        <w:rPr>
          <w:sz w:val="22"/>
          <w:szCs w:val="22"/>
        </w:rPr>
        <w:t xml:space="preserve"> L, Maggio M, </w:t>
      </w:r>
      <w:proofErr w:type="spellStart"/>
      <w:r w:rsidRPr="00A96C68">
        <w:rPr>
          <w:sz w:val="22"/>
          <w:szCs w:val="22"/>
        </w:rPr>
        <w:t>Bandinelli</w:t>
      </w:r>
      <w:proofErr w:type="spellEnd"/>
      <w:r w:rsidRPr="00A96C68">
        <w:rPr>
          <w:sz w:val="22"/>
          <w:szCs w:val="22"/>
        </w:rPr>
        <w:t xml:space="preserve"> S, </w:t>
      </w:r>
      <w:proofErr w:type="spellStart"/>
      <w:r w:rsidRPr="00A96C68">
        <w:rPr>
          <w:sz w:val="22"/>
          <w:szCs w:val="22"/>
        </w:rPr>
        <w:t>Basaria</w:t>
      </w:r>
      <w:proofErr w:type="spellEnd"/>
      <w:r w:rsidRPr="00A96C68">
        <w:rPr>
          <w:sz w:val="22"/>
          <w:szCs w:val="22"/>
        </w:rPr>
        <w:t xml:space="preserve"> S, </w:t>
      </w:r>
      <w:proofErr w:type="spellStart"/>
      <w:r w:rsidRPr="00A96C68">
        <w:rPr>
          <w:sz w:val="22"/>
          <w:szCs w:val="22"/>
        </w:rPr>
        <w:t>Lauretani</w:t>
      </w:r>
      <w:proofErr w:type="spellEnd"/>
      <w:r w:rsidRPr="00A96C68">
        <w:rPr>
          <w:sz w:val="22"/>
          <w:szCs w:val="22"/>
        </w:rPr>
        <w:t xml:space="preserve"> F, et al. Low testosterone levels and the risk of </w:t>
      </w:r>
      <w:proofErr w:type="spellStart"/>
      <w:r w:rsidRPr="00A96C68">
        <w:rPr>
          <w:sz w:val="22"/>
          <w:szCs w:val="22"/>
        </w:rPr>
        <w:t>anemia</w:t>
      </w:r>
      <w:proofErr w:type="spellEnd"/>
      <w:r w:rsidRPr="00A96C68">
        <w:rPr>
          <w:sz w:val="22"/>
          <w:szCs w:val="22"/>
        </w:rPr>
        <w:t xml:space="preserve"> in older men and women. Arch Intern Med. 2006</w:t>
      </w:r>
      <w:proofErr w:type="gramStart"/>
      <w:r w:rsidRPr="00A96C68">
        <w:rPr>
          <w:sz w:val="22"/>
          <w:szCs w:val="22"/>
        </w:rPr>
        <w:t>;166:1380</w:t>
      </w:r>
      <w:proofErr w:type="gramEnd"/>
      <w:r w:rsidRPr="00A96C68">
        <w:rPr>
          <w:sz w:val="22"/>
          <w:szCs w:val="22"/>
        </w:rPr>
        <w:t>-8.</w:t>
      </w:r>
    </w:p>
    <w:p w:rsidR="00A96C68" w:rsidRPr="00A96C68" w:rsidRDefault="005A4904" w:rsidP="00A96C68">
      <w:pPr>
        <w:pStyle w:val="NoSpacing"/>
        <w:numPr>
          <w:ilvl w:val="0"/>
          <w:numId w:val="5"/>
        </w:numPr>
        <w:tabs>
          <w:tab w:val="left" w:pos="567"/>
        </w:tabs>
        <w:spacing w:before="120" w:line="360" w:lineRule="auto"/>
        <w:ind w:left="357" w:hanging="357"/>
        <w:rPr>
          <w:color w:val="000000"/>
          <w:sz w:val="22"/>
          <w:szCs w:val="22"/>
        </w:rPr>
      </w:pPr>
      <w:proofErr w:type="spellStart"/>
      <w:r w:rsidRPr="00A96C68">
        <w:rPr>
          <w:sz w:val="22"/>
          <w:szCs w:val="22"/>
        </w:rPr>
        <w:t>Paller</w:t>
      </w:r>
      <w:proofErr w:type="spellEnd"/>
      <w:r w:rsidRPr="00A96C68">
        <w:rPr>
          <w:sz w:val="22"/>
          <w:szCs w:val="22"/>
        </w:rPr>
        <w:t xml:space="preserve"> CJ, </w:t>
      </w:r>
      <w:proofErr w:type="spellStart"/>
      <w:r w:rsidRPr="00A96C68">
        <w:rPr>
          <w:sz w:val="22"/>
          <w:szCs w:val="22"/>
        </w:rPr>
        <w:t>Shiels</w:t>
      </w:r>
      <w:proofErr w:type="spellEnd"/>
      <w:r w:rsidRPr="00A96C68">
        <w:rPr>
          <w:sz w:val="22"/>
          <w:szCs w:val="22"/>
        </w:rPr>
        <w:t xml:space="preserve"> MS, </w:t>
      </w:r>
      <w:proofErr w:type="spellStart"/>
      <w:r w:rsidRPr="00A96C68">
        <w:rPr>
          <w:sz w:val="22"/>
          <w:szCs w:val="22"/>
        </w:rPr>
        <w:t>Rohrmann</w:t>
      </w:r>
      <w:proofErr w:type="spellEnd"/>
      <w:r w:rsidRPr="00A96C68">
        <w:rPr>
          <w:sz w:val="22"/>
          <w:szCs w:val="22"/>
        </w:rPr>
        <w:t xml:space="preserve"> S, </w:t>
      </w:r>
      <w:proofErr w:type="spellStart"/>
      <w:r w:rsidRPr="00A96C68">
        <w:rPr>
          <w:sz w:val="22"/>
          <w:szCs w:val="22"/>
        </w:rPr>
        <w:t>Basaria</w:t>
      </w:r>
      <w:proofErr w:type="spellEnd"/>
      <w:r w:rsidRPr="00A96C68">
        <w:rPr>
          <w:sz w:val="22"/>
          <w:szCs w:val="22"/>
        </w:rPr>
        <w:t xml:space="preserve"> S, Rifai N</w:t>
      </w:r>
      <w:r w:rsidRPr="00A96C68">
        <w:rPr>
          <w:rStyle w:val="Strong"/>
          <w:b w:val="0"/>
          <w:bCs w:val="0"/>
          <w:color w:val="000000"/>
          <w:sz w:val="22"/>
          <w:szCs w:val="22"/>
        </w:rPr>
        <w:t xml:space="preserve">, </w:t>
      </w:r>
      <w:r w:rsidRPr="00A96C68">
        <w:rPr>
          <w:rStyle w:val="Strong"/>
          <w:b w:val="0"/>
          <w:bCs w:val="0"/>
          <w:iCs/>
          <w:color w:val="000000"/>
          <w:sz w:val="22"/>
          <w:szCs w:val="22"/>
        </w:rPr>
        <w:t>et al</w:t>
      </w:r>
      <w:r w:rsidRPr="00A96C68">
        <w:rPr>
          <w:rStyle w:val="Strong"/>
          <w:b w:val="0"/>
          <w:bCs w:val="0"/>
          <w:color w:val="000000"/>
          <w:sz w:val="22"/>
          <w:szCs w:val="22"/>
        </w:rPr>
        <w:t>.</w:t>
      </w:r>
      <w:r w:rsidRPr="00A96C68">
        <w:rPr>
          <w:sz w:val="22"/>
          <w:szCs w:val="22"/>
        </w:rPr>
        <w:t xml:space="preserve"> Relationship of sex steroid hormones with bone mineral density in a nationally representative sample of men.</w:t>
      </w:r>
      <w:r w:rsidRPr="00A96C68">
        <w:rPr>
          <w:iCs/>
          <w:sz w:val="22"/>
          <w:szCs w:val="22"/>
        </w:rPr>
        <w:t xml:space="preserve"> </w:t>
      </w:r>
      <w:proofErr w:type="spellStart"/>
      <w:r w:rsidRPr="00A96C68">
        <w:rPr>
          <w:iCs/>
          <w:sz w:val="22"/>
          <w:szCs w:val="22"/>
        </w:rPr>
        <w:t>Clin</w:t>
      </w:r>
      <w:proofErr w:type="spellEnd"/>
      <w:r w:rsidRPr="00A96C68">
        <w:rPr>
          <w:iCs/>
          <w:sz w:val="22"/>
          <w:szCs w:val="22"/>
        </w:rPr>
        <w:t xml:space="preserve"> </w:t>
      </w:r>
      <w:proofErr w:type="spellStart"/>
      <w:r w:rsidRPr="00A96C68">
        <w:rPr>
          <w:iCs/>
          <w:sz w:val="22"/>
          <w:szCs w:val="22"/>
        </w:rPr>
        <w:t>Endocrinol</w:t>
      </w:r>
      <w:proofErr w:type="spellEnd"/>
      <w:r w:rsidRPr="00A96C68">
        <w:rPr>
          <w:sz w:val="22"/>
          <w:szCs w:val="22"/>
        </w:rPr>
        <w:t xml:space="preserve"> 2009</w:t>
      </w:r>
      <w:proofErr w:type="gramStart"/>
      <w:r w:rsidRPr="00A96C68">
        <w:rPr>
          <w:sz w:val="22"/>
          <w:szCs w:val="22"/>
        </w:rPr>
        <w:t>;70:</w:t>
      </w:r>
      <w:r w:rsidR="00A96C68">
        <w:rPr>
          <w:sz w:val="22"/>
          <w:szCs w:val="22"/>
        </w:rPr>
        <w:t>26</w:t>
      </w:r>
      <w:proofErr w:type="gramEnd"/>
      <w:r w:rsidR="00A96C68">
        <w:rPr>
          <w:sz w:val="22"/>
          <w:szCs w:val="22"/>
        </w:rPr>
        <w:t>-34.</w:t>
      </w:r>
    </w:p>
    <w:p w:rsidR="00AD2E5F" w:rsidRPr="00A96C68" w:rsidRDefault="005A4904" w:rsidP="00A96C68">
      <w:pPr>
        <w:pStyle w:val="NoSpacing"/>
        <w:numPr>
          <w:ilvl w:val="0"/>
          <w:numId w:val="5"/>
        </w:numPr>
        <w:tabs>
          <w:tab w:val="left" w:pos="567"/>
        </w:tabs>
        <w:spacing w:before="120" w:line="360" w:lineRule="auto"/>
        <w:ind w:left="357" w:hanging="357"/>
        <w:rPr>
          <w:color w:val="000000"/>
          <w:sz w:val="22"/>
          <w:szCs w:val="22"/>
        </w:rPr>
      </w:pPr>
      <w:r w:rsidRPr="00A96C68">
        <w:rPr>
          <w:sz w:val="22"/>
          <w:szCs w:val="22"/>
        </w:rPr>
        <w:t xml:space="preserve">Antonio L, Wu FCW, O’Neill T, </w:t>
      </w:r>
      <w:proofErr w:type="spellStart"/>
      <w:r w:rsidRPr="00A96C68">
        <w:rPr>
          <w:sz w:val="22"/>
          <w:szCs w:val="22"/>
        </w:rPr>
        <w:t>Pye</w:t>
      </w:r>
      <w:proofErr w:type="spellEnd"/>
      <w:r w:rsidRPr="00A96C68">
        <w:rPr>
          <w:sz w:val="22"/>
          <w:szCs w:val="22"/>
        </w:rPr>
        <w:t xml:space="preserve"> S, Carter E</w:t>
      </w:r>
      <w:r w:rsidRPr="00A96C68">
        <w:rPr>
          <w:rStyle w:val="Strong"/>
          <w:b w:val="0"/>
          <w:bCs w:val="0"/>
          <w:color w:val="000000"/>
          <w:sz w:val="22"/>
          <w:szCs w:val="22"/>
        </w:rPr>
        <w:t xml:space="preserve">, </w:t>
      </w:r>
      <w:r w:rsidRPr="00A96C68">
        <w:rPr>
          <w:rStyle w:val="Strong"/>
          <w:b w:val="0"/>
          <w:bCs w:val="0"/>
          <w:iCs/>
          <w:color w:val="000000"/>
          <w:sz w:val="22"/>
          <w:szCs w:val="22"/>
        </w:rPr>
        <w:t>et al.</w:t>
      </w:r>
      <w:r w:rsidRPr="00A96C68">
        <w:rPr>
          <w:sz w:val="22"/>
          <w:szCs w:val="22"/>
        </w:rPr>
        <w:t xml:space="preserve"> Low free testosterone is associated with </w:t>
      </w:r>
      <w:proofErr w:type="spellStart"/>
      <w:r w:rsidRPr="00A96C68">
        <w:rPr>
          <w:sz w:val="22"/>
          <w:szCs w:val="22"/>
        </w:rPr>
        <w:t>hypogonadal</w:t>
      </w:r>
      <w:proofErr w:type="spellEnd"/>
      <w:r w:rsidRPr="00A96C68">
        <w:rPr>
          <w:sz w:val="22"/>
          <w:szCs w:val="22"/>
        </w:rPr>
        <w:t xml:space="preserve"> symptoms in men with normal total testosterone levels: results from the European male ageing study. </w:t>
      </w:r>
      <w:r w:rsidRPr="00A96C68">
        <w:rPr>
          <w:iCs/>
          <w:sz w:val="22"/>
          <w:szCs w:val="22"/>
        </w:rPr>
        <w:t>Endocrine Abstracts</w:t>
      </w:r>
      <w:r w:rsidRPr="00A96C68">
        <w:rPr>
          <w:sz w:val="22"/>
          <w:szCs w:val="22"/>
        </w:rPr>
        <w:t xml:space="preserve"> 2015</w:t>
      </w:r>
      <w:proofErr w:type="gramStart"/>
      <w:r w:rsidRPr="00A96C68">
        <w:rPr>
          <w:sz w:val="22"/>
          <w:szCs w:val="22"/>
        </w:rPr>
        <w:t>;37:OC2.4</w:t>
      </w:r>
      <w:proofErr w:type="gramEnd"/>
      <w:r w:rsidRPr="00A96C68">
        <w:rPr>
          <w:sz w:val="22"/>
          <w:szCs w:val="22"/>
        </w:rPr>
        <w:t xml:space="preserve">. </w:t>
      </w:r>
    </w:p>
    <w:sectPr w:rsidR="00AD2E5F" w:rsidRPr="00A96C68" w:rsidSect="00A96C68">
      <w:headerReference w:type="default" r:id="rId9"/>
      <w:footnotePr>
        <w:numFmt w:val="chicago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54" w:rsidRDefault="007C5954" w:rsidP="00C119B0">
      <w:pPr>
        <w:spacing w:line="240" w:lineRule="auto"/>
      </w:pPr>
      <w:r>
        <w:separator/>
      </w:r>
    </w:p>
  </w:endnote>
  <w:endnote w:type="continuationSeparator" w:id="0">
    <w:p w:rsidR="007C5954" w:rsidRDefault="007C5954" w:rsidP="00C11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54" w:rsidRDefault="007C5954" w:rsidP="00C119B0">
      <w:pPr>
        <w:spacing w:line="240" w:lineRule="auto"/>
      </w:pPr>
      <w:r>
        <w:separator/>
      </w:r>
    </w:p>
  </w:footnote>
  <w:footnote w:type="continuationSeparator" w:id="0">
    <w:p w:rsidR="007C5954" w:rsidRDefault="007C5954" w:rsidP="00C119B0">
      <w:pPr>
        <w:spacing w:line="240" w:lineRule="auto"/>
      </w:pPr>
      <w:r>
        <w:continuationSeparator/>
      </w:r>
    </w:p>
  </w:footnote>
  <w:footnote w:id="1">
    <w:p w:rsidR="002A5C15" w:rsidRDefault="002A5C15" w:rsidP="002A5C15">
      <w:pPr>
        <w:pStyle w:val="FootnoteText"/>
        <w:spacing w:line="360" w:lineRule="auto"/>
        <w:rPr>
          <w:bCs/>
        </w:rPr>
      </w:pPr>
      <w:r>
        <w:rPr>
          <w:rStyle w:val="FootnoteReference"/>
        </w:rPr>
        <w:footnoteRef/>
      </w:r>
      <w:r>
        <w:t xml:space="preserve"> c-</w:t>
      </w:r>
      <w:proofErr w:type="spellStart"/>
      <w:r>
        <w:t>fT</w:t>
      </w:r>
      <w:proofErr w:type="spellEnd"/>
      <w:r>
        <w:t xml:space="preserve"> = </w:t>
      </w:r>
      <w:r w:rsidRPr="00C37F57">
        <w:rPr>
          <w:bCs/>
        </w:rPr>
        <w:t>{</w:t>
      </w:r>
      <w:r w:rsidRPr="00C37F57">
        <w:rPr>
          <w:bCs/>
        </w:rPr>
        <w:sym w:font="Symbol" w:char="F0D6"/>
      </w:r>
      <w:r w:rsidRPr="00C37F57">
        <w:rPr>
          <w:bCs/>
        </w:rPr>
        <w:t xml:space="preserve">[(SHBG - </w:t>
      </w:r>
      <w:proofErr w:type="spellStart"/>
      <w:r w:rsidRPr="00C37F57">
        <w:rPr>
          <w:bCs/>
        </w:rPr>
        <w:t>tT</w:t>
      </w:r>
      <w:proofErr w:type="spellEnd"/>
      <w:r w:rsidRPr="00C37F57">
        <w:rPr>
          <w:bCs/>
        </w:rPr>
        <w:t xml:space="preserve"> + albumin)</w:t>
      </w:r>
      <w:r w:rsidRPr="00C37F57">
        <w:rPr>
          <w:bCs/>
          <w:vertAlign w:val="superscript"/>
        </w:rPr>
        <w:t>2</w:t>
      </w:r>
      <w:r w:rsidRPr="00C37F57">
        <w:rPr>
          <w:bCs/>
        </w:rPr>
        <w:t xml:space="preserve"> + (2 x albumin x </w:t>
      </w:r>
      <w:proofErr w:type="spellStart"/>
      <w:r w:rsidRPr="00C37F57">
        <w:rPr>
          <w:bCs/>
        </w:rPr>
        <w:t>tT</w:t>
      </w:r>
      <w:proofErr w:type="spellEnd"/>
      <w:r w:rsidRPr="00C37F57">
        <w:rPr>
          <w:bCs/>
        </w:rPr>
        <w:t xml:space="preserve">)] - (SHBG - </w:t>
      </w:r>
      <w:proofErr w:type="spellStart"/>
      <w:r w:rsidRPr="00C37F57">
        <w:rPr>
          <w:bCs/>
        </w:rPr>
        <w:t>tT</w:t>
      </w:r>
      <w:proofErr w:type="spellEnd"/>
      <w:r w:rsidRPr="00C37F57">
        <w:rPr>
          <w:bCs/>
        </w:rPr>
        <w:t xml:space="preserve"> + ½ albumin)} / 0.001 albumin</w:t>
      </w:r>
    </w:p>
    <w:p w:rsidR="002A5C15" w:rsidRPr="00290BE4" w:rsidRDefault="002A5C15" w:rsidP="002A5C15">
      <w:pPr>
        <w:pStyle w:val="FootnoteText"/>
        <w:spacing w:line="360" w:lineRule="auto"/>
        <w:rPr>
          <w:b/>
          <w:bCs/>
        </w:rPr>
      </w:pPr>
      <w:r>
        <w:rPr>
          <w:bCs/>
        </w:rPr>
        <w:t xml:space="preserve">  [Normal Range in our laboratory: 215-760 </w:t>
      </w:r>
      <w:proofErr w:type="spellStart"/>
      <w:r>
        <w:rPr>
          <w:bCs/>
        </w:rPr>
        <w:t>pmol</w:t>
      </w:r>
      <w:proofErr w:type="spellEnd"/>
      <w:r>
        <w:rPr>
          <w:bCs/>
        </w:rPr>
        <w:t xml:space="preserve">/l when </w:t>
      </w:r>
      <w:proofErr w:type="spellStart"/>
      <w:r>
        <w:rPr>
          <w:bCs/>
        </w:rPr>
        <w:t>tT</w:t>
      </w:r>
      <w:proofErr w:type="spellEnd"/>
      <w:r>
        <w:rPr>
          <w:bCs/>
        </w:rPr>
        <w:t xml:space="preserve"> and SHBG are expressed in </w:t>
      </w:r>
      <w:proofErr w:type="spellStart"/>
      <w:r>
        <w:rPr>
          <w:bCs/>
        </w:rPr>
        <w:t>nmol</w:t>
      </w:r>
      <w:proofErr w:type="spellEnd"/>
      <w:r>
        <w:rPr>
          <w:bCs/>
        </w:rPr>
        <w:t>/l and albumin in g/l]</w:t>
      </w:r>
    </w:p>
    <w:p w:rsidR="002A5C15" w:rsidRDefault="002A5C1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3E4F9A" w:rsidTr="003E4F9A">
      <w:tc>
        <w:tcPr>
          <w:tcW w:w="4927" w:type="dxa"/>
        </w:tcPr>
        <w:p w:rsidR="003E4F9A" w:rsidRDefault="003E4F9A" w:rsidP="00D35C9E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Testosterone &amp; </w:t>
          </w:r>
          <w:proofErr w:type="spellStart"/>
          <w:r>
            <w:rPr>
              <w:b/>
              <w:bCs/>
              <w:sz w:val="20"/>
              <w:szCs w:val="20"/>
            </w:rPr>
            <w:t>hematopoiesis</w:t>
          </w:r>
          <w:proofErr w:type="spellEnd"/>
          <w:r>
            <w:rPr>
              <w:b/>
              <w:bCs/>
              <w:sz w:val="20"/>
              <w:szCs w:val="20"/>
            </w:rPr>
            <w:t xml:space="preserve"> in men</w:t>
          </w:r>
        </w:p>
      </w:tc>
      <w:tc>
        <w:tcPr>
          <w:tcW w:w="4927" w:type="dxa"/>
        </w:tcPr>
        <w:p w:rsidR="003E4F9A" w:rsidRDefault="003E4F9A" w:rsidP="003E4F9A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3E4F9A">
            <w:rPr>
              <w:b/>
              <w:bCs/>
              <w:sz w:val="20"/>
              <w:szCs w:val="20"/>
            </w:rPr>
            <w:t xml:space="preserve">Page </w:t>
          </w:r>
          <w:r w:rsidRPr="003E4F9A">
            <w:rPr>
              <w:b/>
              <w:bCs/>
              <w:sz w:val="20"/>
              <w:szCs w:val="20"/>
            </w:rPr>
            <w:fldChar w:fldCharType="begin"/>
          </w:r>
          <w:r w:rsidRPr="003E4F9A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E4F9A">
            <w:rPr>
              <w:b/>
              <w:bCs/>
              <w:sz w:val="20"/>
              <w:szCs w:val="20"/>
            </w:rPr>
            <w:fldChar w:fldCharType="separate"/>
          </w:r>
          <w:r w:rsidR="00E65437">
            <w:rPr>
              <w:b/>
              <w:bCs/>
              <w:noProof/>
              <w:sz w:val="20"/>
              <w:szCs w:val="20"/>
            </w:rPr>
            <w:t>1</w:t>
          </w:r>
          <w:r w:rsidRPr="003E4F9A">
            <w:rPr>
              <w:b/>
              <w:bCs/>
              <w:sz w:val="20"/>
              <w:szCs w:val="20"/>
            </w:rPr>
            <w:fldChar w:fldCharType="end"/>
          </w:r>
          <w:r w:rsidRPr="003E4F9A">
            <w:rPr>
              <w:b/>
              <w:bCs/>
              <w:sz w:val="20"/>
              <w:szCs w:val="20"/>
            </w:rPr>
            <w:t xml:space="preserve"> of </w:t>
          </w:r>
          <w:r w:rsidRPr="003E4F9A">
            <w:rPr>
              <w:b/>
              <w:bCs/>
              <w:sz w:val="20"/>
              <w:szCs w:val="20"/>
            </w:rPr>
            <w:fldChar w:fldCharType="begin"/>
          </w:r>
          <w:r w:rsidRPr="003E4F9A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E4F9A">
            <w:rPr>
              <w:b/>
              <w:bCs/>
              <w:sz w:val="20"/>
              <w:szCs w:val="20"/>
            </w:rPr>
            <w:fldChar w:fldCharType="separate"/>
          </w:r>
          <w:r w:rsidR="00E65437">
            <w:rPr>
              <w:b/>
              <w:bCs/>
              <w:noProof/>
              <w:sz w:val="20"/>
              <w:szCs w:val="20"/>
            </w:rPr>
            <w:t>5</w:t>
          </w:r>
          <w:r w:rsidRPr="003E4F9A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AD2E5F" w:rsidRDefault="00AD2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94C8FEA"/>
    <w:name w:val="WW8Num3"/>
    <w:lvl w:ilvl="0">
      <w:start w:val="1"/>
      <w:numFmt w:val="decimal"/>
      <w:lvlText w:val="%1."/>
      <w:lvlJc w:val="left"/>
      <w:pPr>
        <w:tabs>
          <w:tab w:val="num" w:pos="-1134"/>
        </w:tabs>
        <w:ind w:left="-1134"/>
      </w:pPr>
    </w:lvl>
    <w:lvl w:ilvl="1">
      <w:start w:val="1"/>
      <w:numFmt w:val="decimal"/>
      <w:suff w:val="nothing"/>
      <w:lvlText w:val="%2."/>
      <w:lvlJc w:val="left"/>
      <w:pPr>
        <w:tabs>
          <w:tab w:val="num" w:pos="-1134"/>
        </w:tabs>
        <w:ind w:left="-1134"/>
      </w:pPr>
    </w:lvl>
    <w:lvl w:ilvl="2">
      <w:start w:val="1"/>
      <w:numFmt w:val="decimal"/>
      <w:suff w:val="nothing"/>
      <w:lvlText w:val="%3."/>
      <w:lvlJc w:val="left"/>
      <w:pPr>
        <w:tabs>
          <w:tab w:val="num" w:pos="-1134"/>
        </w:tabs>
        <w:ind w:left="-1134"/>
      </w:pPr>
    </w:lvl>
    <w:lvl w:ilvl="3">
      <w:start w:val="1"/>
      <w:numFmt w:val="decimal"/>
      <w:suff w:val="nothing"/>
      <w:lvlText w:val="%4."/>
      <w:lvlJc w:val="left"/>
      <w:pPr>
        <w:tabs>
          <w:tab w:val="num" w:pos="-1134"/>
        </w:tabs>
        <w:ind w:left="-1134"/>
      </w:pPr>
    </w:lvl>
    <w:lvl w:ilvl="4">
      <w:start w:val="1"/>
      <w:numFmt w:val="decimal"/>
      <w:suff w:val="nothing"/>
      <w:lvlText w:val="%5."/>
      <w:lvlJc w:val="left"/>
      <w:pPr>
        <w:tabs>
          <w:tab w:val="num" w:pos="-1134"/>
        </w:tabs>
        <w:ind w:left="-1134"/>
      </w:pPr>
    </w:lvl>
    <w:lvl w:ilvl="5">
      <w:start w:val="1"/>
      <w:numFmt w:val="decimal"/>
      <w:suff w:val="nothing"/>
      <w:lvlText w:val="%6."/>
      <w:lvlJc w:val="left"/>
      <w:pPr>
        <w:tabs>
          <w:tab w:val="num" w:pos="-1134"/>
        </w:tabs>
        <w:ind w:left="-1134"/>
      </w:pPr>
    </w:lvl>
    <w:lvl w:ilvl="6">
      <w:start w:val="1"/>
      <w:numFmt w:val="decimal"/>
      <w:suff w:val="nothing"/>
      <w:lvlText w:val="%7."/>
      <w:lvlJc w:val="left"/>
      <w:pPr>
        <w:tabs>
          <w:tab w:val="num" w:pos="-1134"/>
        </w:tabs>
        <w:ind w:left="-1134"/>
      </w:pPr>
    </w:lvl>
    <w:lvl w:ilvl="7">
      <w:start w:val="1"/>
      <w:numFmt w:val="decimal"/>
      <w:suff w:val="nothing"/>
      <w:lvlText w:val="%8."/>
      <w:lvlJc w:val="left"/>
      <w:pPr>
        <w:tabs>
          <w:tab w:val="num" w:pos="-1134"/>
        </w:tabs>
        <w:ind w:left="-1134"/>
      </w:pPr>
    </w:lvl>
    <w:lvl w:ilvl="8">
      <w:start w:val="1"/>
      <w:numFmt w:val="decimal"/>
      <w:suff w:val="nothing"/>
      <w:lvlText w:val="%9."/>
      <w:lvlJc w:val="left"/>
      <w:pPr>
        <w:tabs>
          <w:tab w:val="num" w:pos="-1134"/>
        </w:tabs>
        <w:ind w:left="-1134"/>
      </w:pPr>
    </w:lvl>
  </w:abstractNum>
  <w:abstractNum w:abstractNumId="2">
    <w:nsid w:val="2BAC16F6"/>
    <w:multiLevelType w:val="hybridMultilevel"/>
    <w:tmpl w:val="633444B8"/>
    <w:lvl w:ilvl="0" w:tplc="B69AC4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>
    <w:nsid w:val="30E456DE"/>
    <w:multiLevelType w:val="hybridMultilevel"/>
    <w:tmpl w:val="D618E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B435B"/>
    <w:multiLevelType w:val="hybridMultilevel"/>
    <w:tmpl w:val="D55843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02"/>
    <w:rsid w:val="000040C0"/>
    <w:rsid w:val="00011429"/>
    <w:rsid w:val="00011BA7"/>
    <w:rsid w:val="00017695"/>
    <w:rsid w:val="00024F7E"/>
    <w:rsid w:val="00034E90"/>
    <w:rsid w:val="00040614"/>
    <w:rsid w:val="00046BCB"/>
    <w:rsid w:val="0005299F"/>
    <w:rsid w:val="00060E61"/>
    <w:rsid w:val="00063DD5"/>
    <w:rsid w:val="00064126"/>
    <w:rsid w:val="00081647"/>
    <w:rsid w:val="0009382E"/>
    <w:rsid w:val="000B217F"/>
    <w:rsid w:val="000D6640"/>
    <w:rsid w:val="001208C8"/>
    <w:rsid w:val="00134D33"/>
    <w:rsid w:val="00147D79"/>
    <w:rsid w:val="00155CC7"/>
    <w:rsid w:val="001603CF"/>
    <w:rsid w:val="00164EC4"/>
    <w:rsid w:val="001668BF"/>
    <w:rsid w:val="00182FD5"/>
    <w:rsid w:val="001964CE"/>
    <w:rsid w:val="001C5014"/>
    <w:rsid w:val="001C7482"/>
    <w:rsid w:val="001C7502"/>
    <w:rsid w:val="001D199A"/>
    <w:rsid w:val="001D2C66"/>
    <w:rsid w:val="001E5E6E"/>
    <w:rsid w:val="00205911"/>
    <w:rsid w:val="002136A2"/>
    <w:rsid w:val="002313DD"/>
    <w:rsid w:val="0023535B"/>
    <w:rsid w:val="0024578C"/>
    <w:rsid w:val="00261B2F"/>
    <w:rsid w:val="002645F4"/>
    <w:rsid w:val="00265E43"/>
    <w:rsid w:val="00267ED1"/>
    <w:rsid w:val="002813F5"/>
    <w:rsid w:val="002818A4"/>
    <w:rsid w:val="00284D00"/>
    <w:rsid w:val="00290BE4"/>
    <w:rsid w:val="002A0057"/>
    <w:rsid w:val="002A3D22"/>
    <w:rsid w:val="002A5C15"/>
    <w:rsid w:val="002B32EC"/>
    <w:rsid w:val="002C05EA"/>
    <w:rsid w:val="002C416A"/>
    <w:rsid w:val="002E1BCE"/>
    <w:rsid w:val="002E1DFB"/>
    <w:rsid w:val="002E6CBE"/>
    <w:rsid w:val="00346B7F"/>
    <w:rsid w:val="00346E79"/>
    <w:rsid w:val="00365ECE"/>
    <w:rsid w:val="003A2C5A"/>
    <w:rsid w:val="003A6052"/>
    <w:rsid w:val="003E26DC"/>
    <w:rsid w:val="003E2886"/>
    <w:rsid w:val="003E4F9A"/>
    <w:rsid w:val="003F0872"/>
    <w:rsid w:val="00400C71"/>
    <w:rsid w:val="00431D12"/>
    <w:rsid w:val="004441C8"/>
    <w:rsid w:val="00445A9E"/>
    <w:rsid w:val="004478A1"/>
    <w:rsid w:val="00457369"/>
    <w:rsid w:val="00470A93"/>
    <w:rsid w:val="004755AD"/>
    <w:rsid w:val="0048036B"/>
    <w:rsid w:val="00487B61"/>
    <w:rsid w:val="004A0BCB"/>
    <w:rsid w:val="004C35D4"/>
    <w:rsid w:val="004D2438"/>
    <w:rsid w:val="004D777C"/>
    <w:rsid w:val="004F3524"/>
    <w:rsid w:val="004F776A"/>
    <w:rsid w:val="00502EEA"/>
    <w:rsid w:val="00510652"/>
    <w:rsid w:val="00523786"/>
    <w:rsid w:val="00525E1A"/>
    <w:rsid w:val="00577CD3"/>
    <w:rsid w:val="00580B66"/>
    <w:rsid w:val="00593279"/>
    <w:rsid w:val="005A4904"/>
    <w:rsid w:val="005B2D4A"/>
    <w:rsid w:val="005B71B0"/>
    <w:rsid w:val="005D14DC"/>
    <w:rsid w:val="005D2932"/>
    <w:rsid w:val="005F3919"/>
    <w:rsid w:val="006002BB"/>
    <w:rsid w:val="00604A25"/>
    <w:rsid w:val="006123BC"/>
    <w:rsid w:val="006202E1"/>
    <w:rsid w:val="0062089E"/>
    <w:rsid w:val="006254CA"/>
    <w:rsid w:val="00652FCF"/>
    <w:rsid w:val="00655DF3"/>
    <w:rsid w:val="00665660"/>
    <w:rsid w:val="0067245D"/>
    <w:rsid w:val="00673C59"/>
    <w:rsid w:val="00680275"/>
    <w:rsid w:val="00686A25"/>
    <w:rsid w:val="006C5C14"/>
    <w:rsid w:val="006D2930"/>
    <w:rsid w:val="006D7292"/>
    <w:rsid w:val="006F4526"/>
    <w:rsid w:val="007119C3"/>
    <w:rsid w:val="007414CC"/>
    <w:rsid w:val="00756B85"/>
    <w:rsid w:val="00770EB9"/>
    <w:rsid w:val="007718F7"/>
    <w:rsid w:val="00794E5D"/>
    <w:rsid w:val="007A56B4"/>
    <w:rsid w:val="007B5D93"/>
    <w:rsid w:val="007C5954"/>
    <w:rsid w:val="007E0146"/>
    <w:rsid w:val="007E362E"/>
    <w:rsid w:val="008221C2"/>
    <w:rsid w:val="00823E33"/>
    <w:rsid w:val="008321D2"/>
    <w:rsid w:val="00883D8A"/>
    <w:rsid w:val="00887117"/>
    <w:rsid w:val="0089484D"/>
    <w:rsid w:val="008A0AA6"/>
    <w:rsid w:val="008C0FE6"/>
    <w:rsid w:val="008F566C"/>
    <w:rsid w:val="009106E9"/>
    <w:rsid w:val="00911770"/>
    <w:rsid w:val="009251ED"/>
    <w:rsid w:val="00931353"/>
    <w:rsid w:val="00932D68"/>
    <w:rsid w:val="00961DBE"/>
    <w:rsid w:val="00984983"/>
    <w:rsid w:val="00985A3F"/>
    <w:rsid w:val="00991AB4"/>
    <w:rsid w:val="00995F5D"/>
    <w:rsid w:val="009B4C96"/>
    <w:rsid w:val="00A03212"/>
    <w:rsid w:val="00A118C1"/>
    <w:rsid w:val="00A279F6"/>
    <w:rsid w:val="00A34ABF"/>
    <w:rsid w:val="00A362D7"/>
    <w:rsid w:val="00A40159"/>
    <w:rsid w:val="00A43C67"/>
    <w:rsid w:val="00A6780C"/>
    <w:rsid w:val="00A678F4"/>
    <w:rsid w:val="00A710DF"/>
    <w:rsid w:val="00A73B98"/>
    <w:rsid w:val="00A8241A"/>
    <w:rsid w:val="00A85BEA"/>
    <w:rsid w:val="00A96C68"/>
    <w:rsid w:val="00AA7D07"/>
    <w:rsid w:val="00AC29D6"/>
    <w:rsid w:val="00AD2E5F"/>
    <w:rsid w:val="00AE6CF3"/>
    <w:rsid w:val="00B14FED"/>
    <w:rsid w:val="00B21563"/>
    <w:rsid w:val="00B31B14"/>
    <w:rsid w:val="00B428A0"/>
    <w:rsid w:val="00B473EF"/>
    <w:rsid w:val="00B47604"/>
    <w:rsid w:val="00B5443C"/>
    <w:rsid w:val="00B60CC3"/>
    <w:rsid w:val="00B67817"/>
    <w:rsid w:val="00B7227D"/>
    <w:rsid w:val="00BC27D1"/>
    <w:rsid w:val="00BC401B"/>
    <w:rsid w:val="00BD2383"/>
    <w:rsid w:val="00BE36BB"/>
    <w:rsid w:val="00C119B0"/>
    <w:rsid w:val="00C255C2"/>
    <w:rsid w:val="00C26E56"/>
    <w:rsid w:val="00C37F57"/>
    <w:rsid w:val="00C4148B"/>
    <w:rsid w:val="00C57AD6"/>
    <w:rsid w:val="00C62AF3"/>
    <w:rsid w:val="00C81C57"/>
    <w:rsid w:val="00CB4D44"/>
    <w:rsid w:val="00CC6584"/>
    <w:rsid w:val="00CD2DC1"/>
    <w:rsid w:val="00CD5293"/>
    <w:rsid w:val="00CE6D8B"/>
    <w:rsid w:val="00CF1109"/>
    <w:rsid w:val="00D03162"/>
    <w:rsid w:val="00D05E78"/>
    <w:rsid w:val="00D20F8E"/>
    <w:rsid w:val="00D34E89"/>
    <w:rsid w:val="00D35C9E"/>
    <w:rsid w:val="00D53181"/>
    <w:rsid w:val="00D6730B"/>
    <w:rsid w:val="00D7108F"/>
    <w:rsid w:val="00D72A73"/>
    <w:rsid w:val="00D7573D"/>
    <w:rsid w:val="00D75A8A"/>
    <w:rsid w:val="00D83B7F"/>
    <w:rsid w:val="00DB499A"/>
    <w:rsid w:val="00DC00B1"/>
    <w:rsid w:val="00DC3EB3"/>
    <w:rsid w:val="00DE2EF0"/>
    <w:rsid w:val="00DE7358"/>
    <w:rsid w:val="00E17702"/>
    <w:rsid w:val="00E22EC0"/>
    <w:rsid w:val="00E25DF1"/>
    <w:rsid w:val="00E37EA6"/>
    <w:rsid w:val="00E45022"/>
    <w:rsid w:val="00E577B1"/>
    <w:rsid w:val="00E647F8"/>
    <w:rsid w:val="00E65437"/>
    <w:rsid w:val="00E8587A"/>
    <w:rsid w:val="00E8789A"/>
    <w:rsid w:val="00E97FE5"/>
    <w:rsid w:val="00EA0B57"/>
    <w:rsid w:val="00EB161F"/>
    <w:rsid w:val="00EC13E5"/>
    <w:rsid w:val="00EC51CF"/>
    <w:rsid w:val="00EF1B3E"/>
    <w:rsid w:val="00F025E9"/>
    <w:rsid w:val="00F11B1D"/>
    <w:rsid w:val="00F13ACA"/>
    <w:rsid w:val="00F179D0"/>
    <w:rsid w:val="00F66B99"/>
    <w:rsid w:val="00F67388"/>
    <w:rsid w:val="00F71296"/>
    <w:rsid w:val="00F94427"/>
    <w:rsid w:val="00F953C0"/>
    <w:rsid w:val="00FB1F25"/>
    <w:rsid w:val="00FC3A7E"/>
    <w:rsid w:val="00FC3E17"/>
    <w:rsid w:val="00FC4629"/>
    <w:rsid w:val="00FD4AC1"/>
    <w:rsid w:val="00FD7718"/>
    <w:rsid w:val="00FE4C1D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4A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B2D4A"/>
    <w:pPr>
      <w:numPr>
        <w:numId w:val="1"/>
      </w:num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5B2D4A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444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Heading3Char">
    <w:name w:val="Heading 3 Char"/>
    <w:link w:val="Heading3"/>
    <w:uiPriority w:val="9"/>
    <w:semiHidden/>
    <w:rsid w:val="00AC444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Absatz-Standardschriftart">
    <w:name w:val="Absatz-Standardschriftart"/>
    <w:uiPriority w:val="99"/>
    <w:rsid w:val="005B2D4A"/>
  </w:style>
  <w:style w:type="character" w:customStyle="1" w:styleId="WW-Absatz-Standardschriftart">
    <w:name w:val="WW-Absatz-Standardschriftart"/>
    <w:uiPriority w:val="99"/>
    <w:rsid w:val="005B2D4A"/>
  </w:style>
  <w:style w:type="character" w:styleId="HTMLTypewriter">
    <w:name w:val="HTML Typewriter"/>
    <w:uiPriority w:val="99"/>
    <w:rsid w:val="005B2D4A"/>
    <w:rPr>
      <w:rFonts w:ascii="Courier New" w:eastAsia="Batang" w:hAnsi="Courier New" w:cs="Courier New"/>
      <w:sz w:val="20"/>
      <w:szCs w:val="20"/>
    </w:rPr>
  </w:style>
  <w:style w:type="character" w:styleId="Strong">
    <w:name w:val="Strong"/>
    <w:uiPriority w:val="99"/>
    <w:qFormat/>
    <w:rsid w:val="005B2D4A"/>
    <w:rPr>
      <w:b/>
      <w:bCs/>
    </w:rPr>
  </w:style>
  <w:style w:type="character" w:styleId="HTMLCite">
    <w:name w:val="HTML Cite"/>
    <w:uiPriority w:val="99"/>
    <w:rsid w:val="005B2D4A"/>
    <w:rPr>
      <w:i/>
      <w:iCs/>
    </w:rPr>
  </w:style>
  <w:style w:type="character" w:customStyle="1" w:styleId="WW-DefaultParagraphFont1">
    <w:name w:val="WW-Default Paragraph Font1"/>
    <w:uiPriority w:val="99"/>
    <w:rsid w:val="005B2D4A"/>
  </w:style>
  <w:style w:type="character" w:customStyle="1" w:styleId="cit-source">
    <w:name w:val="cit-source"/>
    <w:basedOn w:val="WW-DefaultParagraphFont1"/>
    <w:uiPriority w:val="99"/>
    <w:rsid w:val="005B2D4A"/>
  </w:style>
  <w:style w:type="character" w:customStyle="1" w:styleId="cit-vol3">
    <w:name w:val="cit-vol3"/>
    <w:basedOn w:val="WW-DefaultParagraphFont1"/>
    <w:uiPriority w:val="99"/>
    <w:rsid w:val="005B2D4A"/>
  </w:style>
  <w:style w:type="character" w:customStyle="1" w:styleId="cit-fpage">
    <w:name w:val="cit-fpage"/>
    <w:basedOn w:val="WW-DefaultParagraphFont1"/>
    <w:uiPriority w:val="99"/>
    <w:rsid w:val="005B2D4A"/>
  </w:style>
  <w:style w:type="character" w:styleId="Hyperlink">
    <w:name w:val="Hyperlink"/>
    <w:uiPriority w:val="99"/>
    <w:rsid w:val="005B2D4A"/>
    <w:rPr>
      <w:color w:val="000080"/>
      <w:u w:val="single"/>
    </w:rPr>
  </w:style>
  <w:style w:type="character" w:customStyle="1" w:styleId="BalloonTextChar">
    <w:name w:val="Balloon Text Char"/>
    <w:uiPriority w:val="99"/>
    <w:rsid w:val="005B2D4A"/>
    <w:rPr>
      <w:rFonts w:ascii="Tahoma" w:hAnsi="Tahoma" w:cs="Tahoma"/>
      <w:sz w:val="14"/>
      <w:szCs w:val="14"/>
    </w:rPr>
  </w:style>
  <w:style w:type="paragraph" w:customStyle="1" w:styleId="Heading">
    <w:name w:val="Heading"/>
    <w:basedOn w:val="Normal"/>
    <w:next w:val="BodyText"/>
    <w:uiPriority w:val="99"/>
    <w:rsid w:val="005B2D4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2D4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C444A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5B2D4A"/>
  </w:style>
  <w:style w:type="paragraph" w:styleId="Caption">
    <w:name w:val="caption"/>
    <w:basedOn w:val="Normal"/>
    <w:uiPriority w:val="99"/>
    <w:qFormat/>
    <w:rsid w:val="005B2D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B2D4A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rsid w:val="005B2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C444A"/>
    <w:rPr>
      <w:rFonts w:ascii="Courier New" w:hAnsi="Courier New" w:cs="Mangal"/>
      <w:kern w:val="1"/>
      <w:sz w:val="20"/>
      <w:szCs w:val="18"/>
      <w:lang w:eastAsia="hi-IN" w:bidi="hi-IN"/>
    </w:rPr>
  </w:style>
  <w:style w:type="paragraph" w:styleId="NoSpacing">
    <w:name w:val="No Spacing"/>
    <w:qFormat/>
    <w:rsid w:val="005B2D4A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semiHidden/>
    <w:rsid w:val="005B2D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AC444A"/>
    <w:rPr>
      <w:rFonts w:cs="Mangal"/>
      <w:kern w:val="1"/>
      <w:sz w:val="0"/>
      <w:szCs w:val="0"/>
      <w:lang w:eastAsia="hi-IN" w:bidi="hi-IN"/>
    </w:rPr>
  </w:style>
  <w:style w:type="character" w:customStyle="1" w:styleId="apple-converted-space">
    <w:name w:val="apple-converted-space"/>
    <w:uiPriority w:val="99"/>
    <w:rsid w:val="00E647F8"/>
  </w:style>
  <w:style w:type="paragraph" w:styleId="Header">
    <w:name w:val="header"/>
    <w:basedOn w:val="Normal"/>
    <w:link w:val="HeaderChar"/>
    <w:uiPriority w:val="99"/>
    <w:rsid w:val="00C119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119B0"/>
    <w:rPr>
      <w:rFonts w:eastAsia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C119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119B0"/>
    <w:rPr>
      <w:rFonts w:eastAsia="Times New Roman"/>
      <w:kern w:val="1"/>
      <w:sz w:val="21"/>
      <w:szCs w:val="21"/>
      <w:lang w:eastAsia="hi-IN" w:bidi="hi-IN"/>
    </w:rPr>
  </w:style>
  <w:style w:type="character" w:styleId="LineNumber">
    <w:name w:val="line number"/>
    <w:basedOn w:val="DefaultParagraphFont"/>
    <w:uiPriority w:val="99"/>
    <w:rsid w:val="00EC13E5"/>
  </w:style>
  <w:style w:type="table" w:styleId="TableGrid">
    <w:name w:val="Table Grid"/>
    <w:basedOn w:val="TableNormal"/>
    <w:locked/>
    <w:rsid w:val="003E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2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99F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99F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99F"/>
    <w:rPr>
      <w:rFonts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DE2EF0"/>
    <w:rPr>
      <w:rFonts w:cs="Mangal"/>
      <w:kern w:val="1"/>
      <w:sz w:val="24"/>
      <w:szCs w:val="2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BE4"/>
    <w:pPr>
      <w:spacing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BE4"/>
    <w:rPr>
      <w:rFonts w:cs="Mangal"/>
      <w:kern w:val="1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290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4A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B2D4A"/>
    <w:pPr>
      <w:numPr>
        <w:numId w:val="1"/>
      </w:num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5B2D4A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444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Heading3Char">
    <w:name w:val="Heading 3 Char"/>
    <w:link w:val="Heading3"/>
    <w:uiPriority w:val="9"/>
    <w:semiHidden/>
    <w:rsid w:val="00AC444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Absatz-Standardschriftart">
    <w:name w:val="Absatz-Standardschriftart"/>
    <w:uiPriority w:val="99"/>
    <w:rsid w:val="005B2D4A"/>
  </w:style>
  <w:style w:type="character" w:customStyle="1" w:styleId="WW-Absatz-Standardschriftart">
    <w:name w:val="WW-Absatz-Standardschriftart"/>
    <w:uiPriority w:val="99"/>
    <w:rsid w:val="005B2D4A"/>
  </w:style>
  <w:style w:type="character" w:styleId="HTMLTypewriter">
    <w:name w:val="HTML Typewriter"/>
    <w:uiPriority w:val="99"/>
    <w:rsid w:val="005B2D4A"/>
    <w:rPr>
      <w:rFonts w:ascii="Courier New" w:eastAsia="Batang" w:hAnsi="Courier New" w:cs="Courier New"/>
      <w:sz w:val="20"/>
      <w:szCs w:val="20"/>
    </w:rPr>
  </w:style>
  <w:style w:type="character" w:styleId="Strong">
    <w:name w:val="Strong"/>
    <w:uiPriority w:val="99"/>
    <w:qFormat/>
    <w:rsid w:val="005B2D4A"/>
    <w:rPr>
      <w:b/>
      <w:bCs/>
    </w:rPr>
  </w:style>
  <w:style w:type="character" w:styleId="HTMLCite">
    <w:name w:val="HTML Cite"/>
    <w:uiPriority w:val="99"/>
    <w:rsid w:val="005B2D4A"/>
    <w:rPr>
      <w:i/>
      <w:iCs/>
    </w:rPr>
  </w:style>
  <w:style w:type="character" w:customStyle="1" w:styleId="WW-DefaultParagraphFont1">
    <w:name w:val="WW-Default Paragraph Font1"/>
    <w:uiPriority w:val="99"/>
    <w:rsid w:val="005B2D4A"/>
  </w:style>
  <w:style w:type="character" w:customStyle="1" w:styleId="cit-source">
    <w:name w:val="cit-source"/>
    <w:basedOn w:val="WW-DefaultParagraphFont1"/>
    <w:uiPriority w:val="99"/>
    <w:rsid w:val="005B2D4A"/>
  </w:style>
  <w:style w:type="character" w:customStyle="1" w:styleId="cit-vol3">
    <w:name w:val="cit-vol3"/>
    <w:basedOn w:val="WW-DefaultParagraphFont1"/>
    <w:uiPriority w:val="99"/>
    <w:rsid w:val="005B2D4A"/>
  </w:style>
  <w:style w:type="character" w:customStyle="1" w:styleId="cit-fpage">
    <w:name w:val="cit-fpage"/>
    <w:basedOn w:val="WW-DefaultParagraphFont1"/>
    <w:uiPriority w:val="99"/>
    <w:rsid w:val="005B2D4A"/>
  </w:style>
  <w:style w:type="character" w:styleId="Hyperlink">
    <w:name w:val="Hyperlink"/>
    <w:uiPriority w:val="99"/>
    <w:rsid w:val="005B2D4A"/>
    <w:rPr>
      <w:color w:val="000080"/>
      <w:u w:val="single"/>
    </w:rPr>
  </w:style>
  <w:style w:type="character" w:customStyle="1" w:styleId="BalloonTextChar">
    <w:name w:val="Balloon Text Char"/>
    <w:uiPriority w:val="99"/>
    <w:rsid w:val="005B2D4A"/>
    <w:rPr>
      <w:rFonts w:ascii="Tahoma" w:hAnsi="Tahoma" w:cs="Tahoma"/>
      <w:sz w:val="14"/>
      <w:szCs w:val="14"/>
    </w:rPr>
  </w:style>
  <w:style w:type="paragraph" w:customStyle="1" w:styleId="Heading">
    <w:name w:val="Heading"/>
    <w:basedOn w:val="Normal"/>
    <w:next w:val="BodyText"/>
    <w:uiPriority w:val="99"/>
    <w:rsid w:val="005B2D4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2D4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C444A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5B2D4A"/>
  </w:style>
  <w:style w:type="paragraph" w:styleId="Caption">
    <w:name w:val="caption"/>
    <w:basedOn w:val="Normal"/>
    <w:uiPriority w:val="99"/>
    <w:qFormat/>
    <w:rsid w:val="005B2D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B2D4A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rsid w:val="005B2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C444A"/>
    <w:rPr>
      <w:rFonts w:ascii="Courier New" w:hAnsi="Courier New" w:cs="Mangal"/>
      <w:kern w:val="1"/>
      <w:sz w:val="20"/>
      <w:szCs w:val="18"/>
      <w:lang w:eastAsia="hi-IN" w:bidi="hi-IN"/>
    </w:rPr>
  </w:style>
  <w:style w:type="paragraph" w:styleId="NoSpacing">
    <w:name w:val="No Spacing"/>
    <w:qFormat/>
    <w:rsid w:val="005B2D4A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semiHidden/>
    <w:rsid w:val="005B2D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AC444A"/>
    <w:rPr>
      <w:rFonts w:cs="Mangal"/>
      <w:kern w:val="1"/>
      <w:sz w:val="0"/>
      <w:szCs w:val="0"/>
      <w:lang w:eastAsia="hi-IN" w:bidi="hi-IN"/>
    </w:rPr>
  </w:style>
  <w:style w:type="character" w:customStyle="1" w:styleId="apple-converted-space">
    <w:name w:val="apple-converted-space"/>
    <w:uiPriority w:val="99"/>
    <w:rsid w:val="00E647F8"/>
  </w:style>
  <w:style w:type="paragraph" w:styleId="Header">
    <w:name w:val="header"/>
    <w:basedOn w:val="Normal"/>
    <w:link w:val="HeaderChar"/>
    <w:uiPriority w:val="99"/>
    <w:rsid w:val="00C119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119B0"/>
    <w:rPr>
      <w:rFonts w:eastAsia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C119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119B0"/>
    <w:rPr>
      <w:rFonts w:eastAsia="Times New Roman"/>
      <w:kern w:val="1"/>
      <w:sz w:val="21"/>
      <w:szCs w:val="21"/>
      <w:lang w:eastAsia="hi-IN" w:bidi="hi-IN"/>
    </w:rPr>
  </w:style>
  <w:style w:type="character" w:styleId="LineNumber">
    <w:name w:val="line number"/>
    <w:basedOn w:val="DefaultParagraphFont"/>
    <w:uiPriority w:val="99"/>
    <w:rsid w:val="00EC13E5"/>
  </w:style>
  <w:style w:type="table" w:styleId="TableGrid">
    <w:name w:val="Table Grid"/>
    <w:basedOn w:val="TableNormal"/>
    <w:locked/>
    <w:rsid w:val="003E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2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99F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99F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99F"/>
    <w:rPr>
      <w:rFonts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DE2EF0"/>
    <w:rPr>
      <w:rFonts w:cs="Mangal"/>
      <w:kern w:val="1"/>
      <w:sz w:val="24"/>
      <w:szCs w:val="2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BE4"/>
    <w:pPr>
      <w:spacing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BE4"/>
    <w:rPr>
      <w:rFonts w:cs="Mangal"/>
      <w:kern w:val="1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290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FD4C-DBD5-4CE3-B17F-BDAF41C2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Calculated Free Testosterone Validated Against an Objective Biological Read-out of Androgen-action in Adult Males</vt:lpstr>
    </vt:vector>
  </TitlesOfParts>
  <Company>Newcastle upon Tyne Hospitals NHS Foundation Trust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Calculated Free Testosterone Validated Against an Objective Biological Read-out of Androgen-action in Adult Males</dc:title>
  <dc:creator>Quinton, Richard</dc:creator>
  <cp:lastModifiedBy>Woods David (RTF) NHCT</cp:lastModifiedBy>
  <cp:revision>2</cp:revision>
  <cp:lastPrinted>1901-01-01T04:00:00Z</cp:lastPrinted>
  <dcterms:created xsi:type="dcterms:W3CDTF">2016-11-02T12:49:00Z</dcterms:created>
  <dcterms:modified xsi:type="dcterms:W3CDTF">2016-11-02T12:49:00Z</dcterms:modified>
</cp:coreProperties>
</file>