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A15" w:rsidRPr="009759D1" w:rsidRDefault="00C00A15" w:rsidP="009759D1">
      <w:pPr>
        <w:spacing w:after="0" w:line="480" w:lineRule="auto"/>
        <w:rPr>
          <w:sz w:val="24"/>
          <w:szCs w:val="24"/>
        </w:rPr>
      </w:pPr>
    </w:p>
    <w:p w:rsidR="007B4419" w:rsidRPr="005212CA" w:rsidRDefault="0058138E" w:rsidP="009759D1">
      <w:pPr>
        <w:pStyle w:val="ListParagraph"/>
        <w:numPr>
          <w:ilvl w:val="0"/>
          <w:numId w:val="2"/>
        </w:numPr>
        <w:spacing w:after="0" w:line="480" w:lineRule="auto"/>
        <w:rPr>
          <w:b/>
          <w:sz w:val="24"/>
          <w:szCs w:val="24"/>
        </w:rPr>
      </w:pPr>
      <w:r>
        <w:rPr>
          <w:b/>
          <w:sz w:val="24"/>
          <w:szCs w:val="24"/>
          <w:u w:val="single"/>
        </w:rPr>
        <w:t>INTRODUCTION</w:t>
      </w:r>
      <w:r w:rsidR="004554E3" w:rsidRPr="005212CA">
        <w:rPr>
          <w:b/>
          <w:sz w:val="24"/>
          <w:szCs w:val="24"/>
          <w:u w:val="single"/>
        </w:rPr>
        <w:t xml:space="preserve"> </w:t>
      </w:r>
    </w:p>
    <w:p w:rsidR="007630DD" w:rsidRDefault="006834CE" w:rsidP="009759D1">
      <w:pPr>
        <w:spacing w:after="0" w:line="480" w:lineRule="auto"/>
        <w:rPr>
          <w:sz w:val="24"/>
          <w:szCs w:val="24"/>
        </w:rPr>
      </w:pPr>
      <w:r>
        <w:rPr>
          <w:sz w:val="24"/>
          <w:szCs w:val="24"/>
        </w:rPr>
        <w:t>An</w:t>
      </w:r>
      <w:r w:rsidRPr="006834CE">
        <w:rPr>
          <w:sz w:val="24"/>
          <w:szCs w:val="24"/>
        </w:rPr>
        <w:t xml:space="preserve"> ability to innovate is widely regarded as adding to the competitiveness of organisations and destinations (Tseng, Kuo and Chou, 2008; Paget, Dimanche and Mounet, 2010; Nicolau and Santa-Maria, 2012; Mei, Arcodia and Ruhanen, 2012).  </w:t>
      </w:r>
      <w:r>
        <w:rPr>
          <w:sz w:val="24"/>
          <w:szCs w:val="24"/>
        </w:rPr>
        <w:t>Yet, e</w:t>
      </w:r>
      <w:r w:rsidRPr="006834CE">
        <w:rPr>
          <w:sz w:val="24"/>
          <w:szCs w:val="24"/>
        </w:rPr>
        <w:t>stimating the scale of innovation in tourism is</w:t>
      </w:r>
      <w:r>
        <w:rPr>
          <w:sz w:val="24"/>
          <w:szCs w:val="24"/>
        </w:rPr>
        <w:t xml:space="preserve"> problematic</w:t>
      </w:r>
      <w:r w:rsidRPr="006834CE">
        <w:rPr>
          <w:sz w:val="24"/>
          <w:szCs w:val="24"/>
        </w:rPr>
        <w:t xml:space="preserve"> (cf. Hertog et al, 2011; Camison, 2011; Krizaj, 2012; Orfila-Sintes, Crespi-Cladera and Martinez-Ros, 2005).  This reflects significant unresolved differences of opinion on how it should be measured and on the factors that influence its form in various sectors, locations and over time (e.g. Arta and Acob, 2003; Hjalager and Flagestad, 2012; Sorensen, 2007; Carlisle et al, 2013).  </w:t>
      </w:r>
      <w:r>
        <w:rPr>
          <w:sz w:val="24"/>
          <w:szCs w:val="24"/>
        </w:rPr>
        <w:t>As a result</w:t>
      </w:r>
      <w:r w:rsidR="009D1ACB" w:rsidRPr="009759D1">
        <w:rPr>
          <w:sz w:val="24"/>
          <w:szCs w:val="24"/>
        </w:rPr>
        <w:t>, r</w:t>
      </w:r>
      <w:r w:rsidR="000E3C61" w:rsidRPr="009759D1">
        <w:rPr>
          <w:sz w:val="24"/>
          <w:szCs w:val="24"/>
        </w:rPr>
        <w:t xml:space="preserve">ecent reviews </w:t>
      </w:r>
      <w:r w:rsidR="009D1ACB" w:rsidRPr="009759D1">
        <w:rPr>
          <w:sz w:val="24"/>
          <w:szCs w:val="24"/>
        </w:rPr>
        <w:t xml:space="preserve">of the literature on innovation in tourism have </w:t>
      </w:r>
      <w:r w:rsidR="005D36A9" w:rsidRPr="009759D1">
        <w:rPr>
          <w:sz w:val="24"/>
          <w:szCs w:val="24"/>
        </w:rPr>
        <w:t xml:space="preserve">all </w:t>
      </w:r>
      <w:r w:rsidR="009D1ACB" w:rsidRPr="009759D1">
        <w:rPr>
          <w:sz w:val="24"/>
          <w:szCs w:val="24"/>
        </w:rPr>
        <w:t>highlighted the need for mor</w:t>
      </w:r>
      <w:r w:rsidR="00EE5A62" w:rsidRPr="009759D1">
        <w:rPr>
          <w:sz w:val="24"/>
          <w:szCs w:val="24"/>
        </w:rPr>
        <w:t xml:space="preserve">e </w:t>
      </w:r>
      <w:r w:rsidR="00E074A5">
        <w:rPr>
          <w:sz w:val="24"/>
          <w:szCs w:val="24"/>
        </w:rPr>
        <w:t>theorising</w:t>
      </w:r>
      <w:r w:rsidR="008C6E8C">
        <w:rPr>
          <w:sz w:val="24"/>
          <w:szCs w:val="24"/>
        </w:rPr>
        <w:t xml:space="preserve"> and </w:t>
      </w:r>
      <w:r w:rsidR="00EE5A62" w:rsidRPr="009759D1">
        <w:rPr>
          <w:sz w:val="24"/>
          <w:szCs w:val="24"/>
        </w:rPr>
        <w:t xml:space="preserve">empirical research on </w:t>
      </w:r>
      <w:r w:rsidR="00520B10">
        <w:rPr>
          <w:sz w:val="24"/>
          <w:szCs w:val="24"/>
        </w:rPr>
        <w:t>almost all</w:t>
      </w:r>
      <w:r w:rsidR="009D1ACB" w:rsidRPr="009759D1">
        <w:rPr>
          <w:sz w:val="24"/>
          <w:szCs w:val="24"/>
        </w:rPr>
        <w:t xml:space="preserve"> aspects of the phenomenon</w:t>
      </w:r>
      <w:r w:rsidR="00A364B5" w:rsidRPr="009759D1">
        <w:rPr>
          <w:sz w:val="24"/>
          <w:szCs w:val="24"/>
        </w:rPr>
        <w:t xml:space="preserve"> (</w:t>
      </w:r>
      <w:r w:rsidR="005D36A9" w:rsidRPr="009759D1">
        <w:rPr>
          <w:sz w:val="24"/>
          <w:szCs w:val="24"/>
        </w:rPr>
        <w:t xml:space="preserve">e.g. </w:t>
      </w:r>
      <w:r w:rsidR="00A364B5" w:rsidRPr="009759D1">
        <w:rPr>
          <w:sz w:val="24"/>
          <w:szCs w:val="24"/>
        </w:rPr>
        <w:t>Hall an</w:t>
      </w:r>
      <w:r w:rsidR="00E040C4" w:rsidRPr="009759D1">
        <w:rPr>
          <w:sz w:val="24"/>
          <w:szCs w:val="24"/>
        </w:rPr>
        <w:t xml:space="preserve">d Williams, 2008; </w:t>
      </w:r>
      <w:r w:rsidR="001B11AD" w:rsidRPr="009759D1">
        <w:rPr>
          <w:sz w:val="24"/>
          <w:szCs w:val="24"/>
        </w:rPr>
        <w:t>Tejada and Moreno, 201</w:t>
      </w:r>
      <w:r w:rsidR="00B546D0">
        <w:rPr>
          <w:sz w:val="24"/>
          <w:szCs w:val="24"/>
        </w:rPr>
        <w:t>3</w:t>
      </w:r>
      <w:r w:rsidR="001B11AD" w:rsidRPr="009759D1">
        <w:rPr>
          <w:sz w:val="24"/>
          <w:szCs w:val="24"/>
        </w:rPr>
        <w:t xml:space="preserve">; </w:t>
      </w:r>
      <w:r w:rsidR="00F940D5" w:rsidRPr="009759D1">
        <w:rPr>
          <w:sz w:val="24"/>
          <w:szCs w:val="24"/>
        </w:rPr>
        <w:t>Williams</w:t>
      </w:r>
      <w:r w:rsidR="00FB0F46" w:rsidRPr="009759D1">
        <w:rPr>
          <w:sz w:val="24"/>
          <w:szCs w:val="24"/>
        </w:rPr>
        <w:t xml:space="preserve"> and Shaw, 2011</w:t>
      </w:r>
      <w:r w:rsidR="00A364B5" w:rsidRPr="009759D1">
        <w:rPr>
          <w:sz w:val="24"/>
          <w:szCs w:val="24"/>
        </w:rPr>
        <w:t>)</w:t>
      </w:r>
      <w:r w:rsidR="009D1ACB" w:rsidRPr="009759D1">
        <w:rPr>
          <w:sz w:val="24"/>
          <w:szCs w:val="24"/>
        </w:rPr>
        <w:t xml:space="preserve">.  </w:t>
      </w:r>
      <w:r w:rsidR="00E040C4" w:rsidRPr="009759D1">
        <w:rPr>
          <w:sz w:val="24"/>
          <w:szCs w:val="24"/>
        </w:rPr>
        <w:t xml:space="preserve">Hjalager (2010:9), for </w:t>
      </w:r>
      <w:r w:rsidR="00DB7A8B" w:rsidRPr="009759D1">
        <w:rPr>
          <w:sz w:val="24"/>
          <w:szCs w:val="24"/>
        </w:rPr>
        <w:t xml:space="preserve">example, </w:t>
      </w:r>
      <w:r w:rsidR="00EC6863" w:rsidRPr="009759D1">
        <w:rPr>
          <w:sz w:val="24"/>
          <w:szCs w:val="24"/>
        </w:rPr>
        <w:t xml:space="preserve">in this journal </w:t>
      </w:r>
      <w:r w:rsidR="00DB7A8B" w:rsidRPr="009759D1">
        <w:rPr>
          <w:sz w:val="24"/>
          <w:szCs w:val="24"/>
        </w:rPr>
        <w:t>made a ‘</w:t>
      </w:r>
      <w:r w:rsidR="00E040C4" w:rsidRPr="009759D1">
        <w:rPr>
          <w:sz w:val="24"/>
          <w:szCs w:val="24"/>
        </w:rPr>
        <w:t>plea that tourism innovation is addressed in multiple ways and with several methodological approaches…</w:t>
      </w:r>
      <w:r w:rsidR="00FE3045" w:rsidRPr="009759D1">
        <w:rPr>
          <w:sz w:val="24"/>
          <w:szCs w:val="24"/>
        </w:rPr>
        <w:t xml:space="preserve">(and </w:t>
      </w:r>
      <w:r w:rsidR="00E040C4" w:rsidRPr="009759D1">
        <w:rPr>
          <w:sz w:val="24"/>
          <w:szCs w:val="24"/>
        </w:rPr>
        <w:t>there is a</w:t>
      </w:r>
      <w:r w:rsidR="00FE3045" w:rsidRPr="009759D1">
        <w:rPr>
          <w:sz w:val="24"/>
          <w:szCs w:val="24"/>
        </w:rPr>
        <w:t xml:space="preserve"> specific need for research on</w:t>
      </w:r>
      <w:r w:rsidR="00E040C4" w:rsidRPr="009759D1">
        <w:rPr>
          <w:sz w:val="24"/>
          <w:szCs w:val="24"/>
        </w:rPr>
        <w:t>)</w:t>
      </w:r>
      <w:r w:rsidR="00FE3045" w:rsidRPr="009759D1">
        <w:rPr>
          <w:sz w:val="24"/>
          <w:szCs w:val="24"/>
        </w:rPr>
        <w:t>…</w:t>
      </w:r>
      <w:r w:rsidR="00E040C4" w:rsidRPr="009759D1">
        <w:rPr>
          <w:sz w:val="24"/>
          <w:szCs w:val="24"/>
        </w:rPr>
        <w:t xml:space="preserve"> how innovation processes take place in tourism enterprises and organisations, including what types of capacities and incentives they draw on’.   </w:t>
      </w:r>
      <w:r w:rsidR="009D1ACB" w:rsidRPr="009759D1">
        <w:rPr>
          <w:sz w:val="24"/>
          <w:szCs w:val="24"/>
        </w:rPr>
        <w:t>This pa</w:t>
      </w:r>
      <w:r w:rsidR="00FE3045" w:rsidRPr="009759D1">
        <w:rPr>
          <w:sz w:val="24"/>
          <w:szCs w:val="24"/>
        </w:rPr>
        <w:t>per responds to these calls</w:t>
      </w:r>
      <w:r w:rsidR="009D1ACB" w:rsidRPr="009759D1">
        <w:rPr>
          <w:sz w:val="24"/>
          <w:szCs w:val="24"/>
        </w:rPr>
        <w:t xml:space="preserve"> by examining </w:t>
      </w:r>
      <w:r w:rsidR="0023034D" w:rsidRPr="009759D1">
        <w:rPr>
          <w:sz w:val="24"/>
          <w:szCs w:val="24"/>
        </w:rPr>
        <w:t>one dimension of</w:t>
      </w:r>
      <w:r w:rsidR="00814416" w:rsidRPr="009759D1">
        <w:rPr>
          <w:sz w:val="24"/>
          <w:szCs w:val="24"/>
        </w:rPr>
        <w:t xml:space="preserve"> innovation</w:t>
      </w:r>
      <w:r w:rsidR="0023034D" w:rsidRPr="009759D1">
        <w:rPr>
          <w:sz w:val="24"/>
          <w:szCs w:val="24"/>
        </w:rPr>
        <w:t xml:space="preserve"> at the level of the organisation</w:t>
      </w:r>
      <w:r w:rsidR="00C2289D" w:rsidRPr="009759D1">
        <w:rPr>
          <w:sz w:val="24"/>
          <w:szCs w:val="24"/>
        </w:rPr>
        <w:t>; the ability to identify, acquire and use external</w:t>
      </w:r>
      <w:r w:rsidR="00814416" w:rsidRPr="009759D1">
        <w:rPr>
          <w:sz w:val="24"/>
          <w:szCs w:val="24"/>
        </w:rPr>
        <w:t xml:space="preserve"> knowledge to</w:t>
      </w:r>
      <w:r w:rsidR="0023034D" w:rsidRPr="009759D1">
        <w:rPr>
          <w:sz w:val="24"/>
          <w:szCs w:val="24"/>
        </w:rPr>
        <w:t xml:space="preserve"> innovat</w:t>
      </w:r>
      <w:r w:rsidR="005C53A2" w:rsidRPr="009759D1">
        <w:rPr>
          <w:sz w:val="24"/>
          <w:szCs w:val="24"/>
        </w:rPr>
        <w:t>e</w:t>
      </w:r>
      <w:r w:rsidR="007630DD" w:rsidRPr="009759D1">
        <w:rPr>
          <w:sz w:val="24"/>
          <w:szCs w:val="24"/>
        </w:rPr>
        <w:t>, namely absorptive capacity</w:t>
      </w:r>
      <w:r w:rsidR="00814416" w:rsidRPr="009759D1">
        <w:rPr>
          <w:sz w:val="24"/>
          <w:szCs w:val="24"/>
        </w:rPr>
        <w:t xml:space="preserve"> (</w:t>
      </w:r>
      <w:r w:rsidR="00C2289D" w:rsidRPr="009759D1">
        <w:rPr>
          <w:sz w:val="24"/>
          <w:szCs w:val="24"/>
        </w:rPr>
        <w:t>Cohen and Levinthal, 1990</w:t>
      </w:r>
      <w:r w:rsidR="00814416" w:rsidRPr="009759D1">
        <w:rPr>
          <w:sz w:val="24"/>
          <w:szCs w:val="24"/>
        </w:rPr>
        <w:t>)</w:t>
      </w:r>
      <w:r w:rsidR="007630DD" w:rsidRPr="009759D1">
        <w:rPr>
          <w:sz w:val="24"/>
          <w:szCs w:val="24"/>
        </w:rPr>
        <w:t xml:space="preserve">.  </w:t>
      </w:r>
    </w:p>
    <w:p w:rsidR="00E074A5" w:rsidRDefault="00E074A5" w:rsidP="009759D1">
      <w:pPr>
        <w:spacing w:after="0" w:line="480" w:lineRule="auto"/>
        <w:rPr>
          <w:sz w:val="24"/>
          <w:szCs w:val="24"/>
        </w:rPr>
      </w:pPr>
    </w:p>
    <w:p w:rsidR="00E074A5" w:rsidRDefault="00E074A5" w:rsidP="00E074A5">
      <w:pPr>
        <w:spacing w:after="0" w:line="480" w:lineRule="auto"/>
        <w:rPr>
          <w:sz w:val="24"/>
          <w:szCs w:val="24"/>
        </w:rPr>
      </w:pPr>
      <w:r>
        <w:rPr>
          <w:sz w:val="24"/>
          <w:szCs w:val="24"/>
        </w:rPr>
        <w:t>There is</w:t>
      </w:r>
      <w:r w:rsidRPr="00E074A5">
        <w:rPr>
          <w:sz w:val="24"/>
          <w:szCs w:val="24"/>
        </w:rPr>
        <w:t xml:space="preserve"> often an acknowledgement </w:t>
      </w:r>
      <w:r>
        <w:rPr>
          <w:sz w:val="24"/>
          <w:szCs w:val="24"/>
        </w:rPr>
        <w:t xml:space="preserve">in the tourism literature </w:t>
      </w:r>
      <w:r w:rsidRPr="00E074A5">
        <w:rPr>
          <w:sz w:val="24"/>
          <w:szCs w:val="24"/>
        </w:rPr>
        <w:t xml:space="preserve">that knowledge and the acquisition of knowledge via networks plays a vital role </w:t>
      </w:r>
      <w:r>
        <w:rPr>
          <w:sz w:val="24"/>
          <w:szCs w:val="24"/>
        </w:rPr>
        <w:t xml:space="preserve">in innovation </w:t>
      </w:r>
      <w:r w:rsidRPr="00E074A5">
        <w:rPr>
          <w:sz w:val="24"/>
          <w:szCs w:val="24"/>
        </w:rPr>
        <w:t xml:space="preserve">(Scott, Baggio and Cooper, 2008; Shaw and Williams, 2009; Xiao and Smith, 2006).  In other words, the capacity </w:t>
      </w:r>
      <w:r w:rsidRPr="00E074A5">
        <w:rPr>
          <w:sz w:val="24"/>
          <w:szCs w:val="24"/>
        </w:rPr>
        <w:lastRenderedPageBreak/>
        <w:t>of organisations to garner and use external information for innovative purposes is a fundamental part of an explanation of organisational innovation (Cooper, 2006; Dwyer and Edwards</w:t>
      </w:r>
      <w:r w:rsidR="00C27B45">
        <w:rPr>
          <w:sz w:val="24"/>
          <w:szCs w:val="24"/>
        </w:rPr>
        <w:t>, 2009; Gallego, Rubalcaba and S</w:t>
      </w:r>
      <w:r w:rsidRPr="00E074A5">
        <w:rPr>
          <w:sz w:val="24"/>
          <w:szCs w:val="24"/>
        </w:rPr>
        <w:t>uarez, 2013; Koostopoulos, Papalexandris and Ioannou, 2011; Zahra and</w:t>
      </w:r>
      <w:r w:rsidR="001260AE">
        <w:rPr>
          <w:sz w:val="24"/>
          <w:szCs w:val="24"/>
        </w:rPr>
        <w:t xml:space="preserve"> George, 2002).  Related concepts </w:t>
      </w:r>
      <w:r w:rsidRPr="00E074A5">
        <w:rPr>
          <w:sz w:val="24"/>
          <w:szCs w:val="24"/>
        </w:rPr>
        <w:t>been used to interrogate small and medium sized enterprises (SMEs) as well as larger organisations (Fogg, 2012; Harris, McAdam, McCausland and Rei</w:t>
      </w:r>
      <w:r w:rsidR="00B546D0">
        <w:rPr>
          <w:sz w:val="24"/>
          <w:szCs w:val="24"/>
        </w:rPr>
        <w:t>d, 2013; Tejada and Moreno, 2013</w:t>
      </w:r>
      <w:r w:rsidRPr="00E074A5">
        <w:rPr>
          <w:sz w:val="24"/>
          <w:szCs w:val="24"/>
        </w:rPr>
        <w:t>).  Further, there is emerging evidence that tourism enterprises are particularly dependent on external knowledge, such as that which may be gleaned from suppliers, especially when compared with businesses in other sectors (Williams and Shaw, 2011; Kin</w:t>
      </w:r>
      <w:r w:rsidR="001260AE">
        <w:rPr>
          <w:sz w:val="24"/>
          <w:szCs w:val="24"/>
        </w:rPr>
        <w:t xml:space="preserve">g, Breen and Whitelaw, 2012).  </w:t>
      </w:r>
      <w:r w:rsidRPr="00E074A5">
        <w:rPr>
          <w:sz w:val="24"/>
          <w:szCs w:val="24"/>
        </w:rPr>
        <w:t xml:space="preserve">Following the development of a validated instrument for its measurement, this paper reports the findings of a survey into levels of absorptive capacity within the </w:t>
      </w:r>
      <w:r w:rsidR="001260AE">
        <w:rPr>
          <w:sz w:val="24"/>
          <w:szCs w:val="24"/>
        </w:rPr>
        <w:t xml:space="preserve">British </w:t>
      </w:r>
      <w:r w:rsidRPr="00E074A5">
        <w:rPr>
          <w:sz w:val="24"/>
          <w:szCs w:val="24"/>
        </w:rPr>
        <w:t xml:space="preserve">hotel sector and considers the implications of the findings for how absorptive capacity should be theorised in tourism.  The hotel sector is considered </w:t>
      </w:r>
      <w:r w:rsidR="001260AE">
        <w:rPr>
          <w:sz w:val="24"/>
          <w:szCs w:val="24"/>
        </w:rPr>
        <w:t xml:space="preserve">an </w:t>
      </w:r>
      <w:r w:rsidRPr="00E074A5">
        <w:rPr>
          <w:sz w:val="24"/>
          <w:szCs w:val="24"/>
        </w:rPr>
        <w:t xml:space="preserve">interesting </w:t>
      </w:r>
      <w:r w:rsidR="00C27B45">
        <w:rPr>
          <w:sz w:val="24"/>
          <w:szCs w:val="24"/>
        </w:rPr>
        <w:t>testbed</w:t>
      </w:r>
      <w:r w:rsidR="001260AE">
        <w:rPr>
          <w:sz w:val="24"/>
          <w:szCs w:val="24"/>
        </w:rPr>
        <w:t xml:space="preserve"> </w:t>
      </w:r>
      <w:r w:rsidRPr="00E074A5">
        <w:rPr>
          <w:sz w:val="24"/>
          <w:szCs w:val="24"/>
        </w:rPr>
        <w:t xml:space="preserve">because it </w:t>
      </w:r>
      <w:r w:rsidR="001260AE">
        <w:rPr>
          <w:sz w:val="24"/>
          <w:szCs w:val="24"/>
        </w:rPr>
        <w:t xml:space="preserve">contains a diversity of ownership </w:t>
      </w:r>
      <w:r w:rsidR="00C04951">
        <w:rPr>
          <w:sz w:val="24"/>
          <w:szCs w:val="24"/>
        </w:rPr>
        <w:t>and management arrangements</w:t>
      </w:r>
      <w:r w:rsidR="001260AE">
        <w:rPr>
          <w:sz w:val="24"/>
          <w:szCs w:val="24"/>
        </w:rPr>
        <w:t xml:space="preserve"> </w:t>
      </w:r>
      <w:r w:rsidR="00767EAC">
        <w:rPr>
          <w:sz w:val="24"/>
          <w:szCs w:val="24"/>
        </w:rPr>
        <w:t>yet</w:t>
      </w:r>
      <w:r w:rsidR="001260AE">
        <w:rPr>
          <w:sz w:val="24"/>
          <w:szCs w:val="24"/>
        </w:rPr>
        <w:t xml:space="preserve"> share</w:t>
      </w:r>
      <w:r w:rsidR="007135F8">
        <w:rPr>
          <w:sz w:val="24"/>
          <w:szCs w:val="24"/>
        </w:rPr>
        <w:t>s</w:t>
      </w:r>
      <w:r w:rsidR="001260AE">
        <w:rPr>
          <w:sz w:val="24"/>
          <w:szCs w:val="24"/>
        </w:rPr>
        <w:t xml:space="preserve"> fundamental </w:t>
      </w:r>
      <w:r w:rsidR="00C04951">
        <w:rPr>
          <w:sz w:val="24"/>
          <w:szCs w:val="24"/>
        </w:rPr>
        <w:t>aspects of the</w:t>
      </w:r>
      <w:r w:rsidR="001260AE">
        <w:rPr>
          <w:sz w:val="24"/>
          <w:szCs w:val="24"/>
        </w:rPr>
        <w:t xml:space="preserve"> </w:t>
      </w:r>
      <w:r w:rsidR="00C04951">
        <w:rPr>
          <w:sz w:val="24"/>
          <w:szCs w:val="24"/>
        </w:rPr>
        <w:t>service offer.</w:t>
      </w:r>
    </w:p>
    <w:p w:rsidR="00E074A5" w:rsidRDefault="00E074A5" w:rsidP="009759D1">
      <w:pPr>
        <w:spacing w:after="0" w:line="480" w:lineRule="auto"/>
        <w:rPr>
          <w:sz w:val="24"/>
          <w:szCs w:val="24"/>
        </w:rPr>
      </w:pPr>
    </w:p>
    <w:p w:rsidR="00804525" w:rsidRDefault="005C53A2" w:rsidP="00556B68">
      <w:pPr>
        <w:spacing w:after="0" w:line="480" w:lineRule="auto"/>
        <w:rPr>
          <w:sz w:val="24"/>
          <w:szCs w:val="24"/>
        </w:rPr>
      </w:pPr>
      <w:r w:rsidRPr="009759D1">
        <w:rPr>
          <w:sz w:val="24"/>
          <w:szCs w:val="24"/>
        </w:rPr>
        <w:t xml:space="preserve">Even though many </w:t>
      </w:r>
      <w:r w:rsidR="001260AE">
        <w:rPr>
          <w:sz w:val="24"/>
          <w:szCs w:val="24"/>
        </w:rPr>
        <w:t xml:space="preserve">commentators </w:t>
      </w:r>
      <w:r w:rsidRPr="009759D1">
        <w:rPr>
          <w:sz w:val="24"/>
          <w:szCs w:val="24"/>
        </w:rPr>
        <w:t>remain critical of the over-reliance on research informed by manufacturing contexts (</w:t>
      </w:r>
      <w:r w:rsidR="001B11AD" w:rsidRPr="009759D1">
        <w:rPr>
          <w:sz w:val="24"/>
          <w:szCs w:val="24"/>
        </w:rPr>
        <w:t xml:space="preserve">e.g. </w:t>
      </w:r>
      <w:r w:rsidR="00B61047" w:rsidRPr="009759D1">
        <w:rPr>
          <w:sz w:val="24"/>
          <w:szCs w:val="24"/>
        </w:rPr>
        <w:t>Hall and Williams, 2008</w:t>
      </w:r>
      <w:r w:rsidRPr="009759D1">
        <w:rPr>
          <w:sz w:val="24"/>
          <w:szCs w:val="24"/>
        </w:rPr>
        <w:t xml:space="preserve">), there is now an emerging body of work </w:t>
      </w:r>
      <w:r w:rsidR="00EC6863" w:rsidRPr="009759D1">
        <w:rPr>
          <w:sz w:val="24"/>
          <w:szCs w:val="24"/>
        </w:rPr>
        <w:t xml:space="preserve">on innovation </w:t>
      </w:r>
      <w:r w:rsidR="005A36CF" w:rsidRPr="009759D1">
        <w:rPr>
          <w:sz w:val="24"/>
          <w:szCs w:val="24"/>
        </w:rPr>
        <w:t>that recognise</w:t>
      </w:r>
      <w:r w:rsidR="00DB7A8B" w:rsidRPr="009759D1">
        <w:rPr>
          <w:sz w:val="24"/>
          <w:szCs w:val="24"/>
        </w:rPr>
        <w:t>s</w:t>
      </w:r>
      <w:r w:rsidR="005A36CF" w:rsidRPr="009759D1">
        <w:rPr>
          <w:sz w:val="24"/>
          <w:szCs w:val="24"/>
        </w:rPr>
        <w:t xml:space="preserve"> tourism’s</w:t>
      </w:r>
      <w:r w:rsidRPr="009759D1">
        <w:rPr>
          <w:sz w:val="24"/>
          <w:szCs w:val="24"/>
        </w:rPr>
        <w:t xml:space="preserve"> peculiarities</w:t>
      </w:r>
      <w:r w:rsidR="005A36CF" w:rsidRPr="009759D1">
        <w:rPr>
          <w:sz w:val="24"/>
          <w:szCs w:val="24"/>
        </w:rPr>
        <w:t xml:space="preserve"> and incorporate</w:t>
      </w:r>
      <w:r w:rsidR="00F7130B">
        <w:rPr>
          <w:sz w:val="24"/>
          <w:szCs w:val="24"/>
        </w:rPr>
        <w:t>s</w:t>
      </w:r>
      <w:r w:rsidR="005A36CF" w:rsidRPr="009759D1">
        <w:rPr>
          <w:sz w:val="24"/>
          <w:szCs w:val="24"/>
        </w:rPr>
        <w:t xml:space="preserve"> them into the</w:t>
      </w:r>
      <w:r w:rsidR="00EC6863" w:rsidRPr="009759D1">
        <w:rPr>
          <w:sz w:val="24"/>
          <w:szCs w:val="24"/>
        </w:rPr>
        <w:t>ir theorising</w:t>
      </w:r>
      <w:r w:rsidRPr="009759D1">
        <w:rPr>
          <w:sz w:val="24"/>
          <w:szCs w:val="24"/>
        </w:rPr>
        <w:t xml:space="preserve"> (e.g.</w:t>
      </w:r>
      <w:r w:rsidR="00EC6863" w:rsidRPr="009759D1">
        <w:rPr>
          <w:sz w:val="24"/>
          <w:szCs w:val="24"/>
        </w:rPr>
        <w:t xml:space="preserve"> Decelle, 2004; </w:t>
      </w:r>
      <w:r w:rsidR="009E4D14" w:rsidRPr="009759D1">
        <w:rPr>
          <w:sz w:val="24"/>
          <w:szCs w:val="24"/>
        </w:rPr>
        <w:t xml:space="preserve"> </w:t>
      </w:r>
      <w:r w:rsidR="00CE0DC5" w:rsidRPr="009759D1">
        <w:rPr>
          <w:sz w:val="24"/>
          <w:szCs w:val="24"/>
        </w:rPr>
        <w:t>Camison and Monfort-Mir, 2011; Williams and Shaw, 2011</w:t>
      </w:r>
      <w:r w:rsidRPr="009759D1">
        <w:rPr>
          <w:sz w:val="24"/>
          <w:szCs w:val="24"/>
        </w:rPr>
        <w:t xml:space="preserve">).  </w:t>
      </w:r>
      <w:r w:rsidR="005A36CF" w:rsidRPr="009759D1">
        <w:rPr>
          <w:sz w:val="24"/>
          <w:szCs w:val="24"/>
        </w:rPr>
        <w:t>In similar vein, the</w:t>
      </w:r>
      <w:r w:rsidRPr="009759D1">
        <w:rPr>
          <w:sz w:val="24"/>
          <w:szCs w:val="24"/>
        </w:rPr>
        <w:t xml:space="preserve"> research reported in this pa</w:t>
      </w:r>
      <w:r w:rsidR="004E0088" w:rsidRPr="009759D1">
        <w:rPr>
          <w:sz w:val="24"/>
          <w:szCs w:val="24"/>
        </w:rPr>
        <w:t xml:space="preserve">per draws upon those aspects of the mainstream literature on absorptive capacity that are </w:t>
      </w:r>
      <w:r w:rsidR="005A36CF" w:rsidRPr="009759D1">
        <w:rPr>
          <w:sz w:val="24"/>
          <w:szCs w:val="24"/>
        </w:rPr>
        <w:t xml:space="preserve">applicable to tourism and, as </w:t>
      </w:r>
      <w:r w:rsidR="001B11AD" w:rsidRPr="009759D1">
        <w:rPr>
          <w:sz w:val="24"/>
          <w:szCs w:val="24"/>
        </w:rPr>
        <w:t>becomes clearer later, refine</w:t>
      </w:r>
      <w:r w:rsidR="00EC6863" w:rsidRPr="009759D1">
        <w:rPr>
          <w:sz w:val="24"/>
          <w:szCs w:val="24"/>
        </w:rPr>
        <w:t>s</w:t>
      </w:r>
      <w:r w:rsidR="005A36CF" w:rsidRPr="009759D1">
        <w:rPr>
          <w:sz w:val="24"/>
          <w:szCs w:val="24"/>
        </w:rPr>
        <w:t xml:space="preserve"> them to take account of what is already understood about tourism </w:t>
      </w:r>
      <w:r w:rsidR="001B11AD" w:rsidRPr="009759D1">
        <w:rPr>
          <w:sz w:val="24"/>
          <w:szCs w:val="24"/>
        </w:rPr>
        <w:t>enterprises</w:t>
      </w:r>
      <w:r w:rsidR="005A36CF" w:rsidRPr="009759D1">
        <w:rPr>
          <w:sz w:val="24"/>
          <w:szCs w:val="24"/>
        </w:rPr>
        <w:t xml:space="preserve"> and the environments within which they operate.</w:t>
      </w:r>
    </w:p>
    <w:p w:rsidR="00556B68" w:rsidRPr="009759D1" w:rsidRDefault="00556B68" w:rsidP="00556B68">
      <w:pPr>
        <w:spacing w:after="0" w:line="480" w:lineRule="auto"/>
        <w:rPr>
          <w:sz w:val="24"/>
          <w:szCs w:val="24"/>
        </w:rPr>
      </w:pPr>
    </w:p>
    <w:p w:rsidR="006E3D98" w:rsidRDefault="001464C0" w:rsidP="006E3D98">
      <w:pPr>
        <w:pStyle w:val="ListParagraph"/>
        <w:numPr>
          <w:ilvl w:val="0"/>
          <w:numId w:val="2"/>
        </w:numPr>
        <w:spacing w:after="0" w:line="480" w:lineRule="auto"/>
        <w:rPr>
          <w:b/>
          <w:sz w:val="24"/>
          <w:szCs w:val="24"/>
          <w:u w:val="single"/>
        </w:rPr>
      </w:pPr>
      <w:r>
        <w:rPr>
          <w:b/>
          <w:sz w:val="24"/>
          <w:szCs w:val="24"/>
          <w:u w:val="single"/>
        </w:rPr>
        <w:t>LITERATURE REVIEW</w:t>
      </w:r>
    </w:p>
    <w:p w:rsidR="009D1ACB" w:rsidRPr="00CB10D1" w:rsidRDefault="009D1ACB" w:rsidP="00CB10D1">
      <w:pPr>
        <w:pStyle w:val="ListParagraph"/>
        <w:numPr>
          <w:ilvl w:val="1"/>
          <w:numId w:val="2"/>
        </w:numPr>
        <w:spacing w:after="0" w:line="480" w:lineRule="auto"/>
        <w:rPr>
          <w:b/>
          <w:sz w:val="24"/>
          <w:szCs w:val="24"/>
          <w:u w:val="single"/>
        </w:rPr>
      </w:pPr>
      <w:r w:rsidRPr="00CB10D1">
        <w:rPr>
          <w:b/>
          <w:sz w:val="24"/>
          <w:szCs w:val="24"/>
          <w:u w:val="single"/>
        </w:rPr>
        <w:t>The role of absorptive capacity in innovation</w:t>
      </w:r>
    </w:p>
    <w:p w:rsidR="00DB7A8B" w:rsidRPr="009759D1" w:rsidRDefault="005B4FA3" w:rsidP="009759D1">
      <w:pPr>
        <w:spacing w:after="0" w:line="480" w:lineRule="auto"/>
        <w:rPr>
          <w:sz w:val="24"/>
          <w:szCs w:val="24"/>
        </w:rPr>
      </w:pPr>
      <w:r w:rsidRPr="009759D1">
        <w:rPr>
          <w:sz w:val="24"/>
          <w:szCs w:val="24"/>
        </w:rPr>
        <w:t>The opening paragraph of Lane, Koka and Pathak’s (2006</w:t>
      </w:r>
      <w:r w:rsidR="0078771F" w:rsidRPr="009759D1">
        <w:rPr>
          <w:sz w:val="24"/>
          <w:szCs w:val="24"/>
        </w:rPr>
        <w:t>: 833</w:t>
      </w:r>
      <w:r w:rsidRPr="009759D1">
        <w:rPr>
          <w:sz w:val="24"/>
          <w:szCs w:val="24"/>
        </w:rPr>
        <w:t xml:space="preserve">) highly regarded review of absorptive capacity </w:t>
      </w:r>
      <w:r w:rsidR="00B554E0" w:rsidRPr="009759D1">
        <w:rPr>
          <w:sz w:val="24"/>
          <w:szCs w:val="24"/>
        </w:rPr>
        <w:t>encapsulates the essence of the concept and its significance:</w:t>
      </w:r>
      <w:r w:rsidRPr="009759D1">
        <w:rPr>
          <w:sz w:val="24"/>
          <w:szCs w:val="24"/>
        </w:rPr>
        <w:t xml:space="preserve"> </w:t>
      </w:r>
    </w:p>
    <w:p w:rsidR="005B4FA3" w:rsidRPr="009759D1" w:rsidRDefault="005B4FA3" w:rsidP="009759D1">
      <w:pPr>
        <w:tabs>
          <w:tab w:val="left" w:pos="8080"/>
        </w:tabs>
        <w:spacing w:after="0" w:line="480" w:lineRule="auto"/>
        <w:ind w:left="709" w:right="946"/>
        <w:jc w:val="both"/>
        <w:rPr>
          <w:sz w:val="24"/>
          <w:szCs w:val="24"/>
        </w:rPr>
      </w:pPr>
      <w:r w:rsidRPr="009759D1">
        <w:rPr>
          <w:sz w:val="24"/>
          <w:szCs w:val="24"/>
        </w:rPr>
        <w:t>Absorptive capacity is one of the most important constructs to emerge in organisation</w:t>
      </w:r>
      <w:r w:rsidR="005D36A9" w:rsidRPr="009759D1">
        <w:rPr>
          <w:sz w:val="24"/>
          <w:szCs w:val="24"/>
        </w:rPr>
        <w:t xml:space="preserve">al research in recent decades . . . (it) </w:t>
      </w:r>
      <w:r w:rsidRPr="009759D1">
        <w:rPr>
          <w:sz w:val="24"/>
          <w:szCs w:val="24"/>
        </w:rPr>
        <w:t>refers to one of a firm’s fundamental learning processes: its ability to identify, assimilate, and exploit knowledge from the environment.  These three dimensions encompass not only the</w:t>
      </w:r>
      <w:r w:rsidR="00B554E0" w:rsidRPr="009759D1">
        <w:rPr>
          <w:sz w:val="24"/>
          <w:szCs w:val="24"/>
        </w:rPr>
        <w:t xml:space="preserve"> ability to imitate other firms’</w:t>
      </w:r>
      <w:r w:rsidRPr="009759D1">
        <w:rPr>
          <w:sz w:val="24"/>
          <w:szCs w:val="24"/>
        </w:rPr>
        <w:t xml:space="preserve"> products or processes but also the ability to exploit less commercially focused knowledge, such as scientific research.  Developing and maintaining absorptive capacity is crit</w:t>
      </w:r>
      <w:r w:rsidR="0078771F" w:rsidRPr="009759D1">
        <w:rPr>
          <w:sz w:val="24"/>
          <w:szCs w:val="24"/>
        </w:rPr>
        <w:t>i</w:t>
      </w:r>
      <w:r w:rsidRPr="009759D1">
        <w:rPr>
          <w:sz w:val="24"/>
          <w:szCs w:val="24"/>
        </w:rPr>
        <w:t>cal to a firm’s long term survival and success because absor</w:t>
      </w:r>
      <w:r w:rsidR="0078771F" w:rsidRPr="009759D1">
        <w:rPr>
          <w:sz w:val="24"/>
          <w:szCs w:val="24"/>
        </w:rPr>
        <w:t>p</w:t>
      </w:r>
      <w:r w:rsidRPr="009759D1">
        <w:rPr>
          <w:sz w:val="24"/>
          <w:szCs w:val="24"/>
        </w:rPr>
        <w:t>tive capacity can reinforce, complement</w:t>
      </w:r>
      <w:r w:rsidR="0078771F" w:rsidRPr="009759D1">
        <w:rPr>
          <w:sz w:val="24"/>
          <w:szCs w:val="24"/>
        </w:rPr>
        <w:t>, or refocus the firm’s knowledge base.</w:t>
      </w:r>
    </w:p>
    <w:p w:rsidR="00FE327D" w:rsidRDefault="00C04951" w:rsidP="009759D1">
      <w:pPr>
        <w:spacing w:after="0" w:line="480" w:lineRule="auto"/>
        <w:rPr>
          <w:sz w:val="24"/>
          <w:szCs w:val="24"/>
        </w:rPr>
      </w:pPr>
      <w:r>
        <w:rPr>
          <w:sz w:val="24"/>
          <w:szCs w:val="24"/>
        </w:rPr>
        <w:t>Recen</w:t>
      </w:r>
      <w:r w:rsidR="007135F8">
        <w:rPr>
          <w:sz w:val="24"/>
          <w:szCs w:val="24"/>
        </w:rPr>
        <w:t>t research suggests that absorpt</w:t>
      </w:r>
      <w:r>
        <w:rPr>
          <w:sz w:val="24"/>
          <w:szCs w:val="24"/>
        </w:rPr>
        <w:t xml:space="preserve">ive capacity makes a positive contribution to financial performance but that the relationship between levels of absorptive capacity and financial returns are nonmonotonic and that the former may even be harmful to performance at high levels (Wales, Parida abd Patel, 2013).  </w:t>
      </w:r>
    </w:p>
    <w:p w:rsidR="00FE327D" w:rsidRDefault="00FE327D" w:rsidP="009759D1">
      <w:pPr>
        <w:spacing w:after="0" w:line="480" w:lineRule="auto"/>
        <w:rPr>
          <w:sz w:val="24"/>
          <w:szCs w:val="24"/>
        </w:rPr>
      </w:pPr>
    </w:p>
    <w:p w:rsidR="0096170A" w:rsidRDefault="00C04951" w:rsidP="009759D1">
      <w:pPr>
        <w:spacing w:after="0" w:line="480" w:lineRule="auto"/>
        <w:rPr>
          <w:sz w:val="24"/>
          <w:szCs w:val="24"/>
        </w:rPr>
      </w:pPr>
      <w:r>
        <w:rPr>
          <w:sz w:val="24"/>
          <w:szCs w:val="24"/>
        </w:rPr>
        <w:t>A</w:t>
      </w:r>
      <w:r w:rsidR="00520B10" w:rsidRPr="00520B10">
        <w:rPr>
          <w:sz w:val="24"/>
          <w:szCs w:val="24"/>
        </w:rPr>
        <w:t xml:space="preserve"> systematic review of the literature on innovation in service sector businesses (Carlborg, Kindstrom and Kowalkowski, 2013) confirms the almost complete absence of research into the absorptive capacity of hotels and other tourism businesses in spite of the extensive ‘mainstream’ (notably manufacturing) literature.  </w:t>
      </w:r>
      <w:r w:rsidR="0096170A" w:rsidRPr="009759D1">
        <w:rPr>
          <w:sz w:val="24"/>
          <w:szCs w:val="24"/>
        </w:rPr>
        <w:t xml:space="preserve">Valentina and Passiante’s (2009) study is </w:t>
      </w:r>
      <w:r w:rsidR="0096170A" w:rsidRPr="009759D1">
        <w:rPr>
          <w:sz w:val="24"/>
          <w:szCs w:val="24"/>
        </w:rPr>
        <w:lastRenderedPageBreak/>
        <w:t>one of the few to examine absorptive capacity in tourism.  Their research on small and medium sized enterprises (SMEs) suggests that participation in formal networks is valuable if the knowledge gained from this activity can be shared effectively within the firm.  Weidenfeld, Williams and Butler (2009) have also signalled the importance of absorptive capacity to innovation in tourism organisations.  Though not the central focus of their work,</w:t>
      </w:r>
      <w:r w:rsidR="005D36A9" w:rsidRPr="009759D1">
        <w:rPr>
          <w:sz w:val="24"/>
          <w:szCs w:val="24"/>
        </w:rPr>
        <w:t xml:space="preserve"> they point out</w:t>
      </w:r>
      <w:r w:rsidR="0096170A" w:rsidRPr="009759D1">
        <w:rPr>
          <w:sz w:val="24"/>
          <w:szCs w:val="24"/>
        </w:rPr>
        <w:t xml:space="preserve"> that the absorptive capacity of organisations is influenced by organisational structure, human capital and management practices (see also Cooper, 2006</w:t>
      </w:r>
      <w:r w:rsidR="00520B10">
        <w:rPr>
          <w:sz w:val="24"/>
          <w:szCs w:val="24"/>
        </w:rPr>
        <w:t xml:space="preserve">). </w:t>
      </w:r>
      <w:r w:rsidR="00520B10" w:rsidRPr="00520B10">
        <w:rPr>
          <w:sz w:val="24"/>
          <w:szCs w:val="24"/>
        </w:rPr>
        <w:t xml:space="preserve"> </w:t>
      </w:r>
    </w:p>
    <w:p w:rsidR="005212CA" w:rsidRPr="009759D1" w:rsidRDefault="005212CA" w:rsidP="009759D1">
      <w:pPr>
        <w:spacing w:after="0" w:line="480" w:lineRule="auto"/>
        <w:rPr>
          <w:sz w:val="24"/>
          <w:szCs w:val="24"/>
        </w:rPr>
      </w:pPr>
    </w:p>
    <w:p w:rsidR="007E1D31" w:rsidRDefault="0096170A" w:rsidP="009759D1">
      <w:pPr>
        <w:spacing w:after="0" w:line="480" w:lineRule="auto"/>
        <w:rPr>
          <w:sz w:val="24"/>
          <w:szCs w:val="24"/>
        </w:rPr>
      </w:pPr>
      <w:r w:rsidRPr="009759D1">
        <w:rPr>
          <w:sz w:val="24"/>
          <w:szCs w:val="24"/>
        </w:rPr>
        <w:t xml:space="preserve">There are, however, dissenting perspectives. </w:t>
      </w:r>
      <w:r w:rsidR="00B554E0" w:rsidRPr="009759D1">
        <w:rPr>
          <w:sz w:val="24"/>
          <w:szCs w:val="24"/>
        </w:rPr>
        <w:t xml:space="preserve">Notwithstanding </w:t>
      </w:r>
      <w:r w:rsidR="00D03E89" w:rsidRPr="009759D1">
        <w:rPr>
          <w:sz w:val="24"/>
          <w:szCs w:val="24"/>
        </w:rPr>
        <w:t xml:space="preserve">their promotion of the concept, </w:t>
      </w:r>
      <w:r w:rsidR="00B554E0" w:rsidRPr="009759D1">
        <w:rPr>
          <w:sz w:val="24"/>
          <w:szCs w:val="24"/>
        </w:rPr>
        <w:t>Lane et al</w:t>
      </w:r>
      <w:r w:rsidR="00D03E89" w:rsidRPr="009759D1">
        <w:rPr>
          <w:sz w:val="24"/>
          <w:szCs w:val="24"/>
        </w:rPr>
        <w:t xml:space="preserve"> </w:t>
      </w:r>
      <w:r w:rsidR="00B554E0" w:rsidRPr="009759D1">
        <w:rPr>
          <w:sz w:val="24"/>
          <w:szCs w:val="24"/>
        </w:rPr>
        <w:t>(2006</w:t>
      </w:r>
      <w:r w:rsidRPr="009759D1">
        <w:rPr>
          <w:sz w:val="24"/>
          <w:szCs w:val="24"/>
        </w:rPr>
        <w:t>) for example,</w:t>
      </w:r>
      <w:r w:rsidR="00D03E89" w:rsidRPr="009759D1">
        <w:rPr>
          <w:sz w:val="24"/>
          <w:szCs w:val="24"/>
        </w:rPr>
        <w:t xml:space="preserve"> argue </w:t>
      </w:r>
      <w:r w:rsidR="005D36A9" w:rsidRPr="009759D1">
        <w:rPr>
          <w:sz w:val="24"/>
          <w:szCs w:val="24"/>
        </w:rPr>
        <w:t xml:space="preserve">that the </w:t>
      </w:r>
      <w:r w:rsidR="00C66AF4" w:rsidRPr="009759D1">
        <w:rPr>
          <w:sz w:val="24"/>
          <w:szCs w:val="24"/>
        </w:rPr>
        <w:t xml:space="preserve">theoretical advancement </w:t>
      </w:r>
      <w:r w:rsidRPr="009759D1">
        <w:rPr>
          <w:sz w:val="24"/>
          <w:szCs w:val="24"/>
        </w:rPr>
        <w:t xml:space="preserve">of absorptive capacity </w:t>
      </w:r>
      <w:r w:rsidR="00C66AF4" w:rsidRPr="009759D1">
        <w:rPr>
          <w:sz w:val="24"/>
          <w:szCs w:val="24"/>
        </w:rPr>
        <w:t>since it was originally proposed</w:t>
      </w:r>
      <w:r w:rsidR="005D36A9" w:rsidRPr="009759D1">
        <w:rPr>
          <w:sz w:val="24"/>
          <w:szCs w:val="24"/>
        </w:rPr>
        <w:t xml:space="preserve"> has been limited</w:t>
      </w:r>
      <w:r w:rsidR="00C66AF4" w:rsidRPr="009759D1">
        <w:rPr>
          <w:sz w:val="24"/>
          <w:szCs w:val="24"/>
        </w:rPr>
        <w:t xml:space="preserve">.  Instead, they suggest that </w:t>
      </w:r>
      <w:r w:rsidRPr="009759D1">
        <w:rPr>
          <w:sz w:val="24"/>
          <w:szCs w:val="24"/>
        </w:rPr>
        <w:t xml:space="preserve">it has been reified </w:t>
      </w:r>
      <w:r w:rsidR="005D36A9" w:rsidRPr="009759D1">
        <w:rPr>
          <w:sz w:val="24"/>
          <w:szCs w:val="24"/>
        </w:rPr>
        <w:t xml:space="preserve">to the extent that it is rarely examined </w:t>
      </w:r>
      <w:r w:rsidRPr="009759D1">
        <w:rPr>
          <w:sz w:val="24"/>
          <w:szCs w:val="24"/>
        </w:rPr>
        <w:t xml:space="preserve">critically even though </w:t>
      </w:r>
      <w:r w:rsidR="005D36A9" w:rsidRPr="009759D1">
        <w:rPr>
          <w:sz w:val="24"/>
          <w:szCs w:val="24"/>
        </w:rPr>
        <w:t>the term is used loosely on occasion and in different ways, without definition or qualification.</w:t>
      </w:r>
      <w:r w:rsidR="007E1D31" w:rsidRPr="009759D1">
        <w:rPr>
          <w:sz w:val="24"/>
          <w:szCs w:val="24"/>
        </w:rPr>
        <w:t xml:space="preserve">  </w:t>
      </w:r>
    </w:p>
    <w:p w:rsidR="005212CA" w:rsidRPr="009759D1" w:rsidRDefault="005212CA" w:rsidP="009759D1">
      <w:pPr>
        <w:spacing w:after="0" w:line="480" w:lineRule="auto"/>
        <w:rPr>
          <w:sz w:val="24"/>
          <w:szCs w:val="24"/>
        </w:rPr>
      </w:pPr>
    </w:p>
    <w:p w:rsidR="007E1D31" w:rsidRDefault="007E1D31" w:rsidP="009759D1">
      <w:pPr>
        <w:spacing w:after="0" w:line="480" w:lineRule="auto"/>
        <w:rPr>
          <w:sz w:val="24"/>
          <w:szCs w:val="24"/>
        </w:rPr>
      </w:pPr>
      <w:r w:rsidRPr="009759D1">
        <w:rPr>
          <w:sz w:val="24"/>
          <w:szCs w:val="24"/>
        </w:rPr>
        <w:t xml:space="preserve">Other commentators have </w:t>
      </w:r>
      <w:r w:rsidR="009054F5" w:rsidRPr="009759D1">
        <w:rPr>
          <w:sz w:val="24"/>
          <w:szCs w:val="24"/>
        </w:rPr>
        <w:t xml:space="preserve">even </w:t>
      </w:r>
      <w:r w:rsidRPr="009759D1">
        <w:rPr>
          <w:sz w:val="24"/>
          <w:szCs w:val="24"/>
        </w:rPr>
        <w:t>questioned the centrality of knowledge as the basis for competitive advantage.  Alvesson and Spicer (2012:1195), for example, challenge what they consider to be the ‘one-sided, widely shared, and rather grandiose portrait’ of the competitive firm inevitably being associated with the effective mobilization and utilisation of its cognitive capacities.  In some cases, they suggest that ‘functional stupidity’ - characterised by a lack of reflexivity, a somewhat narrow focus and an environment where few justifications are required for decisions - can provide significant organisational benefits.  These include certainty, decisiveness and predictability, all of which</w:t>
      </w:r>
      <w:r w:rsidR="004C2DF0" w:rsidRPr="009759D1">
        <w:rPr>
          <w:sz w:val="24"/>
          <w:szCs w:val="24"/>
        </w:rPr>
        <w:t>, they argue,</w:t>
      </w:r>
      <w:r w:rsidRPr="009759D1">
        <w:rPr>
          <w:sz w:val="24"/>
          <w:szCs w:val="24"/>
        </w:rPr>
        <w:t xml:space="preserve"> enable the productive functioning of the firm.  </w:t>
      </w:r>
    </w:p>
    <w:p w:rsidR="005212CA" w:rsidRPr="009759D1" w:rsidRDefault="005212CA" w:rsidP="009759D1">
      <w:pPr>
        <w:spacing w:after="0" w:line="480" w:lineRule="auto"/>
        <w:rPr>
          <w:sz w:val="24"/>
          <w:szCs w:val="24"/>
        </w:rPr>
      </w:pPr>
    </w:p>
    <w:p w:rsidR="007254C0" w:rsidRDefault="007254C0" w:rsidP="009759D1">
      <w:pPr>
        <w:pStyle w:val="ListParagraph"/>
        <w:spacing w:after="0" w:line="480" w:lineRule="auto"/>
        <w:ind w:left="0"/>
        <w:rPr>
          <w:sz w:val="24"/>
          <w:szCs w:val="24"/>
        </w:rPr>
      </w:pPr>
      <w:r w:rsidRPr="009759D1">
        <w:rPr>
          <w:sz w:val="24"/>
          <w:szCs w:val="24"/>
        </w:rPr>
        <w:lastRenderedPageBreak/>
        <w:t>Some studies of tourism enterprises have also cautioned against an uncritical focus on external knowledge acquisition as though it inevitably leads to innovative behaviour.  Guisado-Gonzalez et al’s (201</w:t>
      </w:r>
      <w:r w:rsidR="005C30C1">
        <w:rPr>
          <w:sz w:val="24"/>
          <w:szCs w:val="24"/>
        </w:rPr>
        <w:t>3</w:t>
      </w:r>
      <w:r w:rsidRPr="009759D1">
        <w:rPr>
          <w:sz w:val="24"/>
          <w:szCs w:val="24"/>
        </w:rPr>
        <w:t>) recent research shows that the purchase of technological knowledge from outside the firm</w:t>
      </w:r>
      <w:r w:rsidR="007B62A4" w:rsidRPr="009759D1">
        <w:rPr>
          <w:sz w:val="24"/>
          <w:szCs w:val="24"/>
        </w:rPr>
        <w:t>, for example,</w:t>
      </w:r>
      <w:r w:rsidRPr="009759D1">
        <w:rPr>
          <w:sz w:val="24"/>
          <w:szCs w:val="24"/>
        </w:rPr>
        <w:t xml:space="preserve"> does not necessarily result in enhanced innovation.  Indeed, their analysis of Spanish hospitality companies’ purchase of technology suggests that knowledge acquisition of this kind is not only a poor indicator of innovation but </w:t>
      </w:r>
      <w:r w:rsidR="007B62A4" w:rsidRPr="009759D1">
        <w:rPr>
          <w:sz w:val="24"/>
          <w:szCs w:val="24"/>
        </w:rPr>
        <w:t xml:space="preserve">may lead to </w:t>
      </w:r>
      <w:r w:rsidRPr="009759D1">
        <w:rPr>
          <w:sz w:val="24"/>
          <w:szCs w:val="24"/>
        </w:rPr>
        <w:t xml:space="preserve">a negative effect on innovation.  </w:t>
      </w:r>
      <w:r w:rsidR="0005048C" w:rsidRPr="009759D1">
        <w:rPr>
          <w:sz w:val="24"/>
          <w:szCs w:val="24"/>
        </w:rPr>
        <w:t>Such findings are not unique to tourism (Gebauer, Worch and Truffer, 2012).</w:t>
      </w:r>
    </w:p>
    <w:p w:rsidR="005212CA" w:rsidRPr="009759D1" w:rsidRDefault="005212CA" w:rsidP="009759D1">
      <w:pPr>
        <w:pStyle w:val="ListParagraph"/>
        <w:spacing w:after="0" w:line="480" w:lineRule="auto"/>
        <w:ind w:left="0"/>
        <w:rPr>
          <w:sz w:val="24"/>
          <w:szCs w:val="24"/>
        </w:rPr>
      </w:pPr>
    </w:p>
    <w:p w:rsidR="002E2FB5" w:rsidRPr="009759D1" w:rsidRDefault="007E1D31" w:rsidP="009759D1">
      <w:pPr>
        <w:spacing w:after="0" w:line="480" w:lineRule="auto"/>
        <w:rPr>
          <w:sz w:val="24"/>
          <w:szCs w:val="24"/>
        </w:rPr>
      </w:pPr>
      <w:r w:rsidRPr="009759D1">
        <w:rPr>
          <w:sz w:val="24"/>
          <w:szCs w:val="24"/>
        </w:rPr>
        <w:t xml:space="preserve">The discussion of absorptive capacity that follows </w:t>
      </w:r>
      <w:r w:rsidR="009054F5" w:rsidRPr="009759D1">
        <w:rPr>
          <w:sz w:val="24"/>
          <w:szCs w:val="24"/>
        </w:rPr>
        <w:t xml:space="preserve">notes but </w:t>
      </w:r>
      <w:r w:rsidRPr="009759D1">
        <w:rPr>
          <w:sz w:val="24"/>
          <w:szCs w:val="24"/>
        </w:rPr>
        <w:t xml:space="preserve">rejects </w:t>
      </w:r>
      <w:r w:rsidR="007254C0" w:rsidRPr="009759D1">
        <w:rPr>
          <w:sz w:val="24"/>
          <w:szCs w:val="24"/>
        </w:rPr>
        <w:t xml:space="preserve">the contrasting </w:t>
      </w:r>
      <w:r w:rsidRPr="009759D1">
        <w:rPr>
          <w:sz w:val="24"/>
          <w:szCs w:val="24"/>
        </w:rPr>
        <w:t>criticism</w:t>
      </w:r>
      <w:r w:rsidR="007254C0" w:rsidRPr="009759D1">
        <w:rPr>
          <w:sz w:val="24"/>
          <w:szCs w:val="24"/>
        </w:rPr>
        <w:t>s identified above</w:t>
      </w:r>
      <w:r w:rsidR="009E216C" w:rsidRPr="009759D1">
        <w:rPr>
          <w:sz w:val="24"/>
          <w:szCs w:val="24"/>
        </w:rPr>
        <w:t xml:space="preserve"> for t</w:t>
      </w:r>
      <w:r w:rsidR="00855DEB" w:rsidRPr="009759D1">
        <w:rPr>
          <w:sz w:val="24"/>
          <w:szCs w:val="24"/>
        </w:rPr>
        <w:t>hree</w:t>
      </w:r>
      <w:r w:rsidRPr="009759D1">
        <w:rPr>
          <w:sz w:val="24"/>
          <w:szCs w:val="24"/>
        </w:rPr>
        <w:t xml:space="preserve"> reasons. First</w:t>
      </w:r>
      <w:r w:rsidR="009E216C" w:rsidRPr="009759D1">
        <w:rPr>
          <w:sz w:val="24"/>
          <w:szCs w:val="24"/>
        </w:rPr>
        <w:t>ly</w:t>
      </w:r>
      <w:r w:rsidRPr="009759D1">
        <w:rPr>
          <w:sz w:val="24"/>
          <w:szCs w:val="24"/>
        </w:rPr>
        <w:t xml:space="preserve">, the fundamental challenge to the role of knowledge in innovation is </w:t>
      </w:r>
      <w:r w:rsidR="00855DEB" w:rsidRPr="009759D1">
        <w:rPr>
          <w:sz w:val="24"/>
          <w:szCs w:val="24"/>
        </w:rPr>
        <w:t>countered by the weight of increasingly robust theorising and empirical evidence</w:t>
      </w:r>
      <w:r w:rsidR="009054F5" w:rsidRPr="009759D1">
        <w:rPr>
          <w:sz w:val="24"/>
          <w:szCs w:val="24"/>
        </w:rPr>
        <w:t>.  To do so does not imply that external knowledge is part of a neat linear process of innovation (Van de Van et al., 2008). Indeed, it is proposed that while knowledge is interpreted (and created)</w:t>
      </w:r>
      <w:r w:rsidR="00855DEB" w:rsidRPr="009759D1">
        <w:rPr>
          <w:sz w:val="24"/>
          <w:szCs w:val="24"/>
        </w:rPr>
        <w:t xml:space="preserve"> </w:t>
      </w:r>
      <w:r w:rsidR="009054F5" w:rsidRPr="009759D1">
        <w:rPr>
          <w:sz w:val="24"/>
          <w:szCs w:val="24"/>
        </w:rPr>
        <w:t xml:space="preserve">within the structure of an organisation, it is constitutive of the structure rather than contingent (Staber, 2013). </w:t>
      </w:r>
      <w:r w:rsidR="00855DEB" w:rsidRPr="009759D1">
        <w:rPr>
          <w:sz w:val="24"/>
          <w:szCs w:val="24"/>
        </w:rPr>
        <w:t xml:space="preserve">  Secondly, it is not claimed that </w:t>
      </w:r>
      <w:r w:rsidRPr="009759D1">
        <w:rPr>
          <w:sz w:val="24"/>
          <w:szCs w:val="24"/>
        </w:rPr>
        <w:t xml:space="preserve">focusing on knowledge, or for that matter absorptive capacity, is the sole or exclusive way of interrogating innovation.  </w:t>
      </w:r>
      <w:r w:rsidR="00855DEB" w:rsidRPr="009759D1">
        <w:rPr>
          <w:sz w:val="24"/>
          <w:szCs w:val="24"/>
        </w:rPr>
        <w:t xml:space="preserve">As Lichenthaler and Lichenthaler (2009) have argued, absorptive capacity may be one of several capability-based capacities that influence innovation.  Finally, </w:t>
      </w:r>
      <w:r w:rsidRPr="009759D1">
        <w:rPr>
          <w:sz w:val="24"/>
          <w:szCs w:val="24"/>
        </w:rPr>
        <w:t>the model of absorptive capacity discussed below represents a significant refinement on what was originally proposed by Cohen and Levinthal (1990).</w:t>
      </w:r>
      <w:r w:rsidR="007B62A4" w:rsidRPr="009759D1">
        <w:rPr>
          <w:sz w:val="24"/>
          <w:szCs w:val="24"/>
        </w:rPr>
        <w:t xml:space="preserve"> When </w:t>
      </w:r>
      <w:r w:rsidR="00FD351F" w:rsidRPr="009759D1">
        <w:rPr>
          <w:sz w:val="24"/>
          <w:szCs w:val="24"/>
        </w:rPr>
        <w:t>conceptualised</w:t>
      </w:r>
      <w:r w:rsidR="00FE327D">
        <w:rPr>
          <w:sz w:val="24"/>
          <w:szCs w:val="24"/>
        </w:rPr>
        <w:t xml:space="preserve"> appropriately</w:t>
      </w:r>
      <w:r w:rsidR="00FD351F" w:rsidRPr="009759D1">
        <w:rPr>
          <w:sz w:val="24"/>
          <w:szCs w:val="24"/>
        </w:rPr>
        <w:t xml:space="preserve">, there is a strong </w:t>
      </w:r>
      <w:r w:rsidR="00FD351F" w:rsidRPr="009759D1">
        <w:rPr>
          <w:i/>
          <w:sz w:val="24"/>
          <w:szCs w:val="24"/>
        </w:rPr>
        <w:t>a</w:t>
      </w:r>
      <w:r w:rsidR="005A7966">
        <w:rPr>
          <w:i/>
          <w:sz w:val="24"/>
          <w:szCs w:val="24"/>
        </w:rPr>
        <w:t xml:space="preserve"> </w:t>
      </w:r>
      <w:r w:rsidR="00FD351F" w:rsidRPr="009759D1">
        <w:rPr>
          <w:i/>
          <w:sz w:val="24"/>
          <w:szCs w:val="24"/>
        </w:rPr>
        <w:t xml:space="preserve">priori </w:t>
      </w:r>
      <w:r w:rsidR="00FD351F" w:rsidRPr="009759D1">
        <w:rPr>
          <w:sz w:val="24"/>
          <w:szCs w:val="24"/>
        </w:rPr>
        <w:t>case for supposing that absorptive capacity is</w:t>
      </w:r>
      <w:r w:rsidR="007B62A4" w:rsidRPr="009759D1">
        <w:rPr>
          <w:sz w:val="24"/>
          <w:szCs w:val="24"/>
        </w:rPr>
        <w:t xml:space="preserve"> a valuable means of examining an aspect of innovation within enterprises in tourism. </w:t>
      </w:r>
      <w:r w:rsidRPr="009759D1">
        <w:rPr>
          <w:sz w:val="24"/>
          <w:szCs w:val="24"/>
        </w:rPr>
        <w:t xml:space="preserve">  </w:t>
      </w:r>
    </w:p>
    <w:p w:rsidR="007254C0" w:rsidRPr="009759D1" w:rsidRDefault="007254C0" w:rsidP="009759D1">
      <w:pPr>
        <w:spacing w:after="0" w:line="480" w:lineRule="auto"/>
        <w:rPr>
          <w:sz w:val="24"/>
          <w:szCs w:val="24"/>
        </w:rPr>
      </w:pPr>
    </w:p>
    <w:p w:rsidR="009D1ACB" w:rsidRPr="00004E56" w:rsidRDefault="00814416" w:rsidP="009759D1">
      <w:pPr>
        <w:pStyle w:val="ListParagraph"/>
        <w:numPr>
          <w:ilvl w:val="1"/>
          <w:numId w:val="2"/>
        </w:numPr>
        <w:spacing w:after="0" w:line="480" w:lineRule="auto"/>
        <w:rPr>
          <w:b/>
          <w:sz w:val="24"/>
          <w:szCs w:val="24"/>
        </w:rPr>
      </w:pPr>
      <w:r w:rsidRPr="00004E56">
        <w:rPr>
          <w:b/>
          <w:sz w:val="24"/>
          <w:szCs w:val="24"/>
        </w:rPr>
        <w:t>D</w:t>
      </w:r>
      <w:r w:rsidR="009D1ACB" w:rsidRPr="00004E56">
        <w:rPr>
          <w:b/>
          <w:sz w:val="24"/>
          <w:szCs w:val="24"/>
        </w:rPr>
        <w:t>imensions of absorptive capacity</w:t>
      </w:r>
    </w:p>
    <w:p w:rsidR="008D6900" w:rsidRDefault="009120AB" w:rsidP="009759D1">
      <w:pPr>
        <w:spacing w:after="0" w:line="480" w:lineRule="auto"/>
        <w:rPr>
          <w:sz w:val="24"/>
          <w:szCs w:val="24"/>
        </w:rPr>
      </w:pPr>
      <w:r w:rsidRPr="009759D1">
        <w:rPr>
          <w:sz w:val="24"/>
          <w:szCs w:val="24"/>
        </w:rPr>
        <w:t>Zah</w:t>
      </w:r>
      <w:r w:rsidR="003D7E65" w:rsidRPr="009759D1">
        <w:rPr>
          <w:sz w:val="24"/>
          <w:szCs w:val="24"/>
        </w:rPr>
        <w:t xml:space="preserve">ra and George’s (2002) highly cited contribution provides a valuable refinement of Cohen and Levinthal’s (1990) initial theorising by conceptualising absorptive capacity as a dynamic capability.  Seen this way, absorptive capacity is neither an organisational asset (a static notion which equates to a firm’s knowledge base and fails to incorporate the processes by which knowledge is captured and used) or a substantive capability </w:t>
      </w:r>
      <w:r w:rsidR="0072465B" w:rsidRPr="009759D1">
        <w:rPr>
          <w:sz w:val="24"/>
          <w:szCs w:val="24"/>
        </w:rPr>
        <w:t>(</w:t>
      </w:r>
      <w:r w:rsidR="003D7E65" w:rsidRPr="009759D1">
        <w:rPr>
          <w:sz w:val="24"/>
          <w:szCs w:val="24"/>
        </w:rPr>
        <w:t>which, in this context, would encompass the process by which organisations gather external information and the competencies they use for its utilization for competitive purposes) (Roberts, Galluch, Dinger and Grover, 2012).</w:t>
      </w:r>
      <w:r w:rsidR="0072465B" w:rsidRPr="009759D1">
        <w:rPr>
          <w:sz w:val="24"/>
          <w:szCs w:val="24"/>
        </w:rPr>
        <w:t xml:space="preserve">  The dynamic element refers to an organisation’s ability to reconfigure its substantive capabilities</w:t>
      </w:r>
      <w:r w:rsidR="00FD351F" w:rsidRPr="009759D1">
        <w:rPr>
          <w:sz w:val="24"/>
          <w:szCs w:val="24"/>
        </w:rPr>
        <w:t xml:space="preserve"> (Nieves and Haller, 2014)</w:t>
      </w:r>
      <w:r w:rsidR="0072465B" w:rsidRPr="009759D1">
        <w:rPr>
          <w:sz w:val="24"/>
          <w:szCs w:val="24"/>
        </w:rPr>
        <w:t xml:space="preserve">. </w:t>
      </w:r>
      <w:r w:rsidR="00FE327D">
        <w:rPr>
          <w:sz w:val="24"/>
          <w:szCs w:val="24"/>
        </w:rPr>
        <w:t xml:space="preserve"> Though the distinction is not always neat, even conceptually (Helfat and Winter, 2011</w:t>
      </w:r>
      <w:r w:rsidR="00767EAC">
        <w:rPr>
          <w:sz w:val="24"/>
          <w:szCs w:val="24"/>
        </w:rPr>
        <w:t>; Hine et al., 2013</w:t>
      </w:r>
      <w:r w:rsidR="00FE327D">
        <w:rPr>
          <w:sz w:val="24"/>
          <w:szCs w:val="24"/>
        </w:rPr>
        <w:t>)</w:t>
      </w:r>
      <w:r w:rsidR="00767EAC">
        <w:rPr>
          <w:sz w:val="24"/>
          <w:szCs w:val="24"/>
        </w:rPr>
        <w:t xml:space="preserve">, </w:t>
      </w:r>
      <w:r w:rsidR="007E5D91">
        <w:rPr>
          <w:sz w:val="24"/>
          <w:szCs w:val="24"/>
        </w:rPr>
        <w:t xml:space="preserve">as </w:t>
      </w:r>
      <w:r w:rsidR="0072465B" w:rsidRPr="009759D1">
        <w:rPr>
          <w:sz w:val="24"/>
          <w:szCs w:val="24"/>
        </w:rPr>
        <w:t>Sun and Anderson (2008: 134) point out, ‘a dynamic capability … reflects the ability of an organisation to respond to strategic change … by reconstructing its core capabilities’.</w:t>
      </w:r>
      <w:r w:rsidRPr="009759D1">
        <w:rPr>
          <w:sz w:val="24"/>
          <w:szCs w:val="24"/>
        </w:rPr>
        <w:t xml:space="preserve"> </w:t>
      </w:r>
      <w:r w:rsidR="00767EAC">
        <w:rPr>
          <w:sz w:val="24"/>
          <w:szCs w:val="24"/>
        </w:rPr>
        <w:t xml:space="preserve"> Thus, to borrow K</w:t>
      </w:r>
      <w:r w:rsidR="00FE327D">
        <w:rPr>
          <w:sz w:val="24"/>
          <w:szCs w:val="24"/>
        </w:rPr>
        <w:t xml:space="preserve">atkalo et al’s (2010:1178) words, ‘whether the </w:t>
      </w:r>
      <w:r w:rsidR="00C27B45">
        <w:rPr>
          <w:sz w:val="24"/>
          <w:szCs w:val="24"/>
        </w:rPr>
        <w:t>enterprise</w:t>
      </w:r>
      <w:r w:rsidR="00FE327D">
        <w:rPr>
          <w:sz w:val="24"/>
          <w:szCs w:val="24"/>
        </w:rPr>
        <w:t xml:space="preserve"> is currently making the right products and addressing the right market segment, or whether its future plans are appropriately matched to consumer needs and technological competitive opportunities, is determined by its dynamic capabilities’.  Within this context, </w:t>
      </w:r>
      <w:r w:rsidRPr="009759D1">
        <w:rPr>
          <w:sz w:val="24"/>
          <w:szCs w:val="24"/>
        </w:rPr>
        <w:t>Zah</w:t>
      </w:r>
      <w:r w:rsidR="0072465B" w:rsidRPr="009759D1">
        <w:rPr>
          <w:sz w:val="24"/>
          <w:szCs w:val="24"/>
        </w:rPr>
        <w:t>ra and George (2002) propose four capabilities or dimensions of absorptive capacity</w:t>
      </w:r>
      <w:r w:rsidR="00FC5290" w:rsidRPr="009759D1">
        <w:rPr>
          <w:sz w:val="24"/>
          <w:szCs w:val="24"/>
        </w:rPr>
        <w:t xml:space="preserve">: acquisition, assimilation, transformation, and exploitation. </w:t>
      </w:r>
    </w:p>
    <w:p w:rsidR="005212CA" w:rsidRPr="009759D1" w:rsidRDefault="005212CA" w:rsidP="009759D1">
      <w:pPr>
        <w:spacing w:after="0" w:line="480" w:lineRule="auto"/>
        <w:rPr>
          <w:sz w:val="24"/>
          <w:szCs w:val="24"/>
        </w:rPr>
      </w:pPr>
    </w:p>
    <w:p w:rsidR="00287AC2" w:rsidRDefault="0072465B" w:rsidP="009759D1">
      <w:pPr>
        <w:spacing w:after="0" w:line="480" w:lineRule="auto"/>
        <w:rPr>
          <w:sz w:val="24"/>
          <w:szCs w:val="24"/>
        </w:rPr>
      </w:pPr>
      <w:r w:rsidRPr="009759D1">
        <w:rPr>
          <w:sz w:val="24"/>
          <w:szCs w:val="24"/>
        </w:rPr>
        <w:t xml:space="preserve">The first capability is a firm’s ability to </w:t>
      </w:r>
      <w:r w:rsidR="00123E4E" w:rsidRPr="009759D1">
        <w:rPr>
          <w:sz w:val="24"/>
          <w:szCs w:val="24"/>
        </w:rPr>
        <w:t xml:space="preserve">identify and </w:t>
      </w:r>
      <w:r w:rsidRPr="009759D1">
        <w:rPr>
          <w:sz w:val="24"/>
          <w:szCs w:val="24"/>
        </w:rPr>
        <w:t>acquire knowledge from external sources.</w:t>
      </w:r>
      <w:r w:rsidR="00123E4E" w:rsidRPr="009759D1">
        <w:rPr>
          <w:sz w:val="24"/>
          <w:szCs w:val="24"/>
        </w:rPr>
        <w:t xml:space="preserve">  Three attributes – namely, the intensity, speed and direction of effort – can influence the quality of acquisition.   The second capability </w:t>
      </w:r>
      <w:r w:rsidR="00FC5290" w:rsidRPr="009759D1">
        <w:rPr>
          <w:sz w:val="24"/>
          <w:szCs w:val="24"/>
        </w:rPr>
        <w:t>is an organisation’s</w:t>
      </w:r>
      <w:r w:rsidR="002E4479" w:rsidRPr="009759D1">
        <w:rPr>
          <w:sz w:val="24"/>
          <w:szCs w:val="24"/>
        </w:rPr>
        <w:t xml:space="preserve"> ability to </w:t>
      </w:r>
      <w:r w:rsidR="00123E4E" w:rsidRPr="009759D1">
        <w:rPr>
          <w:sz w:val="24"/>
          <w:szCs w:val="24"/>
        </w:rPr>
        <w:lastRenderedPageBreak/>
        <w:t>assimilat</w:t>
      </w:r>
      <w:r w:rsidR="002E4479" w:rsidRPr="009759D1">
        <w:rPr>
          <w:sz w:val="24"/>
          <w:szCs w:val="24"/>
        </w:rPr>
        <w:t>e new know</w:t>
      </w:r>
      <w:r w:rsidR="00C52BD3" w:rsidRPr="009759D1">
        <w:rPr>
          <w:sz w:val="24"/>
          <w:szCs w:val="24"/>
        </w:rPr>
        <w:t>l</w:t>
      </w:r>
      <w:r w:rsidR="002E4479" w:rsidRPr="009759D1">
        <w:rPr>
          <w:sz w:val="24"/>
          <w:szCs w:val="24"/>
        </w:rPr>
        <w:t>edge</w:t>
      </w:r>
      <w:r w:rsidR="00123E4E" w:rsidRPr="009759D1">
        <w:rPr>
          <w:sz w:val="24"/>
          <w:szCs w:val="24"/>
        </w:rPr>
        <w:t xml:space="preserve">.  </w:t>
      </w:r>
      <w:r w:rsidR="00C52BD3" w:rsidRPr="009759D1">
        <w:rPr>
          <w:sz w:val="24"/>
          <w:szCs w:val="24"/>
        </w:rPr>
        <w:t>In other words,</w:t>
      </w:r>
      <w:r w:rsidR="002E4479" w:rsidRPr="009759D1">
        <w:rPr>
          <w:sz w:val="24"/>
          <w:szCs w:val="24"/>
        </w:rPr>
        <w:t xml:space="preserve"> </w:t>
      </w:r>
      <w:r w:rsidR="00C52BD3" w:rsidRPr="009759D1">
        <w:rPr>
          <w:sz w:val="24"/>
          <w:szCs w:val="24"/>
        </w:rPr>
        <w:t>its</w:t>
      </w:r>
      <w:r w:rsidR="00123E4E" w:rsidRPr="009759D1">
        <w:rPr>
          <w:sz w:val="24"/>
          <w:szCs w:val="24"/>
        </w:rPr>
        <w:t xml:space="preserve"> processes for </w:t>
      </w:r>
      <w:r w:rsidR="001406CD" w:rsidRPr="009759D1">
        <w:rPr>
          <w:sz w:val="24"/>
          <w:szCs w:val="24"/>
        </w:rPr>
        <w:t>interpreting the knowledge acquired</w:t>
      </w:r>
      <w:r w:rsidR="00C52BD3" w:rsidRPr="009759D1">
        <w:rPr>
          <w:sz w:val="24"/>
          <w:szCs w:val="24"/>
        </w:rPr>
        <w:t xml:space="preserve"> in strategic terms</w:t>
      </w:r>
      <w:r w:rsidR="001406CD" w:rsidRPr="009759D1">
        <w:rPr>
          <w:sz w:val="24"/>
          <w:szCs w:val="24"/>
        </w:rPr>
        <w:t xml:space="preserve">. </w:t>
      </w:r>
      <w:r w:rsidR="00C52BD3" w:rsidRPr="009759D1">
        <w:rPr>
          <w:sz w:val="24"/>
          <w:szCs w:val="24"/>
        </w:rPr>
        <w:t xml:space="preserve"> W</w:t>
      </w:r>
      <w:r w:rsidR="002E4479" w:rsidRPr="009759D1">
        <w:rPr>
          <w:sz w:val="24"/>
          <w:szCs w:val="24"/>
        </w:rPr>
        <w:t xml:space="preserve">here external knowledge is based on heuristics not understood by the enterprise, </w:t>
      </w:r>
      <w:r w:rsidR="00C52BD3" w:rsidRPr="009759D1">
        <w:rPr>
          <w:sz w:val="24"/>
          <w:szCs w:val="24"/>
        </w:rPr>
        <w:t xml:space="preserve">comprehension </w:t>
      </w:r>
      <w:r w:rsidR="00FC5290" w:rsidRPr="009759D1">
        <w:rPr>
          <w:sz w:val="24"/>
          <w:szCs w:val="24"/>
        </w:rPr>
        <w:t>will be limited.  Thus</w:t>
      </w:r>
      <w:r w:rsidR="002E4479" w:rsidRPr="009759D1">
        <w:rPr>
          <w:sz w:val="24"/>
          <w:szCs w:val="24"/>
        </w:rPr>
        <w:t xml:space="preserve">, as external knowledge is </w:t>
      </w:r>
      <w:r w:rsidR="00C52BD3" w:rsidRPr="009759D1">
        <w:rPr>
          <w:sz w:val="24"/>
          <w:szCs w:val="24"/>
        </w:rPr>
        <w:t xml:space="preserve">often specific to particular contexts, interpretation will be flawed unless those contexts are understood.  The third capability is entitled transformation.  The essence of this dimension is that newly acquired and assimilated knowledge is combined with existing knowledge to provide a new understanding.  </w:t>
      </w:r>
      <w:r w:rsidR="009120AB" w:rsidRPr="009759D1">
        <w:rPr>
          <w:sz w:val="24"/>
          <w:szCs w:val="24"/>
        </w:rPr>
        <w:t>Zah</w:t>
      </w:r>
      <w:r w:rsidR="005D2506" w:rsidRPr="009759D1">
        <w:rPr>
          <w:sz w:val="24"/>
          <w:szCs w:val="24"/>
        </w:rPr>
        <w:t>ra and George (2002: 190) argue that ‘the ability of firms to recognize two apparently incongruous sets of information and then combine them to arrive at a new schema represents a transformation capability</w:t>
      </w:r>
      <w:r w:rsidR="009E0ADD" w:rsidRPr="009759D1">
        <w:rPr>
          <w:sz w:val="24"/>
          <w:szCs w:val="24"/>
        </w:rPr>
        <w:t xml:space="preserve"> … It yields new insights, facilitates the recognition of opportunities, and, at the same time, alters the way the firm sees itself and its competitive lan</w:t>
      </w:r>
      <w:r w:rsidR="00B53964" w:rsidRPr="009759D1">
        <w:rPr>
          <w:sz w:val="24"/>
          <w:szCs w:val="24"/>
        </w:rPr>
        <w:t>d</w:t>
      </w:r>
      <w:r w:rsidR="009E0ADD" w:rsidRPr="009759D1">
        <w:rPr>
          <w:sz w:val="24"/>
          <w:szCs w:val="24"/>
        </w:rPr>
        <w:t>scape’.</w:t>
      </w:r>
      <w:r w:rsidR="00B53964" w:rsidRPr="009759D1">
        <w:rPr>
          <w:sz w:val="24"/>
          <w:szCs w:val="24"/>
        </w:rPr>
        <w:t xml:space="preserve">  </w:t>
      </w:r>
      <w:r w:rsidR="00F27F37" w:rsidRPr="009759D1">
        <w:rPr>
          <w:sz w:val="24"/>
          <w:szCs w:val="24"/>
        </w:rPr>
        <w:t xml:space="preserve">The final dimension is exploitation.  Although it is acknowledged that exploitation may occur by happenstance or serendipity, the capability referred to here implies the </w:t>
      </w:r>
      <w:r w:rsidR="00287AC2" w:rsidRPr="009759D1">
        <w:rPr>
          <w:sz w:val="24"/>
          <w:szCs w:val="24"/>
        </w:rPr>
        <w:t xml:space="preserve">presence </w:t>
      </w:r>
      <w:r w:rsidR="00EC2D29" w:rsidRPr="009759D1">
        <w:rPr>
          <w:sz w:val="24"/>
          <w:szCs w:val="24"/>
        </w:rPr>
        <w:t>of procedural mechanisms that enable organisations to refine current initia</w:t>
      </w:r>
      <w:r w:rsidR="007254C0" w:rsidRPr="009759D1">
        <w:rPr>
          <w:sz w:val="24"/>
          <w:szCs w:val="24"/>
        </w:rPr>
        <w:t>tives or begin new ones; i</w:t>
      </w:r>
      <w:r w:rsidR="00FC5290" w:rsidRPr="009759D1">
        <w:rPr>
          <w:sz w:val="24"/>
          <w:szCs w:val="24"/>
        </w:rPr>
        <w:t>n other words, to innovate</w:t>
      </w:r>
      <w:r w:rsidR="00855DEB" w:rsidRPr="009759D1">
        <w:rPr>
          <w:sz w:val="24"/>
          <w:szCs w:val="24"/>
        </w:rPr>
        <w:t xml:space="preserve"> </w:t>
      </w:r>
      <w:r w:rsidR="004C6CFA">
        <w:rPr>
          <w:sz w:val="24"/>
          <w:szCs w:val="24"/>
        </w:rPr>
        <w:t xml:space="preserve">and sustain their businesses </w:t>
      </w:r>
      <w:r w:rsidR="00855DEB" w:rsidRPr="009759D1">
        <w:rPr>
          <w:sz w:val="24"/>
          <w:szCs w:val="24"/>
        </w:rPr>
        <w:t xml:space="preserve">(Easterby-Smith, Grace, Antonacopoulou and Ferdinand, 2008). </w:t>
      </w:r>
      <w:r w:rsidR="004C6CFA">
        <w:rPr>
          <w:sz w:val="24"/>
          <w:szCs w:val="24"/>
        </w:rPr>
        <w:t xml:space="preserve"> Each of these will be mediated by the organisation’s dominant logic and routines.  The former refers to the way resource allocations are made in light of managers’ conceptualisations of the business (Kor and Mesko, 2013).  The latter, though recognised as playing an important role in enabling or hindering innovation and change, remains contested and under-researched (cf Feldman, 2000; Katkalo, 2010; Salvato and Rerup, 2011).  How such factors influence absorptive capacity may also vary between single and multi-unit operations (</w:t>
      </w:r>
      <w:r w:rsidR="004C6CFA" w:rsidRPr="004C6CFA">
        <w:rPr>
          <w:sz w:val="24"/>
          <w:szCs w:val="24"/>
        </w:rPr>
        <w:t>Hansen, 2002</w:t>
      </w:r>
      <w:r w:rsidR="004C6CFA">
        <w:rPr>
          <w:sz w:val="24"/>
          <w:szCs w:val="24"/>
        </w:rPr>
        <w:t>; Garvin and Levesque, 2008)</w:t>
      </w:r>
      <w:r w:rsidR="00562F95">
        <w:rPr>
          <w:sz w:val="24"/>
          <w:szCs w:val="24"/>
        </w:rPr>
        <w:t xml:space="preserve">. </w:t>
      </w:r>
    </w:p>
    <w:p w:rsidR="005212CA" w:rsidRPr="009759D1" w:rsidRDefault="005212CA" w:rsidP="009759D1">
      <w:pPr>
        <w:spacing w:after="0" w:line="480" w:lineRule="auto"/>
        <w:rPr>
          <w:sz w:val="24"/>
          <w:szCs w:val="24"/>
        </w:rPr>
      </w:pPr>
    </w:p>
    <w:p w:rsidR="001D79B5" w:rsidRDefault="00EC2D29" w:rsidP="009759D1">
      <w:pPr>
        <w:spacing w:after="0" w:line="480" w:lineRule="auto"/>
        <w:rPr>
          <w:sz w:val="24"/>
          <w:szCs w:val="24"/>
        </w:rPr>
      </w:pPr>
      <w:r w:rsidRPr="009759D1">
        <w:rPr>
          <w:sz w:val="24"/>
          <w:szCs w:val="24"/>
        </w:rPr>
        <w:lastRenderedPageBreak/>
        <w:t xml:space="preserve">The </w:t>
      </w:r>
      <w:r w:rsidR="00BC7F2C" w:rsidRPr="009759D1">
        <w:rPr>
          <w:sz w:val="24"/>
          <w:szCs w:val="24"/>
        </w:rPr>
        <w:t xml:space="preserve">four </w:t>
      </w:r>
      <w:r w:rsidR="009120AB" w:rsidRPr="009759D1">
        <w:rPr>
          <w:sz w:val="24"/>
          <w:szCs w:val="24"/>
        </w:rPr>
        <w:t>capabilities are divided by Zah</w:t>
      </w:r>
      <w:r w:rsidR="00BC7F2C" w:rsidRPr="009759D1">
        <w:rPr>
          <w:sz w:val="24"/>
          <w:szCs w:val="24"/>
        </w:rPr>
        <w:t>ra and George (2002</w:t>
      </w:r>
      <w:r w:rsidR="005C6897" w:rsidRPr="009759D1">
        <w:rPr>
          <w:sz w:val="24"/>
          <w:szCs w:val="24"/>
        </w:rPr>
        <w:t>: 190</w:t>
      </w:r>
      <w:r w:rsidR="00BC7F2C" w:rsidRPr="009759D1">
        <w:rPr>
          <w:sz w:val="24"/>
          <w:szCs w:val="24"/>
        </w:rPr>
        <w:t xml:space="preserve">) into two </w:t>
      </w:r>
      <w:r w:rsidR="001D79B5" w:rsidRPr="009759D1">
        <w:rPr>
          <w:sz w:val="24"/>
          <w:szCs w:val="24"/>
        </w:rPr>
        <w:t xml:space="preserve">complementary </w:t>
      </w:r>
      <w:r w:rsidR="00BC7F2C" w:rsidRPr="009759D1">
        <w:rPr>
          <w:sz w:val="24"/>
          <w:szCs w:val="24"/>
        </w:rPr>
        <w:t>c</w:t>
      </w:r>
      <w:r w:rsidR="00561836" w:rsidRPr="009759D1">
        <w:rPr>
          <w:sz w:val="24"/>
          <w:szCs w:val="24"/>
        </w:rPr>
        <w:t>ategories – potential and realiz</w:t>
      </w:r>
      <w:r w:rsidR="00BC7F2C" w:rsidRPr="009759D1">
        <w:rPr>
          <w:sz w:val="24"/>
          <w:szCs w:val="24"/>
        </w:rPr>
        <w:t xml:space="preserve">ed </w:t>
      </w:r>
      <w:r w:rsidR="005C6897" w:rsidRPr="009759D1">
        <w:rPr>
          <w:sz w:val="24"/>
          <w:szCs w:val="24"/>
        </w:rPr>
        <w:t xml:space="preserve">absorptive </w:t>
      </w:r>
      <w:r w:rsidR="00BC7F2C" w:rsidRPr="009759D1">
        <w:rPr>
          <w:sz w:val="24"/>
          <w:szCs w:val="24"/>
        </w:rPr>
        <w:t>capacity – to form ‘a coherent dy</w:t>
      </w:r>
      <w:r w:rsidR="005C6897" w:rsidRPr="009759D1">
        <w:rPr>
          <w:sz w:val="24"/>
          <w:szCs w:val="24"/>
        </w:rPr>
        <w:t xml:space="preserve">namic capability that fosters organisational change and evolution’. </w:t>
      </w:r>
      <w:r w:rsidR="00BC7F2C" w:rsidRPr="009759D1">
        <w:rPr>
          <w:sz w:val="24"/>
          <w:szCs w:val="24"/>
        </w:rPr>
        <w:t xml:space="preserve">  </w:t>
      </w:r>
      <w:r w:rsidR="001D79B5" w:rsidRPr="009759D1">
        <w:rPr>
          <w:sz w:val="24"/>
          <w:szCs w:val="24"/>
        </w:rPr>
        <w:t>As is illustrated in Figure 1, this comprises the core of the model of absorptive capacity they develop.</w:t>
      </w:r>
      <w:r w:rsidR="00FC5290" w:rsidRPr="009759D1">
        <w:rPr>
          <w:sz w:val="24"/>
          <w:szCs w:val="24"/>
        </w:rPr>
        <w:t xml:space="preserve">   The remainder of the model is comprised of factors that enable or limit the extent of absorptive capacity or its consequences. </w:t>
      </w:r>
    </w:p>
    <w:p w:rsidR="00FE327D" w:rsidRPr="009759D1" w:rsidRDefault="00FE327D" w:rsidP="009759D1">
      <w:pPr>
        <w:spacing w:after="0" w:line="480" w:lineRule="auto"/>
        <w:rPr>
          <w:sz w:val="24"/>
          <w:szCs w:val="24"/>
        </w:rPr>
      </w:pPr>
    </w:p>
    <w:p w:rsidR="007341F6" w:rsidRPr="009759D1" w:rsidRDefault="007B62A4" w:rsidP="009759D1">
      <w:pPr>
        <w:spacing w:after="0" w:line="480" w:lineRule="auto"/>
        <w:rPr>
          <w:sz w:val="24"/>
          <w:szCs w:val="24"/>
        </w:rPr>
      </w:pPr>
      <w:r w:rsidRPr="009759D1">
        <w:rPr>
          <w:sz w:val="24"/>
          <w:szCs w:val="24"/>
        </w:rPr>
        <w:t>Past successes or</w:t>
      </w:r>
      <w:r w:rsidR="005A00E8" w:rsidRPr="009759D1">
        <w:rPr>
          <w:sz w:val="24"/>
          <w:szCs w:val="24"/>
        </w:rPr>
        <w:t xml:space="preserve"> failures in searching for external sources of knowledge and the learning associated with such activities are considered important antecedents to absorptive capacity</w:t>
      </w:r>
      <w:r w:rsidR="00FD351F" w:rsidRPr="009759D1">
        <w:rPr>
          <w:sz w:val="24"/>
          <w:szCs w:val="24"/>
        </w:rPr>
        <w:t xml:space="preserve"> (Nieves and Haller, 2014)</w:t>
      </w:r>
      <w:r w:rsidR="005A00E8" w:rsidRPr="009759D1">
        <w:rPr>
          <w:sz w:val="24"/>
          <w:szCs w:val="24"/>
        </w:rPr>
        <w:t xml:space="preserve">.  Further, diverse sources of knowledge that complement existing understanding are seen as contributing to the development of absorptive capacity.  </w:t>
      </w:r>
      <w:r w:rsidR="00FE327D">
        <w:rPr>
          <w:sz w:val="24"/>
          <w:szCs w:val="24"/>
        </w:rPr>
        <w:t xml:space="preserve">Vasudeva and Anand (2011) go further by drawing a distinction between latitudinal (related knowledge) and longitudinal (unrelated knowledge) components of absorptive capacity. </w:t>
      </w:r>
      <w:r w:rsidR="005A00E8" w:rsidRPr="009759D1">
        <w:rPr>
          <w:sz w:val="24"/>
          <w:szCs w:val="24"/>
        </w:rPr>
        <w:t xml:space="preserve">Zahra and George (2002: 193) also highlight the role of activation triggers.  These are events that ‘encourage or compel a firm </w:t>
      </w:r>
      <w:r w:rsidR="007254C0" w:rsidRPr="009759D1">
        <w:rPr>
          <w:sz w:val="24"/>
          <w:szCs w:val="24"/>
        </w:rPr>
        <w:t>t</w:t>
      </w:r>
      <w:r w:rsidR="005A00E8" w:rsidRPr="009759D1">
        <w:rPr>
          <w:sz w:val="24"/>
          <w:szCs w:val="24"/>
        </w:rPr>
        <w:t>o respond to specific internal or external stimuli’.  For example, poor organisational performance or radical innovation elsewhere may precipitate a crisis requiring management action</w:t>
      </w:r>
      <w:r w:rsidR="00767EAC">
        <w:rPr>
          <w:sz w:val="24"/>
          <w:szCs w:val="24"/>
        </w:rPr>
        <w:t xml:space="preserve"> (see also Foss and Lindenberg, 2013) </w:t>
      </w:r>
      <w:r w:rsidR="005A00E8" w:rsidRPr="009759D1">
        <w:rPr>
          <w:sz w:val="24"/>
          <w:szCs w:val="24"/>
        </w:rPr>
        <w:t xml:space="preserve">.  Clearly, the </w:t>
      </w:r>
      <w:r w:rsidR="007254C0" w:rsidRPr="009759D1">
        <w:rPr>
          <w:sz w:val="24"/>
          <w:szCs w:val="24"/>
        </w:rPr>
        <w:t xml:space="preserve">seriousness of </w:t>
      </w:r>
      <w:r w:rsidR="005A00E8" w:rsidRPr="009759D1">
        <w:rPr>
          <w:sz w:val="24"/>
          <w:szCs w:val="24"/>
        </w:rPr>
        <w:t xml:space="preserve">the activation trigger </w:t>
      </w:r>
      <w:r w:rsidR="007254C0" w:rsidRPr="009759D1">
        <w:rPr>
          <w:sz w:val="24"/>
          <w:szCs w:val="24"/>
        </w:rPr>
        <w:t xml:space="preserve">will influence the </w:t>
      </w:r>
      <w:r w:rsidR="005A00E8" w:rsidRPr="009759D1">
        <w:rPr>
          <w:sz w:val="24"/>
          <w:szCs w:val="24"/>
        </w:rPr>
        <w:t xml:space="preserve">intensity of the </w:t>
      </w:r>
      <w:r w:rsidR="007254C0" w:rsidRPr="009759D1">
        <w:rPr>
          <w:sz w:val="24"/>
          <w:szCs w:val="24"/>
        </w:rPr>
        <w:t>re-</w:t>
      </w:r>
      <w:r w:rsidR="005A00E8" w:rsidRPr="009759D1">
        <w:rPr>
          <w:sz w:val="24"/>
          <w:szCs w:val="24"/>
        </w:rPr>
        <w:t xml:space="preserve">action </w:t>
      </w:r>
      <w:r w:rsidR="007254C0" w:rsidRPr="009759D1">
        <w:rPr>
          <w:sz w:val="24"/>
          <w:szCs w:val="24"/>
        </w:rPr>
        <w:t>and will offer direction to the search</w:t>
      </w:r>
      <w:r w:rsidR="009054F5" w:rsidRPr="009759D1">
        <w:rPr>
          <w:sz w:val="24"/>
          <w:szCs w:val="24"/>
        </w:rPr>
        <w:t xml:space="preserve"> (Van de Ven et al</w:t>
      </w:r>
      <w:r w:rsidR="005A00E8" w:rsidRPr="009759D1">
        <w:rPr>
          <w:sz w:val="24"/>
          <w:szCs w:val="24"/>
        </w:rPr>
        <w:t>.</w:t>
      </w:r>
      <w:r w:rsidR="009054F5" w:rsidRPr="009759D1">
        <w:rPr>
          <w:sz w:val="24"/>
          <w:szCs w:val="24"/>
        </w:rPr>
        <w:t>, 2008).</w:t>
      </w:r>
    </w:p>
    <w:p w:rsidR="005212CA" w:rsidRDefault="005212CA" w:rsidP="009759D1">
      <w:pPr>
        <w:spacing w:after="0" w:line="480" w:lineRule="auto"/>
        <w:rPr>
          <w:sz w:val="24"/>
          <w:szCs w:val="24"/>
        </w:rPr>
      </w:pPr>
    </w:p>
    <w:p w:rsidR="001178A1" w:rsidRDefault="005212CA" w:rsidP="009759D1">
      <w:pPr>
        <w:spacing w:after="0" w:line="480" w:lineRule="auto"/>
        <w:rPr>
          <w:sz w:val="24"/>
          <w:szCs w:val="24"/>
        </w:rPr>
      </w:pPr>
      <w:r>
        <w:rPr>
          <w:sz w:val="24"/>
          <w:szCs w:val="24"/>
        </w:rPr>
        <w:t>FIGURE 1 ABOUT HERE</w:t>
      </w:r>
    </w:p>
    <w:p w:rsidR="005212CA" w:rsidRPr="009759D1" w:rsidRDefault="005212CA" w:rsidP="009759D1">
      <w:pPr>
        <w:spacing w:after="0" w:line="480" w:lineRule="auto"/>
        <w:rPr>
          <w:sz w:val="24"/>
          <w:szCs w:val="24"/>
        </w:rPr>
      </w:pPr>
    </w:p>
    <w:p w:rsidR="00FC5290" w:rsidRDefault="00FC5290" w:rsidP="009759D1">
      <w:pPr>
        <w:spacing w:after="0" w:line="480" w:lineRule="auto"/>
        <w:rPr>
          <w:sz w:val="24"/>
          <w:szCs w:val="24"/>
        </w:rPr>
      </w:pPr>
      <w:r w:rsidRPr="009759D1">
        <w:rPr>
          <w:sz w:val="24"/>
          <w:szCs w:val="24"/>
        </w:rPr>
        <w:t xml:space="preserve">Social integration mechanisms are required for potential absorptive capacity to be realised.  These overcome the potentially structural, cognitive, behavioural and political barriers that </w:t>
      </w:r>
      <w:r w:rsidRPr="009759D1">
        <w:rPr>
          <w:sz w:val="24"/>
          <w:szCs w:val="24"/>
        </w:rPr>
        <w:lastRenderedPageBreak/>
        <w:t>might exist within an organisation and prevents knowledge sharing and the developmen</w:t>
      </w:r>
      <w:r w:rsidR="000B2FE2" w:rsidRPr="009759D1">
        <w:rPr>
          <w:sz w:val="24"/>
          <w:szCs w:val="24"/>
        </w:rPr>
        <w:t>t of mutual understanding</w:t>
      </w:r>
      <w:r w:rsidR="00506D0F">
        <w:rPr>
          <w:sz w:val="24"/>
          <w:szCs w:val="24"/>
        </w:rPr>
        <w:t xml:space="preserve"> (</w:t>
      </w:r>
      <w:r w:rsidR="00FE327D">
        <w:rPr>
          <w:sz w:val="24"/>
          <w:szCs w:val="24"/>
        </w:rPr>
        <w:t xml:space="preserve">Gersick and Hackman, 1990; </w:t>
      </w:r>
      <w:r w:rsidR="00506D0F">
        <w:rPr>
          <w:sz w:val="24"/>
          <w:szCs w:val="24"/>
        </w:rPr>
        <w:t>Reich, G</w:t>
      </w:r>
      <w:r w:rsidR="00E545DB" w:rsidRPr="009759D1">
        <w:rPr>
          <w:sz w:val="24"/>
          <w:szCs w:val="24"/>
        </w:rPr>
        <w:t>emino and Sauer, 2013; Hogan and Coote, 2013)</w:t>
      </w:r>
      <w:r w:rsidR="00855DEB" w:rsidRPr="009759D1">
        <w:rPr>
          <w:sz w:val="24"/>
          <w:szCs w:val="24"/>
        </w:rPr>
        <w:t xml:space="preserve">. </w:t>
      </w:r>
      <w:r w:rsidR="00562F95">
        <w:rPr>
          <w:sz w:val="24"/>
          <w:szCs w:val="24"/>
        </w:rPr>
        <w:t xml:space="preserve"> </w:t>
      </w:r>
      <w:r w:rsidR="00855DEB" w:rsidRPr="009759D1">
        <w:rPr>
          <w:sz w:val="24"/>
          <w:szCs w:val="24"/>
        </w:rPr>
        <w:t>Todorova and Durisin (2007)</w:t>
      </w:r>
      <w:r w:rsidR="007B62A4" w:rsidRPr="009759D1">
        <w:rPr>
          <w:sz w:val="24"/>
          <w:szCs w:val="24"/>
        </w:rPr>
        <w:t xml:space="preserve"> emphasise the broader contribution of social integration, extending its importance to beyond connecting potential and realised absorptive capacity.</w:t>
      </w:r>
      <w:r w:rsidR="00855DEB" w:rsidRPr="009759D1">
        <w:rPr>
          <w:sz w:val="24"/>
          <w:szCs w:val="24"/>
        </w:rPr>
        <w:t xml:space="preserve">  The importance of social integration to knowledge sharing among employees is </w:t>
      </w:r>
      <w:r w:rsidR="007B62A4" w:rsidRPr="009759D1">
        <w:rPr>
          <w:sz w:val="24"/>
          <w:szCs w:val="24"/>
        </w:rPr>
        <w:t xml:space="preserve">already </w:t>
      </w:r>
      <w:r w:rsidR="00855DEB" w:rsidRPr="009759D1">
        <w:rPr>
          <w:sz w:val="24"/>
          <w:szCs w:val="24"/>
        </w:rPr>
        <w:t>recognised in the tourism literature (Chen, 2011) as well the management literature more generally (Hau, Kim, Lee and Kim, 2012).  Zahra and George (2002) present varied evidence</w:t>
      </w:r>
      <w:r w:rsidR="000B2FE2" w:rsidRPr="009759D1">
        <w:rPr>
          <w:sz w:val="24"/>
          <w:szCs w:val="24"/>
        </w:rPr>
        <w:t xml:space="preserve"> to suggest that systematic and formal mechanisms for knowledge sharing are more efficient and effective than informal </w:t>
      </w:r>
      <w:r w:rsidR="007B62A4" w:rsidRPr="009759D1">
        <w:rPr>
          <w:sz w:val="24"/>
          <w:szCs w:val="24"/>
        </w:rPr>
        <w:t>approaches.  They also highlight</w:t>
      </w:r>
      <w:r w:rsidR="000B2FE2" w:rsidRPr="009759D1">
        <w:rPr>
          <w:sz w:val="24"/>
          <w:szCs w:val="24"/>
        </w:rPr>
        <w:t xml:space="preserve"> the importance of learning from past experience which subsequently influences such factors as the timing of investment in external searching as well as </w:t>
      </w:r>
      <w:r w:rsidR="007B62A4" w:rsidRPr="009759D1">
        <w:rPr>
          <w:sz w:val="24"/>
          <w:szCs w:val="24"/>
        </w:rPr>
        <w:t xml:space="preserve">on </w:t>
      </w:r>
      <w:r w:rsidR="000B2FE2" w:rsidRPr="009759D1">
        <w:rPr>
          <w:sz w:val="24"/>
          <w:szCs w:val="24"/>
        </w:rPr>
        <w:t>levels of investment.  Differences in performance between organisations – or the same organisation over time – are often accounted for by the ability to learn from past experience.</w:t>
      </w:r>
    </w:p>
    <w:p w:rsidR="005212CA" w:rsidRPr="009759D1" w:rsidRDefault="005212CA" w:rsidP="009759D1">
      <w:pPr>
        <w:spacing w:after="0" w:line="480" w:lineRule="auto"/>
        <w:rPr>
          <w:sz w:val="24"/>
          <w:szCs w:val="24"/>
        </w:rPr>
      </w:pPr>
    </w:p>
    <w:p w:rsidR="000B2FE2" w:rsidRDefault="000B2FE2" w:rsidP="009759D1">
      <w:pPr>
        <w:spacing w:after="0" w:line="480" w:lineRule="auto"/>
        <w:rPr>
          <w:sz w:val="24"/>
          <w:szCs w:val="24"/>
        </w:rPr>
      </w:pPr>
      <w:r w:rsidRPr="009759D1">
        <w:rPr>
          <w:sz w:val="24"/>
          <w:szCs w:val="24"/>
        </w:rPr>
        <w:t>The final aspect of the model, labelled regimes of appropr</w:t>
      </w:r>
      <w:r w:rsidR="00FE4E55" w:rsidRPr="009759D1">
        <w:rPr>
          <w:sz w:val="24"/>
          <w:szCs w:val="24"/>
        </w:rPr>
        <w:t>i</w:t>
      </w:r>
      <w:r w:rsidRPr="009759D1">
        <w:rPr>
          <w:sz w:val="24"/>
          <w:szCs w:val="24"/>
        </w:rPr>
        <w:t xml:space="preserve">ability, refers to an organisation’s </w:t>
      </w:r>
      <w:r w:rsidR="007254C0" w:rsidRPr="009759D1">
        <w:rPr>
          <w:sz w:val="24"/>
          <w:szCs w:val="24"/>
        </w:rPr>
        <w:t xml:space="preserve">ability </w:t>
      </w:r>
      <w:r w:rsidRPr="009759D1">
        <w:rPr>
          <w:sz w:val="24"/>
          <w:szCs w:val="24"/>
        </w:rPr>
        <w:t>to maintain the competitive advantage gained from its absorptive capacity.  Strong regimes of appropriability are</w:t>
      </w:r>
      <w:r w:rsidR="007254C0" w:rsidRPr="009759D1">
        <w:rPr>
          <w:sz w:val="24"/>
          <w:szCs w:val="24"/>
        </w:rPr>
        <w:t>, therefore,</w:t>
      </w:r>
      <w:r w:rsidRPr="009759D1">
        <w:rPr>
          <w:sz w:val="24"/>
          <w:szCs w:val="24"/>
        </w:rPr>
        <w:t xml:space="preserve"> those where the costs of imitation are high or where </w:t>
      </w:r>
      <w:r w:rsidR="007254C0" w:rsidRPr="009759D1">
        <w:rPr>
          <w:sz w:val="24"/>
          <w:szCs w:val="24"/>
        </w:rPr>
        <w:t>‘</w:t>
      </w:r>
      <w:r w:rsidRPr="009759D1">
        <w:rPr>
          <w:sz w:val="24"/>
          <w:szCs w:val="24"/>
        </w:rPr>
        <w:t>isolating mechanisms</w:t>
      </w:r>
      <w:r w:rsidR="007254C0" w:rsidRPr="009759D1">
        <w:rPr>
          <w:sz w:val="24"/>
          <w:szCs w:val="24"/>
        </w:rPr>
        <w:t>’ (such as secrecy)</w:t>
      </w:r>
      <w:r w:rsidRPr="009759D1">
        <w:rPr>
          <w:sz w:val="24"/>
          <w:szCs w:val="24"/>
        </w:rPr>
        <w:t xml:space="preserve"> make imitation difficult</w:t>
      </w:r>
      <w:r w:rsidR="00A06D64" w:rsidRPr="009759D1">
        <w:rPr>
          <w:sz w:val="24"/>
          <w:szCs w:val="24"/>
        </w:rPr>
        <w:t xml:space="preserve"> because there a</w:t>
      </w:r>
      <w:r w:rsidR="00AC5A5C">
        <w:rPr>
          <w:sz w:val="24"/>
          <w:szCs w:val="24"/>
        </w:rPr>
        <w:t>re</w:t>
      </w:r>
      <w:r w:rsidR="00A06D64" w:rsidRPr="009759D1">
        <w:rPr>
          <w:sz w:val="24"/>
          <w:szCs w:val="24"/>
        </w:rPr>
        <w:t xml:space="preserve"> few </w:t>
      </w:r>
      <w:r w:rsidR="005A00E8" w:rsidRPr="009759D1">
        <w:rPr>
          <w:sz w:val="24"/>
          <w:szCs w:val="24"/>
        </w:rPr>
        <w:t>‘knowledge spillovers’</w:t>
      </w:r>
      <w:r w:rsidR="00A06D64" w:rsidRPr="009759D1">
        <w:rPr>
          <w:sz w:val="24"/>
          <w:szCs w:val="24"/>
        </w:rPr>
        <w:t xml:space="preserve"> to competitors.</w:t>
      </w:r>
      <w:r w:rsidRPr="009759D1">
        <w:rPr>
          <w:sz w:val="24"/>
          <w:szCs w:val="24"/>
        </w:rPr>
        <w:t xml:space="preserve">  </w:t>
      </w:r>
    </w:p>
    <w:p w:rsidR="005212CA" w:rsidRPr="009759D1" w:rsidRDefault="005212CA" w:rsidP="009759D1">
      <w:pPr>
        <w:spacing w:after="0" w:line="480" w:lineRule="auto"/>
        <w:rPr>
          <w:sz w:val="24"/>
          <w:szCs w:val="24"/>
        </w:rPr>
      </w:pPr>
    </w:p>
    <w:p w:rsidR="00DF0CDC" w:rsidRPr="009759D1" w:rsidRDefault="00DF0CDC" w:rsidP="009759D1">
      <w:pPr>
        <w:spacing w:after="0" w:line="480" w:lineRule="auto"/>
        <w:rPr>
          <w:sz w:val="24"/>
          <w:szCs w:val="24"/>
        </w:rPr>
      </w:pPr>
      <w:r w:rsidRPr="009759D1">
        <w:rPr>
          <w:sz w:val="24"/>
          <w:szCs w:val="24"/>
        </w:rPr>
        <w:t>It is important to emphasise that simply increasing knowledge does not inevitably increase innovation or business performance.  The theoretical proposition</w:t>
      </w:r>
      <w:r w:rsidR="007B62A4" w:rsidRPr="009759D1">
        <w:rPr>
          <w:sz w:val="24"/>
          <w:szCs w:val="24"/>
        </w:rPr>
        <w:t>s</w:t>
      </w:r>
      <w:r w:rsidRPr="009759D1">
        <w:rPr>
          <w:sz w:val="24"/>
          <w:szCs w:val="24"/>
        </w:rPr>
        <w:t xml:space="preserve"> on which this research is predicated hold that absorptive capacity (as an independent variable) has an impact on innovation (Gebauer, et al, 2012; Fosfuri and Tribo, 2008) which will be translated </w:t>
      </w:r>
      <w:r w:rsidRPr="009759D1">
        <w:rPr>
          <w:sz w:val="24"/>
          <w:szCs w:val="24"/>
        </w:rPr>
        <w:lastRenderedPageBreak/>
        <w:t xml:space="preserve">differently into performance depending upon, </w:t>
      </w:r>
      <w:r w:rsidRPr="009759D1">
        <w:rPr>
          <w:i/>
          <w:sz w:val="24"/>
          <w:szCs w:val="24"/>
        </w:rPr>
        <w:t>inter alia</w:t>
      </w:r>
      <w:r w:rsidRPr="009759D1">
        <w:rPr>
          <w:sz w:val="24"/>
          <w:szCs w:val="24"/>
        </w:rPr>
        <w:t>,  the conditions of particular markets (Jansen, Bosch and Volberda, 2005).</w:t>
      </w:r>
    </w:p>
    <w:p w:rsidR="00DF0CDC" w:rsidRPr="009759D1" w:rsidRDefault="00DF0CDC" w:rsidP="009759D1">
      <w:pPr>
        <w:spacing w:after="0" w:line="480" w:lineRule="auto"/>
        <w:rPr>
          <w:sz w:val="24"/>
          <w:szCs w:val="24"/>
        </w:rPr>
      </w:pPr>
    </w:p>
    <w:p w:rsidR="009D1ACB" w:rsidRPr="00004E56" w:rsidRDefault="00814416" w:rsidP="009759D1">
      <w:pPr>
        <w:pStyle w:val="ListParagraph"/>
        <w:numPr>
          <w:ilvl w:val="1"/>
          <w:numId w:val="2"/>
        </w:numPr>
        <w:spacing w:after="0" w:line="480" w:lineRule="auto"/>
        <w:rPr>
          <w:b/>
          <w:sz w:val="24"/>
          <w:szCs w:val="24"/>
        </w:rPr>
      </w:pPr>
      <w:r w:rsidRPr="00004E56">
        <w:rPr>
          <w:b/>
          <w:sz w:val="24"/>
          <w:szCs w:val="24"/>
        </w:rPr>
        <w:t>M</w:t>
      </w:r>
      <w:r w:rsidR="009D1ACB" w:rsidRPr="00004E56">
        <w:rPr>
          <w:b/>
          <w:sz w:val="24"/>
          <w:szCs w:val="24"/>
        </w:rPr>
        <w:t>easuring absorptive capacity</w:t>
      </w:r>
    </w:p>
    <w:p w:rsidR="005A00E8" w:rsidRDefault="00DE7B45" w:rsidP="009759D1">
      <w:pPr>
        <w:spacing w:after="0" w:line="480" w:lineRule="auto"/>
        <w:rPr>
          <w:sz w:val="24"/>
          <w:szCs w:val="24"/>
        </w:rPr>
      </w:pPr>
      <w:r w:rsidRPr="009759D1">
        <w:rPr>
          <w:sz w:val="24"/>
          <w:szCs w:val="24"/>
        </w:rPr>
        <w:t>Significant research effort has been expended on measuring abortive capacity over the past two decades.   Most often, unidimensional</w:t>
      </w:r>
      <w:r w:rsidR="009054F5" w:rsidRPr="009759D1">
        <w:rPr>
          <w:sz w:val="24"/>
          <w:szCs w:val="24"/>
        </w:rPr>
        <w:t xml:space="preserve"> measures</w:t>
      </w:r>
      <w:r w:rsidRPr="009759D1">
        <w:rPr>
          <w:sz w:val="24"/>
          <w:szCs w:val="24"/>
        </w:rPr>
        <w:t xml:space="preserve"> have been used such as levels of expenditure on research and development or the number of research staff employed</w:t>
      </w:r>
      <w:r w:rsidR="006566FE" w:rsidRPr="009759D1">
        <w:rPr>
          <w:sz w:val="24"/>
          <w:szCs w:val="24"/>
        </w:rPr>
        <w:t xml:space="preserve"> (Escribano et al, 2009)</w:t>
      </w:r>
      <w:r w:rsidRPr="009759D1">
        <w:rPr>
          <w:sz w:val="24"/>
          <w:szCs w:val="24"/>
        </w:rPr>
        <w:t xml:space="preserve">.  Such approaches may be revealing when undertaken as part of wider studies of innovation in certain sectors or to </w:t>
      </w:r>
      <w:r w:rsidR="00C92B13" w:rsidRPr="009759D1">
        <w:rPr>
          <w:sz w:val="24"/>
          <w:szCs w:val="24"/>
        </w:rPr>
        <w:t>establish</w:t>
      </w:r>
      <w:r w:rsidRPr="009759D1">
        <w:rPr>
          <w:sz w:val="24"/>
          <w:szCs w:val="24"/>
        </w:rPr>
        <w:t xml:space="preserve"> </w:t>
      </w:r>
      <w:r w:rsidR="00C92B13" w:rsidRPr="009759D1">
        <w:rPr>
          <w:sz w:val="24"/>
          <w:szCs w:val="24"/>
        </w:rPr>
        <w:t xml:space="preserve">cross-sectoral perspectives on particular aspects of investment in innovation. They are inadequate, however, for those interested in interrogating the conceptually separate aspects of potential and realized absorptive capacity.  Moreover, they are evidently inadequate for exploring absorptive capacity in services such as tourism where innovation does not arise from heavy investment in research and development (Hjalager, 2010; </w:t>
      </w:r>
      <w:r w:rsidR="00FA59EB" w:rsidRPr="009759D1">
        <w:rPr>
          <w:sz w:val="24"/>
          <w:szCs w:val="24"/>
        </w:rPr>
        <w:t>Shaw and Williams, 2009; Hall and Williams, 2008).</w:t>
      </w:r>
    </w:p>
    <w:p w:rsidR="005212CA" w:rsidRPr="009759D1" w:rsidRDefault="005212CA" w:rsidP="009759D1">
      <w:pPr>
        <w:spacing w:after="0" w:line="480" w:lineRule="auto"/>
        <w:rPr>
          <w:sz w:val="24"/>
          <w:szCs w:val="24"/>
        </w:rPr>
      </w:pPr>
    </w:p>
    <w:p w:rsidR="008E68E5" w:rsidRDefault="000A581F" w:rsidP="009759D1">
      <w:pPr>
        <w:spacing w:after="0" w:line="480" w:lineRule="auto"/>
        <w:rPr>
          <w:sz w:val="24"/>
          <w:szCs w:val="24"/>
        </w:rPr>
      </w:pPr>
      <w:r w:rsidRPr="009759D1">
        <w:rPr>
          <w:sz w:val="24"/>
          <w:szCs w:val="24"/>
        </w:rPr>
        <w:t xml:space="preserve">This paper </w:t>
      </w:r>
      <w:r w:rsidR="008E68E5" w:rsidRPr="009759D1">
        <w:rPr>
          <w:sz w:val="24"/>
          <w:szCs w:val="24"/>
        </w:rPr>
        <w:t>builds upon</w:t>
      </w:r>
      <w:r w:rsidR="00E35D08" w:rsidRPr="009759D1">
        <w:rPr>
          <w:sz w:val="24"/>
          <w:szCs w:val="24"/>
        </w:rPr>
        <w:t xml:space="preserve"> </w:t>
      </w:r>
      <w:r w:rsidRPr="009759D1">
        <w:rPr>
          <w:sz w:val="24"/>
          <w:szCs w:val="24"/>
        </w:rPr>
        <w:t xml:space="preserve">an alternative approach developed </w:t>
      </w:r>
      <w:r w:rsidR="00E35D08" w:rsidRPr="009759D1">
        <w:rPr>
          <w:sz w:val="24"/>
          <w:szCs w:val="24"/>
        </w:rPr>
        <w:t>concurrently in a number of recent studies (</w:t>
      </w:r>
      <w:r w:rsidRPr="009759D1">
        <w:rPr>
          <w:sz w:val="24"/>
          <w:szCs w:val="24"/>
        </w:rPr>
        <w:t>Jimenez-Barrionuevo, Garcia-Morales and Molin</w:t>
      </w:r>
      <w:r w:rsidR="00E35D08" w:rsidRPr="009759D1">
        <w:rPr>
          <w:sz w:val="24"/>
          <w:szCs w:val="24"/>
        </w:rPr>
        <w:t xml:space="preserve">, </w:t>
      </w:r>
      <w:r w:rsidRPr="009759D1">
        <w:rPr>
          <w:sz w:val="24"/>
          <w:szCs w:val="24"/>
        </w:rPr>
        <w:t>2011</w:t>
      </w:r>
      <w:r w:rsidR="00E35D08" w:rsidRPr="009759D1">
        <w:rPr>
          <w:sz w:val="24"/>
          <w:szCs w:val="24"/>
        </w:rPr>
        <w:t>;  Flatten, Engelen, Zahra and Brettel, 2011; and Camisón and Forés</w:t>
      </w:r>
      <w:r w:rsidR="001E0716" w:rsidRPr="009759D1">
        <w:rPr>
          <w:sz w:val="24"/>
          <w:szCs w:val="24"/>
        </w:rPr>
        <w:t>, 2010).  The</w:t>
      </w:r>
      <w:r w:rsidR="00E35D08" w:rsidRPr="009759D1">
        <w:rPr>
          <w:sz w:val="24"/>
          <w:szCs w:val="24"/>
        </w:rPr>
        <w:t xml:space="preserve"> approach </w:t>
      </w:r>
      <w:r w:rsidRPr="009759D1">
        <w:rPr>
          <w:sz w:val="24"/>
          <w:szCs w:val="24"/>
        </w:rPr>
        <w:t>utilise</w:t>
      </w:r>
      <w:r w:rsidR="00E35D08" w:rsidRPr="009759D1">
        <w:rPr>
          <w:sz w:val="24"/>
          <w:szCs w:val="24"/>
        </w:rPr>
        <w:t>s</w:t>
      </w:r>
      <w:r w:rsidRPr="009759D1">
        <w:rPr>
          <w:sz w:val="24"/>
          <w:szCs w:val="24"/>
        </w:rPr>
        <w:t xml:space="preserve"> a multi-dimensional </w:t>
      </w:r>
      <w:r w:rsidR="00E35D08" w:rsidRPr="009759D1">
        <w:rPr>
          <w:sz w:val="24"/>
          <w:szCs w:val="24"/>
        </w:rPr>
        <w:t>scale</w:t>
      </w:r>
      <w:r w:rsidRPr="009759D1">
        <w:rPr>
          <w:sz w:val="24"/>
          <w:szCs w:val="24"/>
        </w:rPr>
        <w:t xml:space="preserve"> to measur</w:t>
      </w:r>
      <w:r w:rsidR="00E35D08" w:rsidRPr="009759D1">
        <w:rPr>
          <w:sz w:val="24"/>
          <w:szCs w:val="24"/>
        </w:rPr>
        <w:t xml:space="preserve">e the </w:t>
      </w:r>
      <w:r w:rsidRPr="009759D1">
        <w:rPr>
          <w:sz w:val="24"/>
          <w:szCs w:val="24"/>
        </w:rPr>
        <w:t>absorptive capacity</w:t>
      </w:r>
      <w:r w:rsidR="00E35D08" w:rsidRPr="009759D1">
        <w:rPr>
          <w:sz w:val="24"/>
          <w:szCs w:val="24"/>
        </w:rPr>
        <w:t xml:space="preserve"> construct </w:t>
      </w:r>
      <w:r w:rsidRPr="009759D1">
        <w:rPr>
          <w:sz w:val="24"/>
          <w:szCs w:val="24"/>
        </w:rPr>
        <w:t>which differentiat</w:t>
      </w:r>
      <w:r w:rsidR="008E68E5" w:rsidRPr="009759D1">
        <w:rPr>
          <w:sz w:val="24"/>
          <w:szCs w:val="24"/>
        </w:rPr>
        <w:t>es</w:t>
      </w:r>
      <w:r w:rsidR="00E35D08" w:rsidRPr="009759D1">
        <w:rPr>
          <w:sz w:val="24"/>
          <w:szCs w:val="24"/>
        </w:rPr>
        <w:t xml:space="preserve"> between the four components (acquisition, assimilation, transformation and exploitation) and therefore between</w:t>
      </w:r>
      <w:r w:rsidRPr="009759D1">
        <w:rPr>
          <w:sz w:val="24"/>
          <w:szCs w:val="24"/>
        </w:rPr>
        <w:t xml:space="preserve"> potential absorptive capacity (acquisition and assimilation) and realized absorptive capacity (transformation and exploitation). </w:t>
      </w:r>
    </w:p>
    <w:p w:rsidR="005212CA" w:rsidRPr="009759D1" w:rsidRDefault="005212CA" w:rsidP="009759D1">
      <w:pPr>
        <w:spacing w:after="0" w:line="480" w:lineRule="auto"/>
        <w:rPr>
          <w:sz w:val="24"/>
          <w:szCs w:val="24"/>
        </w:rPr>
      </w:pPr>
    </w:p>
    <w:p w:rsidR="005C553F" w:rsidRDefault="005C553F" w:rsidP="009759D1">
      <w:pPr>
        <w:spacing w:after="0" w:line="480" w:lineRule="auto"/>
        <w:rPr>
          <w:sz w:val="24"/>
          <w:szCs w:val="24"/>
        </w:rPr>
      </w:pPr>
      <w:r w:rsidRPr="009759D1">
        <w:rPr>
          <w:sz w:val="24"/>
          <w:szCs w:val="24"/>
        </w:rPr>
        <w:lastRenderedPageBreak/>
        <w:t>In these</w:t>
      </w:r>
      <w:r w:rsidR="008E68E5" w:rsidRPr="009759D1">
        <w:rPr>
          <w:sz w:val="24"/>
          <w:szCs w:val="24"/>
        </w:rPr>
        <w:t xml:space="preserve"> studies the authors identify the items which </w:t>
      </w:r>
      <w:r w:rsidR="00FD351F" w:rsidRPr="009759D1">
        <w:rPr>
          <w:sz w:val="24"/>
          <w:szCs w:val="24"/>
        </w:rPr>
        <w:t xml:space="preserve">they suggest </w:t>
      </w:r>
      <w:r w:rsidR="008E68E5" w:rsidRPr="009759D1">
        <w:rPr>
          <w:sz w:val="24"/>
          <w:szCs w:val="24"/>
        </w:rPr>
        <w:t xml:space="preserve">would adequately </w:t>
      </w:r>
      <w:r w:rsidR="00FD351F" w:rsidRPr="009759D1">
        <w:rPr>
          <w:sz w:val="24"/>
          <w:szCs w:val="24"/>
        </w:rPr>
        <w:t xml:space="preserve">measure the key dimensions of </w:t>
      </w:r>
      <w:r w:rsidR="008E68E5" w:rsidRPr="009759D1">
        <w:rPr>
          <w:sz w:val="24"/>
          <w:szCs w:val="24"/>
        </w:rPr>
        <w:t>absorptive capacity and then test the validity of the</w:t>
      </w:r>
      <w:r w:rsidR="001E0716" w:rsidRPr="009759D1">
        <w:rPr>
          <w:sz w:val="24"/>
          <w:szCs w:val="24"/>
        </w:rPr>
        <w:t xml:space="preserve"> resulting scale</w:t>
      </w:r>
      <w:r w:rsidR="00FD351F" w:rsidRPr="009759D1">
        <w:rPr>
          <w:sz w:val="24"/>
          <w:szCs w:val="24"/>
        </w:rPr>
        <w:t>,</w:t>
      </w:r>
      <w:r w:rsidR="001E0716" w:rsidRPr="009759D1">
        <w:rPr>
          <w:sz w:val="24"/>
          <w:szCs w:val="24"/>
        </w:rPr>
        <w:t xml:space="preserve"> </w:t>
      </w:r>
      <w:r w:rsidR="00FD351F" w:rsidRPr="009759D1">
        <w:rPr>
          <w:sz w:val="24"/>
          <w:szCs w:val="24"/>
        </w:rPr>
        <w:t>refining</w:t>
      </w:r>
      <w:r w:rsidR="008E68E5" w:rsidRPr="009759D1">
        <w:rPr>
          <w:sz w:val="24"/>
          <w:szCs w:val="24"/>
        </w:rPr>
        <w:t xml:space="preserve"> the items based on this analysis. </w:t>
      </w:r>
      <w:r w:rsidR="009A49D8" w:rsidRPr="009759D1">
        <w:rPr>
          <w:sz w:val="24"/>
          <w:szCs w:val="24"/>
        </w:rPr>
        <w:t xml:space="preserve">Although all </w:t>
      </w:r>
      <w:r w:rsidRPr="009759D1">
        <w:rPr>
          <w:sz w:val="24"/>
          <w:szCs w:val="24"/>
        </w:rPr>
        <w:t xml:space="preserve">provide </w:t>
      </w:r>
      <w:r w:rsidR="009A49D8" w:rsidRPr="009759D1">
        <w:rPr>
          <w:sz w:val="24"/>
          <w:szCs w:val="24"/>
        </w:rPr>
        <w:t>valid and generaliseable scale</w:t>
      </w:r>
      <w:r w:rsidR="00FD351F" w:rsidRPr="009759D1">
        <w:rPr>
          <w:sz w:val="24"/>
          <w:szCs w:val="24"/>
        </w:rPr>
        <w:t>s,</w:t>
      </w:r>
      <w:r w:rsidR="009A49D8" w:rsidRPr="009759D1">
        <w:rPr>
          <w:sz w:val="24"/>
          <w:szCs w:val="24"/>
        </w:rPr>
        <w:t xml:space="preserve"> </w:t>
      </w:r>
      <w:r w:rsidR="0019312E" w:rsidRPr="009759D1">
        <w:rPr>
          <w:sz w:val="24"/>
          <w:szCs w:val="24"/>
        </w:rPr>
        <w:t xml:space="preserve">the </w:t>
      </w:r>
      <w:r w:rsidR="00C27B45" w:rsidRPr="009759D1">
        <w:rPr>
          <w:sz w:val="24"/>
          <w:szCs w:val="24"/>
        </w:rPr>
        <w:t>numbers of items, focus of questioning and sampled population, differ</w:t>
      </w:r>
      <w:r w:rsidR="0019312E" w:rsidRPr="009759D1">
        <w:rPr>
          <w:sz w:val="24"/>
          <w:szCs w:val="24"/>
        </w:rPr>
        <w:t xml:space="preserve"> in each. Jimenez-Barrionuevo et al (2011)</w:t>
      </w:r>
      <w:r w:rsidR="009615DF" w:rsidRPr="009759D1">
        <w:rPr>
          <w:sz w:val="24"/>
          <w:szCs w:val="24"/>
        </w:rPr>
        <w:t xml:space="preserve">, for example, drawing on previous studies, </w:t>
      </w:r>
      <w:r w:rsidR="0019312E" w:rsidRPr="009759D1">
        <w:rPr>
          <w:sz w:val="24"/>
          <w:szCs w:val="24"/>
        </w:rPr>
        <w:t xml:space="preserve">developed an </w:t>
      </w:r>
      <w:r w:rsidRPr="009759D1">
        <w:rPr>
          <w:sz w:val="24"/>
          <w:szCs w:val="24"/>
        </w:rPr>
        <w:t>eighteen item scale (fifteen</w:t>
      </w:r>
      <w:r w:rsidR="0019312E" w:rsidRPr="009759D1">
        <w:rPr>
          <w:sz w:val="24"/>
          <w:szCs w:val="24"/>
        </w:rPr>
        <w:t xml:space="preserve"> of which were found to have very high factor loadings f</w:t>
      </w:r>
      <w:r w:rsidR="00216695" w:rsidRPr="009759D1">
        <w:rPr>
          <w:sz w:val="24"/>
          <w:szCs w:val="24"/>
        </w:rPr>
        <w:t>or</w:t>
      </w:r>
      <w:r w:rsidR="0019312E" w:rsidRPr="009759D1">
        <w:rPr>
          <w:sz w:val="24"/>
          <w:szCs w:val="24"/>
        </w:rPr>
        <w:t xml:space="preserve"> the construct)</w:t>
      </w:r>
      <w:r w:rsidRPr="009759D1">
        <w:rPr>
          <w:sz w:val="24"/>
          <w:szCs w:val="24"/>
        </w:rPr>
        <w:t xml:space="preserve">. </w:t>
      </w:r>
      <w:r w:rsidR="009615DF" w:rsidRPr="009759D1">
        <w:rPr>
          <w:sz w:val="24"/>
          <w:szCs w:val="24"/>
        </w:rPr>
        <w:t xml:space="preserve">By contrast, </w:t>
      </w:r>
      <w:r w:rsidR="0019312E" w:rsidRPr="009759D1">
        <w:rPr>
          <w:sz w:val="24"/>
          <w:szCs w:val="24"/>
        </w:rPr>
        <w:t xml:space="preserve">Flatten et al (2011) produced </w:t>
      </w:r>
      <w:r w:rsidR="009615DF" w:rsidRPr="009759D1">
        <w:rPr>
          <w:sz w:val="24"/>
          <w:szCs w:val="24"/>
        </w:rPr>
        <w:t xml:space="preserve">a </w:t>
      </w:r>
      <w:r w:rsidR="0019312E" w:rsidRPr="009759D1">
        <w:rPr>
          <w:sz w:val="24"/>
          <w:szCs w:val="24"/>
        </w:rPr>
        <w:t>list of 53 items from 33 studies</w:t>
      </w:r>
      <w:r w:rsidR="009615DF" w:rsidRPr="009759D1">
        <w:rPr>
          <w:sz w:val="24"/>
          <w:szCs w:val="24"/>
        </w:rPr>
        <w:t xml:space="preserve"> which, a</w:t>
      </w:r>
      <w:r w:rsidR="0019312E" w:rsidRPr="009759D1">
        <w:rPr>
          <w:sz w:val="24"/>
          <w:szCs w:val="24"/>
        </w:rPr>
        <w:t>fter testing and validation</w:t>
      </w:r>
      <w:r w:rsidR="009615DF" w:rsidRPr="009759D1">
        <w:rPr>
          <w:sz w:val="24"/>
          <w:szCs w:val="24"/>
        </w:rPr>
        <w:t xml:space="preserve">, </w:t>
      </w:r>
      <w:r w:rsidR="0019312E" w:rsidRPr="009759D1">
        <w:rPr>
          <w:sz w:val="24"/>
          <w:szCs w:val="24"/>
        </w:rPr>
        <w:t>were reduced to fourteen that</w:t>
      </w:r>
      <w:r w:rsidR="001E0716" w:rsidRPr="009759D1">
        <w:rPr>
          <w:sz w:val="24"/>
          <w:szCs w:val="24"/>
        </w:rPr>
        <w:t xml:space="preserve"> </w:t>
      </w:r>
      <w:r w:rsidR="0019312E" w:rsidRPr="009759D1">
        <w:rPr>
          <w:sz w:val="24"/>
          <w:szCs w:val="24"/>
        </w:rPr>
        <w:t>reliably measured the construct.</w:t>
      </w:r>
      <w:r w:rsidR="00216695" w:rsidRPr="009759D1">
        <w:rPr>
          <w:sz w:val="24"/>
          <w:szCs w:val="24"/>
        </w:rPr>
        <w:t xml:space="preserve"> Camison and Fores </w:t>
      </w:r>
      <w:r w:rsidR="009615DF" w:rsidRPr="009759D1">
        <w:rPr>
          <w:sz w:val="24"/>
          <w:szCs w:val="24"/>
        </w:rPr>
        <w:t>(2010) produced a 19 item scale which wa</w:t>
      </w:r>
      <w:r w:rsidR="00216695" w:rsidRPr="009759D1">
        <w:rPr>
          <w:sz w:val="24"/>
          <w:szCs w:val="24"/>
        </w:rPr>
        <w:t xml:space="preserve">s reduced to 16 after consideration of factor loadings. </w:t>
      </w:r>
    </w:p>
    <w:p w:rsidR="005212CA" w:rsidRPr="009759D1" w:rsidRDefault="005212CA" w:rsidP="009759D1">
      <w:pPr>
        <w:spacing w:after="0" w:line="480" w:lineRule="auto"/>
        <w:rPr>
          <w:sz w:val="24"/>
          <w:szCs w:val="24"/>
        </w:rPr>
      </w:pPr>
    </w:p>
    <w:p w:rsidR="001D2FB4" w:rsidRDefault="00216695" w:rsidP="009759D1">
      <w:pPr>
        <w:spacing w:after="0" w:line="480" w:lineRule="auto"/>
        <w:rPr>
          <w:sz w:val="24"/>
          <w:szCs w:val="24"/>
        </w:rPr>
      </w:pPr>
      <w:r w:rsidRPr="009759D1">
        <w:rPr>
          <w:sz w:val="24"/>
          <w:szCs w:val="24"/>
        </w:rPr>
        <w:t xml:space="preserve">The use of previous empirically tested scales provides the necessary content validity in all of these studies. Where they differ, however, is not merely in the wording of the item statements but in the guidance to </w:t>
      </w:r>
      <w:r w:rsidR="005C553F" w:rsidRPr="009759D1">
        <w:rPr>
          <w:sz w:val="24"/>
          <w:szCs w:val="24"/>
        </w:rPr>
        <w:t>respondents</w:t>
      </w:r>
      <w:r w:rsidRPr="009759D1">
        <w:rPr>
          <w:sz w:val="24"/>
          <w:szCs w:val="24"/>
        </w:rPr>
        <w:t xml:space="preserve"> on what should be considered when answering</w:t>
      </w:r>
      <w:r w:rsidR="005C553F" w:rsidRPr="009759D1">
        <w:rPr>
          <w:sz w:val="24"/>
          <w:szCs w:val="24"/>
        </w:rPr>
        <w:t>,</w:t>
      </w:r>
      <w:r w:rsidR="001E0716" w:rsidRPr="009759D1">
        <w:rPr>
          <w:sz w:val="24"/>
          <w:szCs w:val="24"/>
        </w:rPr>
        <w:t xml:space="preserve"> slightly altering the perspective of each. </w:t>
      </w:r>
      <w:r w:rsidRPr="009759D1">
        <w:rPr>
          <w:sz w:val="24"/>
          <w:szCs w:val="24"/>
        </w:rPr>
        <w:t>For example</w:t>
      </w:r>
      <w:r w:rsidR="001E0716" w:rsidRPr="009759D1">
        <w:rPr>
          <w:sz w:val="24"/>
          <w:szCs w:val="24"/>
        </w:rPr>
        <w:t>,</w:t>
      </w:r>
      <w:r w:rsidRPr="009759D1">
        <w:rPr>
          <w:sz w:val="24"/>
          <w:szCs w:val="24"/>
        </w:rPr>
        <w:t xml:space="preserve"> Camison and Fores (2010) ask for the </w:t>
      </w:r>
      <w:r w:rsidR="001E0716" w:rsidRPr="009759D1">
        <w:rPr>
          <w:sz w:val="24"/>
          <w:szCs w:val="24"/>
        </w:rPr>
        <w:t>responses</w:t>
      </w:r>
      <w:r w:rsidRPr="009759D1">
        <w:rPr>
          <w:sz w:val="24"/>
          <w:szCs w:val="24"/>
        </w:rPr>
        <w:t xml:space="preserve"> to be considered relative to the organisation’s direct </w:t>
      </w:r>
      <w:r w:rsidR="001E0716" w:rsidRPr="009759D1">
        <w:rPr>
          <w:sz w:val="24"/>
          <w:szCs w:val="24"/>
        </w:rPr>
        <w:t>competition</w:t>
      </w:r>
      <w:r w:rsidRPr="009759D1">
        <w:rPr>
          <w:sz w:val="24"/>
          <w:szCs w:val="24"/>
        </w:rPr>
        <w:t xml:space="preserve"> using a </w:t>
      </w:r>
      <w:r w:rsidR="001E0716" w:rsidRPr="009759D1">
        <w:rPr>
          <w:sz w:val="24"/>
          <w:szCs w:val="24"/>
        </w:rPr>
        <w:t>scale</w:t>
      </w:r>
      <w:r w:rsidRPr="009759D1">
        <w:rPr>
          <w:sz w:val="24"/>
          <w:szCs w:val="24"/>
        </w:rPr>
        <w:t xml:space="preserve"> ranging from far ‘worse to far better than our compe</w:t>
      </w:r>
      <w:r w:rsidR="001E0716" w:rsidRPr="009759D1">
        <w:rPr>
          <w:sz w:val="24"/>
          <w:szCs w:val="24"/>
        </w:rPr>
        <w:t>ti</w:t>
      </w:r>
      <w:r w:rsidRPr="009759D1">
        <w:rPr>
          <w:sz w:val="24"/>
          <w:szCs w:val="24"/>
        </w:rPr>
        <w:t>tion’. Setting the items within a competit</w:t>
      </w:r>
      <w:r w:rsidR="001D2FB4" w:rsidRPr="009759D1">
        <w:rPr>
          <w:sz w:val="24"/>
          <w:szCs w:val="24"/>
        </w:rPr>
        <w:t>ive context helps th</w:t>
      </w:r>
      <w:r w:rsidR="001E0716" w:rsidRPr="009759D1">
        <w:rPr>
          <w:sz w:val="24"/>
          <w:szCs w:val="24"/>
        </w:rPr>
        <w:t>e</w:t>
      </w:r>
      <w:r w:rsidR="001D2FB4" w:rsidRPr="009759D1">
        <w:rPr>
          <w:sz w:val="24"/>
          <w:szCs w:val="24"/>
        </w:rPr>
        <w:t xml:space="preserve"> </w:t>
      </w:r>
      <w:r w:rsidR="001E0716" w:rsidRPr="009759D1">
        <w:rPr>
          <w:sz w:val="24"/>
          <w:szCs w:val="24"/>
        </w:rPr>
        <w:t>r</w:t>
      </w:r>
      <w:r w:rsidR="001D2FB4" w:rsidRPr="009759D1">
        <w:rPr>
          <w:sz w:val="24"/>
          <w:szCs w:val="24"/>
        </w:rPr>
        <w:t>esponde</w:t>
      </w:r>
      <w:r w:rsidR="001E0716" w:rsidRPr="009759D1">
        <w:rPr>
          <w:sz w:val="24"/>
          <w:szCs w:val="24"/>
        </w:rPr>
        <w:t>n</w:t>
      </w:r>
      <w:r w:rsidR="001D2FB4" w:rsidRPr="009759D1">
        <w:rPr>
          <w:sz w:val="24"/>
          <w:szCs w:val="24"/>
        </w:rPr>
        <w:t xml:space="preserve">t to </w:t>
      </w:r>
      <w:r w:rsidR="001E0716" w:rsidRPr="009759D1">
        <w:rPr>
          <w:sz w:val="24"/>
          <w:szCs w:val="24"/>
        </w:rPr>
        <w:t>gauge</w:t>
      </w:r>
      <w:r w:rsidR="001D2FB4" w:rsidRPr="009759D1">
        <w:rPr>
          <w:sz w:val="24"/>
          <w:szCs w:val="24"/>
        </w:rPr>
        <w:t xml:space="preserve"> the positive or negative aspects of the firm’s </w:t>
      </w:r>
      <w:r w:rsidR="001E0716" w:rsidRPr="009759D1">
        <w:rPr>
          <w:sz w:val="24"/>
          <w:szCs w:val="24"/>
        </w:rPr>
        <w:t>response</w:t>
      </w:r>
      <w:r w:rsidR="001D2FB4" w:rsidRPr="009759D1">
        <w:rPr>
          <w:sz w:val="24"/>
          <w:szCs w:val="24"/>
        </w:rPr>
        <w:t xml:space="preserve"> whereas asking in </w:t>
      </w:r>
      <w:r w:rsidR="001E0716" w:rsidRPr="009759D1">
        <w:rPr>
          <w:sz w:val="24"/>
          <w:szCs w:val="24"/>
        </w:rPr>
        <w:t>isolation</w:t>
      </w:r>
      <w:r w:rsidR="001D2FB4" w:rsidRPr="009759D1">
        <w:rPr>
          <w:sz w:val="24"/>
          <w:szCs w:val="24"/>
        </w:rPr>
        <w:t xml:space="preserve"> may lead to overly positive </w:t>
      </w:r>
      <w:r w:rsidR="001E0716" w:rsidRPr="009759D1">
        <w:rPr>
          <w:sz w:val="24"/>
          <w:szCs w:val="24"/>
        </w:rPr>
        <w:t>responses</w:t>
      </w:r>
      <w:r w:rsidR="001D2FB4" w:rsidRPr="009759D1">
        <w:rPr>
          <w:sz w:val="24"/>
          <w:szCs w:val="24"/>
        </w:rPr>
        <w:t xml:space="preserve"> or such a variety of interpretations that the scale is made invalid. Jimenez-Barrionuevo et al (2011) set the context of </w:t>
      </w:r>
      <w:r w:rsidR="005C553F" w:rsidRPr="009759D1">
        <w:rPr>
          <w:sz w:val="24"/>
          <w:szCs w:val="24"/>
        </w:rPr>
        <w:t xml:space="preserve">responses </w:t>
      </w:r>
      <w:r w:rsidR="001D2FB4" w:rsidRPr="009759D1">
        <w:rPr>
          <w:sz w:val="24"/>
          <w:szCs w:val="24"/>
        </w:rPr>
        <w:t xml:space="preserve">through a scenario </w:t>
      </w:r>
      <w:r w:rsidR="005C553F" w:rsidRPr="009759D1">
        <w:rPr>
          <w:sz w:val="24"/>
          <w:szCs w:val="24"/>
        </w:rPr>
        <w:t>(more applicable to the first two component</w:t>
      </w:r>
      <w:r w:rsidR="00FE4E55" w:rsidRPr="009759D1">
        <w:rPr>
          <w:sz w:val="24"/>
          <w:szCs w:val="24"/>
        </w:rPr>
        <w:t>s</w:t>
      </w:r>
      <w:r w:rsidR="005C553F" w:rsidRPr="009759D1">
        <w:rPr>
          <w:sz w:val="24"/>
          <w:szCs w:val="24"/>
        </w:rPr>
        <w:t xml:space="preserve">, acquisition and assimilation) </w:t>
      </w:r>
      <w:r w:rsidR="001D2FB4" w:rsidRPr="009759D1">
        <w:rPr>
          <w:sz w:val="24"/>
          <w:szCs w:val="24"/>
        </w:rPr>
        <w:t>asking respondents to think about one organisation with whom their firm has had significant contact in the last three years in relation to  gaining information o</w:t>
      </w:r>
      <w:r w:rsidR="00AC5A5C">
        <w:rPr>
          <w:sz w:val="24"/>
          <w:szCs w:val="24"/>
        </w:rPr>
        <w:t>r</w:t>
      </w:r>
      <w:r w:rsidR="001D2FB4" w:rsidRPr="009759D1">
        <w:rPr>
          <w:sz w:val="24"/>
          <w:szCs w:val="24"/>
        </w:rPr>
        <w:t xml:space="preserve"> knowledge</w:t>
      </w:r>
      <w:r w:rsidR="001E0716" w:rsidRPr="009759D1">
        <w:rPr>
          <w:sz w:val="24"/>
          <w:szCs w:val="24"/>
        </w:rPr>
        <w:t>.</w:t>
      </w:r>
      <w:r w:rsidR="001D2FB4" w:rsidRPr="009759D1">
        <w:rPr>
          <w:sz w:val="24"/>
          <w:szCs w:val="24"/>
        </w:rPr>
        <w:t xml:space="preserve"> This is suitable when first </w:t>
      </w:r>
      <w:r w:rsidR="001E0716" w:rsidRPr="009759D1">
        <w:rPr>
          <w:sz w:val="24"/>
          <w:szCs w:val="24"/>
        </w:rPr>
        <w:t>validating</w:t>
      </w:r>
      <w:r w:rsidR="001D2FB4" w:rsidRPr="009759D1">
        <w:rPr>
          <w:sz w:val="24"/>
          <w:szCs w:val="24"/>
        </w:rPr>
        <w:t xml:space="preserve"> the </w:t>
      </w:r>
      <w:r w:rsidR="001D2FB4" w:rsidRPr="009759D1">
        <w:rPr>
          <w:sz w:val="24"/>
          <w:szCs w:val="24"/>
        </w:rPr>
        <w:lastRenderedPageBreak/>
        <w:t xml:space="preserve">instrument but may be limited in its ability to then measure </w:t>
      </w:r>
      <w:r w:rsidR="001E0716" w:rsidRPr="009759D1">
        <w:rPr>
          <w:sz w:val="24"/>
          <w:szCs w:val="24"/>
        </w:rPr>
        <w:t>absorptive</w:t>
      </w:r>
      <w:r w:rsidR="001D2FB4" w:rsidRPr="009759D1">
        <w:rPr>
          <w:sz w:val="24"/>
          <w:szCs w:val="24"/>
        </w:rPr>
        <w:t xml:space="preserve"> capacity as only one situation is being considered</w:t>
      </w:r>
      <w:r w:rsidR="001E0716" w:rsidRPr="009759D1">
        <w:rPr>
          <w:sz w:val="24"/>
          <w:szCs w:val="24"/>
        </w:rPr>
        <w:t xml:space="preserve"> rather than the wider operations of the firm</w:t>
      </w:r>
      <w:r w:rsidR="001D2FB4" w:rsidRPr="009759D1">
        <w:rPr>
          <w:sz w:val="24"/>
          <w:szCs w:val="24"/>
        </w:rPr>
        <w:t>. Flatten et al</w:t>
      </w:r>
      <w:r w:rsidR="001E0716" w:rsidRPr="009759D1">
        <w:rPr>
          <w:sz w:val="24"/>
          <w:szCs w:val="24"/>
        </w:rPr>
        <w:t xml:space="preserve"> (2011)</w:t>
      </w:r>
      <w:r w:rsidR="001D2FB4" w:rsidRPr="009759D1">
        <w:rPr>
          <w:sz w:val="24"/>
          <w:szCs w:val="24"/>
        </w:rPr>
        <w:t xml:space="preserve"> </w:t>
      </w:r>
      <w:r w:rsidR="001E0716" w:rsidRPr="009759D1">
        <w:rPr>
          <w:sz w:val="24"/>
          <w:szCs w:val="24"/>
        </w:rPr>
        <w:t xml:space="preserve">provide </w:t>
      </w:r>
      <w:r w:rsidR="009615DF" w:rsidRPr="009759D1">
        <w:rPr>
          <w:sz w:val="24"/>
          <w:szCs w:val="24"/>
        </w:rPr>
        <w:t xml:space="preserve">instructions to those completing their questionnaire which may steer responses towards particular aspects of each dimension, potentially distorting the results. For example, they use </w:t>
      </w:r>
      <w:r w:rsidR="001D2FB4" w:rsidRPr="009759D1">
        <w:rPr>
          <w:sz w:val="24"/>
          <w:szCs w:val="24"/>
        </w:rPr>
        <w:t>three items to measure exploitation</w:t>
      </w:r>
      <w:r w:rsidR="00AC5A5C">
        <w:rPr>
          <w:sz w:val="24"/>
          <w:szCs w:val="24"/>
        </w:rPr>
        <w:t xml:space="preserve"> which</w:t>
      </w:r>
      <w:r w:rsidR="001D2FB4" w:rsidRPr="009759D1">
        <w:rPr>
          <w:sz w:val="24"/>
          <w:szCs w:val="24"/>
        </w:rPr>
        <w:t xml:space="preserve"> ten</w:t>
      </w:r>
      <w:r w:rsidR="009615DF" w:rsidRPr="009759D1">
        <w:rPr>
          <w:sz w:val="24"/>
          <w:szCs w:val="24"/>
        </w:rPr>
        <w:t>d to emphasise technology. Yet</w:t>
      </w:r>
      <w:r w:rsidR="001D2FB4" w:rsidRPr="009759D1">
        <w:rPr>
          <w:sz w:val="24"/>
          <w:szCs w:val="24"/>
        </w:rPr>
        <w:t>,</w:t>
      </w:r>
      <w:r w:rsidR="009615DF" w:rsidRPr="009759D1">
        <w:rPr>
          <w:sz w:val="24"/>
          <w:szCs w:val="24"/>
        </w:rPr>
        <w:t xml:space="preserve"> as</w:t>
      </w:r>
      <w:r w:rsidR="001D2FB4" w:rsidRPr="009759D1">
        <w:rPr>
          <w:sz w:val="24"/>
          <w:szCs w:val="24"/>
        </w:rPr>
        <w:t xml:space="preserve"> Delmas (2011) argues</w:t>
      </w:r>
      <w:r w:rsidR="009615DF" w:rsidRPr="009759D1">
        <w:rPr>
          <w:sz w:val="24"/>
          <w:szCs w:val="24"/>
        </w:rPr>
        <w:t>,</w:t>
      </w:r>
      <w:r w:rsidR="001D2FB4" w:rsidRPr="009759D1">
        <w:rPr>
          <w:sz w:val="24"/>
          <w:szCs w:val="24"/>
        </w:rPr>
        <w:t xml:space="preserve"> many </w:t>
      </w:r>
      <w:r w:rsidR="001E0716" w:rsidRPr="009759D1">
        <w:rPr>
          <w:sz w:val="24"/>
          <w:szCs w:val="24"/>
        </w:rPr>
        <w:t>studies</w:t>
      </w:r>
      <w:r w:rsidR="001D2FB4" w:rsidRPr="009759D1">
        <w:rPr>
          <w:sz w:val="24"/>
          <w:szCs w:val="24"/>
        </w:rPr>
        <w:t xml:space="preserve"> have </w:t>
      </w:r>
      <w:r w:rsidR="001E0716" w:rsidRPr="009759D1">
        <w:rPr>
          <w:sz w:val="24"/>
          <w:szCs w:val="24"/>
        </w:rPr>
        <w:t>overemphasised</w:t>
      </w:r>
      <w:r w:rsidR="001D2FB4" w:rsidRPr="009759D1">
        <w:rPr>
          <w:sz w:val="24"/>
          <w:szCs w:val="24"/>
        </w:rPr>
        <w:t xml:space="preserve"> technology and ma</w:t>
      </w:r>
      <w:r w:rsidR="001E0716" w:rsidRPr="009759D1">
        <w:rPr>
          <w:sz w:val="24"/>
          <w:szCs w:val="24"/>
        </w:rPr>
        <w:t>na</w:t>
      </w:r>
      <w:r w:rsidR="001D2FB4" w:rsidRPr="009759D1">
        <w:rPr>
          <w:sz w:val="24"/>
          <w:szCs w:val="24"/>
        </w:rPr>
        <w:t>gerial functions a</w:t>
      </w:r>
      <w:r w:rsidR="009615DF" w:rsidRPr="009759D1">
        <w:rPr>
          <w:sz w:val="24"/>
          <w:szCs w:val="24"/>
        </w:rPr>
        <w:t xml:space="preserve">t the expense of </w:t>
      </w:r>
      <w:r w:rsidR="001D2FB4" w:rsidRPr="009759D1">
        <w:rPr>
          <w:sz w:val="24"/>
          <w:szCs w:val="24"/>
        </w:rPr>
        <w:t>social and regulatory a</w:t>
      </w:r>
      <w:r w:rsidR="009615DF" w:rsidRPr="009759D1">
        <w:rPr>
          <w:sz w:val="24"/>
          <w:szCs w:val="24"/>
        </w:rPr>
        <w:t>spects</w:t>
      </w:r>
      <w:r w:rsidR="001D2FB4" w:rsidRPr="009759D1">
        <w:rPr>
          <w:sz w:val="24"/>
          <w:szCs w:val="24"/>
        </w:rPr>
        <w:t xml:space="preserve">. </w:t>
      </w:r>
      <w:r w:rsidR="001E0716" w:rsidRPr="009759D1">
        <w:rPr>
          <w:sz w:val="24"/>
          <w:szCs w:val="24"/>
        </w:rPr>
        <w:t xml:space="preserve"> </w:t>
      </w:r>
      <w:r w:rsidR="001D2FB4" w:rsidRPr="009759D1">
        <w:rPr>
          <w:sz w:val="24"/>
          <w:szCs w:val="24"/>
        </w:rPr>
        <w:t xml:space="preserve">Table 1 </w:t>
      </w:r>
      <w:r w:rsidR="009615DF" w:rsidRPr="009759D1">
        <w:rPr>
          <w:sz w:val="24"/>
          <w:szCs w:val="24"/>
        </w:rPr>
        <w:t xml:space="preserve">summarises recent approaches </w:t>
      </w:r>
      <w:r w:rsidR="00A63AE5" w:rsidRPr="009759D1">
        <w:rPr>
          <w:sz w:val="24"/>
          <w:szCs w:val="24"/>
        </w:rPr>
        <w:t xml:space="preserve">to measuring the antecedents of absorptive capacity using multi-item scales highlighting </w:t>
      </w:r>
      <w:r w:rsidR="00AC5A5C">
        <w:rPr>
          <w:sz w:val="24"/>
          <w:szCs w:val="24"/>
        </w:rPr>
        <w:t xml:space="preserve">their </w:t>
      </w:r>
      <w:r w:rsidR="00A63AE5" w:rsidRPr="009759D1">
        <w:rPr>
          <w:sz w:val="24"/>
          <w:szCs w:val="24"/>
        </w:rPr>
        <w:t xml:space="preserve">relative strengths and weaknesses. </w:t>
      </w:r>
    </w:p>
    <w:p w:rsidR="00412F34" w:rsidRPr="009759D1" w:rsidRDefault="00412F34" w:rsidP="009759D1">
      <w:pPr>
        <w:spacing w:after="0" w:line="480" w:lineRule="auto"/>
        <w:rPr>
          <w:sz w:val="24"/>
          <w:szCs w:val="24"/>
        </w:rPr>
      </w:pPr>
    </w:p>
    <w:p w:rsidR="005212CA" w:rsidRDefault="00412F34" w:rsidP="009759D1">
      <w:pPr>
        <w:spacing w:after="0" w:line="480" w:lineRule="auto"/>
        <w:rPr>
          <w:sz w:val="24"/>
          <w:szCs w:val="24"/>
        </w:rPr>
      </w:pPr>
      <w:r>
        <w:rPr>
          <w:sz w:val="24"/>
          <w:szCs w:val="24"/>
        </w:rPr>
        <w:t>TABLE 1 ABOUT HERE</w:t>
      </w:r>
    </w:p>
    <w:p w:rsidR="00412F34" w:rsidRDefault="00412F34" w:rsidP="009759D1">
      <w:pPr>
        <w:spacing w:after="0" w:line="480" w:lineRule="auto"/>
        <w:rPr>
          <w:sz w:val="24"/>
          <w:szCs w:val="24"/>
        </w:rPr>
      </w:pPr>
    </w:p>
    <w:p w:rsidR="008E68E5" w:rsidRDefault="008E68E5" w:rsidP="009759D1">
      <w:pPr>
        <w:spacing w:after="0" w:line="480" w:lineRule="auto"/>
        <w:rPr>
          <w:sz w:val="24"/>
          <w:szCs w:val="24"/>
        </w:rPr>
      </w:pPr>
      <w:r w:rsidRPr="009759D1">
        <w:rPr>
          <w:sz w:val="24"/>
          <w:szCs w:val="24"/>
        </w:rPr>
        <w:t>In order to create a similarly vali</w:t>
      </w:r>
      <w:r w:rsidR="00C60453" w:rsidRPr="009759D1">
        <w:rPr>
          <w:sz w:val="24"/>
          <w:szCs w:val="24"/>
        </w:rPr>
        <w:t>d scale for application within the</w:t>
      </w:r>
      <w:r w:rsidR="000B7865" w:rsidRPr="009759D1">
        <w:rPr>
          <w:sz w:val="24"/>
          <w:szCs w:val="24"/>
        </w:rPr>
        <w:t xml:space="preserve"> UK hotel</w:t>
      </w:r>
      <w:r w:rsidRPr="009759D1">
        <w:rPr>
          <w:sz w:val="24"/>
          <w:szCs w:val="24"/>
        </w:rPr>
        <w:t xml:space="preserve"> </w:t>
      </w:r>
      <w:r w:rsidR="00C60453" w:rsidRPr="009759D1">
        <w:rPr>
          <w:sz w:val="24"/>
          <w:szCs w:val="24"/>
        </w:rPr>
        <w:t>sector</w:t>
      </w:r>
      <w:r w:rsidR="000B7865" w:rsidRPr="009759D1">
        <w:rPr>
          <w:sz w:val="24"/>
          <w:szCs w:val="24"/>
        </w:rPr>
        <w:t>,</w:t>
      </w:r>
      <w:r w:rsidRPr="009759D1">
        <w:rPr>
          <w:sz w:val="24"/>
          <w:szCs w:val="24"/>
        </w:rPr>
        <w:t xml:space="preserve"> existing scales and their related survey instruments were assessed within </w:t>
      </w:r>
      <w:r w:rsidR="009A49D8" w:rsidRPr="009759D1">
        <w:rPr>
          <w:sz w:val="24"/>
          <w:szCs w:val="24"/>
        </w:rPr>
        <w:t>the c</w:t>
      </w:r>
      <w:r w:rsidR="005C553F" w:rsidRPr="009759D1">
        <w:rPr>
          <w:sz w:val="24"/>
          <w:szCs w:val="24"/>
        </w:rPr>
        <w:t>o</w:t>
      </w:r>
      <w:r w:rsidR="009A49D8" w:rsidRPr="009759D1">
        <w:rPr>
          <w:sz w:val="24"/>
          <w:szCs w:val="24"/>
        </w:rPr>
        <w:t xml:space="preserve">ntext of the literature on </w:t>
      </w:r>
      <w:r w:rsidR="005C553F" w:rsidRPr="009759D1">
        <w:rPr>
          <w:sz w:val="24"/>
          <w:szCs w:val="24"/>
        </w:rPr>
        <w:t>absorptive</w:t>
      </w:r>
      <w:r w:rsidR="009A49D8" w:rsidRPr="009759D1">
        <w:rPr>
          <w:sz w:val="24"/>
          <w:szCs w:val="24"/>
        </w:rPr>
        <w:t xml:space="preserve"> capacity within the service sector</w:t>
      </w:r>
      <w:r w:rsidR="000B7865" w:rsidRPr="009759D1">
        <w:rPr>
          <w:sz w:val="24"/>
          <w:szCs w:val="24"/>
        </w:rPr>
        <w:t xml:space="preserve">. </w:t>
      </w:r>
      <w:r w:rsidR="009A49D8" w:rsidRPr="009759D1">
        <w:rPr>
          <w:sz w:val="24"/>
          <w:szCs w:val="24"/>
        </w:rPr>
        <w:t xml:space="preserve"> </w:t>
      </w:r>
      <w:r w:rsidR="005C553F" w:rsidRPr="009759D1">
        <w:rPr>
          <w:sz w:val="24"/>
          <w:szCs w:val="24"/>
        </w:rPr>
        <w:t xml:space="preserve">By combining </w:t>
      </w:r>
      <w:r w:rsidR="00C60453" w:rsidRPr="009759D1">
        <w:rPr>
          <w:sz w:val="24"/>
          <w:szCs w:val="24"/>
        </w:rPr>
        <w:t>aspects</w:t>
      </w:r>
      <w:r w:rsidR="005C553F" w:rsidRPr="009759D1">
        <w:rPr>
          <w:sz w:val="24"/>
          <w:szCs w:val="24"/>
        </w:rPr>
        <w:t xml:space="preserve"> of these validated scales</w:t>
      </w:r>
      <w:r w:rsidR="00C60453" w:rsidRPr="009759D1">
        <w:rPr>
          <w:sz w:val="24"/>
          <w:szCs w:val="24"/>
        </w:rPr>
        <w:t>,</w:t>
      </w:r>
      <w:r w:rsidR="005C553F" w:rsidRPr="009759D1">
        <w:rPr>
          <w:sz w:val="24"/>
          <w:szCs w:val="24"/>
        </w:rPr>
        <w:t xml:space="preserve"> which are themselves based upon previous empirical studies</w:t>
      </w:r>
      <w:r w:rsidR="00C60453" w:rsidRPr="009759D1">
        <w:rPr>
          <w:sz w:val="24"/>
          <w:szCs w:val="24"/>
        </w:rPr>
        <w:t>, and refining the items to reflect the peculiarities of tourism organisations</w:t>
      </w:r>
      <w:r w:rsidR="000B7865" w:rsidRPr="009759D1">
        <w:rPr>
          <w:sz w:val="24"/>
          <w:szCs w:val="24"/>
        </w:rPr>
        <w:t>,</w:t>
      </w:r>
      <w:r w:rsidR="005C553F" w:rsidRPr="009759D1">
        <w:rPr>
          <w:sz w:val="24"/>
          <w:szCs w:val="24"/>
        </w:rPr>
        <w:t xml:space="preserve"> </w:t>
      </w:r>
      <w:r w:rsidR="000B7865" w:rsidRPr="009759D1">
        <w:rPr>
          <w:sz w:val="24"/>
          <w:szCs w:val="24"/>
        </w:rPr>
        <w:t>provide</w:t>
      </w:r>
      <w:r w:rsidR="00AC5A5C">
        <w:rPr>
          <w:sz w:val="24"/>
          <w:szCs w:val="24"/>
        </w:rPr>
        <w:t>s</w:t>
      </w:r>
      <w:r w:rsidR="00B949BA" w:rsidRPr="009759D1">
        <w:rPr>
          <w:sz w:val="24"/>
          <w:szCs w:val="24"/>
        </w:rPr>
        <w:t xml:space="preserve"> an </w:t>
      </w:r>
      <w:r w:rsidR="000B7865" w:rsidRPr="009759D1">
        <w:rPr>
          <w:sz w:val="24"/>
          <w:szCs w:val="24"/>
        </w:rPr>
        <w:t>appropriate</w:t>
      </w:r>
      <w:r w:rsidR="00B949BA" w:rsidRPr="009759D1">
        <w:rPr>
          <w:sz w:val="24"/>
          <w:szCs w:val="24"/>
        </w:rPr>
        <w:t xml:space="preserve"> starting point for </w:t>
      </w:r>
      <w:r w:rsidR="00AC5A5C">
        <w:rPr>
          <w:sz w:val="24"/>
          <w:szCs w:val="24"/>
        </w:rPr>
        <w:t xml:space="preserve">the </w:t>
      </w:r>
      <w:r w:rsidR="000B7865" w:rsidRPr="009759D1">
        <w:rPr>
          <w:sz w:val="24"/>
          <w:szCs w:val="24"/>
        </w:rPr>
        <w:t>development of a scale which ha</w:t>
      </w:r>
      <w:r w:rsidR="00AC5A5C">
        <w:rPr>
          <w:sz w:val="24"/>
          <w:szCs w:val="24"/>
        </w:rPr>
        <w:t>s</w:t>
      </w:r>
      <w:r w:rsidR="00B949BA" w:rsidRPr="009759D1">
        <w:rPr>
          <w:sz w:val="24"/>
          <w:szCs w:val="24"/>
        </w:rPr>
        <w:t xml:space="preserve"> </w:t>
      </w:r>
      <w:r w:rsidR="00C60453" w:rsidRPr="009759D1">
        <w:rPr>
          <w:sz w:val="24"/>
          <w:szCs w:val="24"/>
        </w:rPr>
        <w:t xml:space="preserve">both </w:t>
      </w:r>
      <w:r w:rsidR="000B7865" w:rsidRPr="009759D1">
        <w:rPr>
          <w:sz w:val="24"/>
          <w:szCs w:val="24"/>
        </w:rPr>
        <w:t xml:space="preserve">content validity and </w:t>
      </w:r>
      <w:r w:rsidR="00AC5A5C">
        <w:rPr>
          <w:sz w:val="24"/>
          <w:szCs w:val="24"/>
        </w:rPr>
        <w:t>i</w:t>
      </w:r>
      <w:r w:rsidR="00B949BA" w:rsidRPr="009759D1">
        <w:rPr>
          <w:sz w:val="24"/>
          <w:szCs w:val="24"/>
        </w:rPr>
        <w:t>s</w:t>
      </w:r>
      <w:r w:rsidR="000B7865" w:rsidRPr="009759D1">
        <w:rPr>
          <w:sz w:val="24"/>
          <w:szCs w:val="24"/>
        </w:rPr>
        <w:t xml:space="preserve">, </w:t>
      </w:r>
      <w:r w:rsidR="000B7865" w:rsidRPr="009759D1">
        <w:rPr>
          <w:i/>
          <w:sz w:val="24"/>
          <w:szCs w:val="24"/>
        </w:rPr>
        <w:t>prima facie</w:t>
      </w:r>
      <w:r w:rsidR="000B7865" w:rsidRPr="009759D1">
        <w:rPr>
          <w:sz w:val="24"/>
          <w:szCs w:val="24"/>
        </w:rPr>
        <w:t>,</w:t>
      </w:r>
      <w:r w:rsidR="00B949BA" w:rsidRPr="009759D1">
        <w:rPr>
          <w:sz w:val="24"/>
          <w:szCs w:val="24"/>
        </w:rPr>
        <w:t xml:space="preserve"> </w:t>
      </w:r>
      <w:r w:rsidR="00C60453" w:rsidRPr="009759D1">
        <w:rPr>
          <w:sz w:val="24"/>
          <w:szCs w:val="24"/>
        </w:rPr>
        <w:t xml:space="preserve">more </w:t>
      </w:r>
      <w:r w:rsidR="00B949BA" w:rsidRPr="009759D1">
        <w:rPr>
          <w:sz w:val="24"/>
          <w:szCs w:val="24"/>
        </w:rPr>
        <w:t xml:space="preserve">applicable </w:t>
      </w:r>
      <w:r w:rsidR="000B7865" w:rsidRPr="009759D1">
        <w:rPr>
          <w:sz w:val="24"/>
          <w:szCs w:val="24"/>
        </w:rPr>
        <w:t>to tourism</w:t>
      </w:r>
      <w:r w:rsidR="00B949BA" w:rsidRPr="009759D1">
        <w:rPr>
          <w:sz w:val="24"/>
          <w:szCs w:val="24"/>
        </w:rPr>
        <w:t xml:space="preserve">. </w:t>
      </w:r>
      <w:r w:rsidR="00787913">
        <w:rPr>
          <w:sz w:val="24"/>
          <w:szCs w:val="24"/>
        </w:rPr>
        <w:t>Much</w:t>
      </w:r>
      <w:r w:rsidR="00C60453" w:rsidRPr="009759D1">
        <w:rPr>
          <w:sz w:val="24"/>
          <w:szCs w:val="24"/>
        </w:rPr>
        <w:t xml:space="preserve"> of </w:t>
      </w:r>
      <w:r w:rsidR="00787913">
        <w:rPr>
          <w:sz w:val="24"/>
          <w:szCs w:val="24"/>
        </w:rPr>
        <w:t xml:space="preserve">the previous research </w:t>
      </w:r>
      <w:r w:rsidR="000B7865" w:rsidRPr="009759D1">
        <w:rPr>
          <w:sz w:val="24"/>
          <w:szCs w:val="24"/>
        </w:rPr>
        <w:t>ha</w:t>
      </w:r>
      <w:r w:rsidR="00787913">
        <w:rPr>
          <w:sz w:val="24"/>
          <w:szCs w:val="24"/>
        </w:rPr>
        <w:t>s</w:t>
      </w:r>
      <w:r w:rsidR="000B7865" w:rsidRPr="009759D1">
        <w:rPr>
          <w:sz w:val="24"/>
          <w:szCs w:val="24"/>
        </w:rPr>
        <w:t xml:space="preserve"> only studied what </w:t>
      </w:r>
      <w:r w:rsidR="00787913">
        <w:rPr>
          <w:sz w:val="24"/>
          <w:szCs w:val="24"/>
        </w:rPr>
        <w:t>are</w:t>
      </w:r>
      <w:r w:rsidR="000B7865" w:rsidRPr="009759D1">
        <w:rPr>
          <w:sz w:val="24"/>
          <w:szCs w:val="24"/>
        </w:rPr>
        <w:t xml:space="preserve"> deemed to be</w:t>
      </w:r>
      <w:r w:rsidR="00423DCB" w:rsidRPr="009759D1">
        <w:rPr>
          <w:sz w:val="24"/>
          <w:szCs w:val="24"/>
        </w:rPr>
        <w:t xml:space="preserve"> innovative (manufacturing) firms or innovative (high tech) sectors.  The aim of applying the</w:t>
      </w:r>
      <w:r w:rsidR="00B949BA" w:rsidRPr="009759D1">
        <w:rPr>
          <w:sz w:val="24"/>
          <w:szCs w:val="24"/>
        </w:rPr>
        <w:t xml:space="preserve"> instrument to a large sample within the UK </w:t>
      </w:r>
      <w:r w:rsidR="00423DCB" w:rsidRPr="009759D1">
        <w:rPr>
          <w:sz w:val="24"/>
          <w:szCs w:val="24"/>
        </w:rPr>
        <w:t xml:space="preserve">hotel </w:t>
      </w:r>
      <w:r w:rsidR="00E545DB" w:rsidRPr="009759D1">
        <w:rPr>
          <w:sz w:val="24"/>
          <w:szCs w:val="24"/>
        </w:rPr>
        <w:t>sector</w:t>
      </w:r>
      <w:r w:rsidR="00423DCB" w:rsidRPr="009759D1">
        <w:rPr>
          <w:sz w:val="24"/>
          <w:szCs w:val="24"/>
        </w:rPr>
        <w:t xml:space="preserve"> </w:t>
      </w:r>
      <w:r w:rsidR="00787913">
        <w:rPr>
          <w:sz w:val="24"/>
          <w:szCs w:val="24"/>
        </w:rPr>
        <w:t>is</w:t>
      </w:r>
      <w:r w:rsidR="00423DCB" w:rsidRPr="009759D1">
        <w:rPr>
          <w:sz w:val="24"/>
          <w:szCs w:val="24"/>
        </w:rPr>
        <w:t xml:space="preserve"> to </w:t>
      </w:r>
      <w:r w:rsidR="00B949BA" w:rsidRPr="009759D1">
        <w:rPr>
          <w:sz w:val="24"/>
          <w:szCs w:val="24"/>
        </w:rPr>
        <w:t>validat</w:t>
      </w:r>
      <w:r w:rsidR="00423DCB" w:rsidRPr="009759D1">
        <w:rPr>
          <w:sz w:val="24"/>
          <w:szCs w:val="24"/>
        </w:rPr>
        <w:t xml:space="preserve">e </w:t>
      </w:r>
      <w:r w:rsidR="00B949BA" w:rsidRPr="009759D1">
        <w:rPr>
          <w:sz w:val="24"/>
          <w:szCs w:val="24"/>
        </w:rPr>
        <w:t xml:space="preserve">and refine the scale as well as </w:t>
      </w:r>
      <w:r w:rsidR="00423DCB" w:rsidRPr="009759D1">
        <w:rPr>
          <w:sz w:val="24"/>
          <w:szCs w:val="24"/>
        </w:rPr>
        <w:t xml:space="preserve">to </w:t>
      </w:r>
      <w:r w:rsidR="00B949BA" w:rsidRPr="009759D1">
        <w:rPr>
          <w:sz w:val="24"/>
          <w:szCs w:val="24"/>
        </w:rPr>
        <w:t xml:space="preserve">measure the absorptive capacity </w:t>
      </w:r>
      <w:r w:rsidR="00423DCB" w:rsidRPr="009759D1">
        <w:rPr>
          <w:sz w:val="24"/>
          <w:szCs w:val="24"/>
        </w:rPr>
        <w:t>in this neglected</w:t>
      </w:r>
      <w:r w:rsidR="00C60453" w:rsidRPr="009759D1">
        <w:rPr>
          <w:sz w:val="24"/>
          <w:szCs w:val="24"/>
        </w:rPr>
        <w:t xml:space="preserve"> </w:t>
      </w:r>
      <w:r w:rsidR="00B949BA" w:rsidRPr="009759D1">
        <w:rPr>
          <w:sz w:val="24"/>
          <w:szCs w:val="24"/>
        </w:rPr>
        <w:t xml:space="preserve">sector. </w:t>
      </w:r>
    </w:p>
    <w:p w:rsidR="00336591" w:rsidRDefault="00336591" w:rsidP="009759D1">
      <w:pPr>
        <w:spacing w:after="0" w:line="480" w:lineRule="auto"/>
        <w:rPr>
          <w:sz w:val="24"/>
          <w:szCs w:val="24"/>
        </w:rPr>
      </w:pPr>
    </w:p>
    <w:p w:rsidR="000A581F" w:rsidRPr="009759D1" w:rsidRDefault="000A581F" w:rsidP="009759D1">
      <w:pPr>
        <w:pStyle w:val="ListParagraph"/>
        <w:spacing w:after="0" w:line="480" w:lineRule="auto"/>
        <w:ind w:left="1080"/>
        <w:rPr>
          <w:sz w:val="24"/>
          <w:szCs w:val="24"/>
        </w:rPr>
      </w:pPr>
    </w:p>
    <w:p w:rsidR="009D1ACB" w:rsidRPr="005212CA" w:rsidRDefault="009D1ACB" w:rsidP="009759D1">
      <w:pPr>
        <w:pStyle w:val="ListParagraph"/>
        <w:numPr>
          <w:ilvl w:val="0"/>
          <w:numId w:val="2"/>
        </w:numPr>
        <w:spacing w:after="0" w:line="480" w:lineRule="auto"/>
        <w:rPr>
          <w:b/>
          <w:sz w:val="24"/>
          <w:szCs w:val="24"/>
          <w:u w:val="single"/>
        </w:rPr>
      </w:pPr>
      <w:r w:rsidRPr="005212CA">
        <w:rPr>
          <w:b/>
          <w:sz w:val="24"/>
          <w:szCs w:val="24"/>
          <w:u w:val="single"/>
        </w:rPr>
        <w:lastRenderedPageBreak/>
        <w:t>R</w:t>
      </w:r>
      <w:r w:rsidR="001464C0">
        <w:rPr>
          <w:b/>
          <w:sz w:val="24"/>
          <w:szCs w:val="24"/>
          <w:u w:val="single"/>
        </w:rPr>
        <w:t>ESEARCH DESIGN AND METHODS</w:t>
      </w:r>
    </w:p>
    <w:p w:rsidR="00ED1BAA" w:rsidRDefault="000A581F" w:rsidP="009759D1">
      <w:pPr>
        <w:spacing w:after="0" w:line="480" w:lineRule="auto"/>
        <w:rPr>
          <w:sz w:val="24"/>
          <w:szCs w:val="24"/>
        </w:rPr>
      </w:pPr>
      <w:r w:rsidRPr="009759D1">
        <w:rPr>
          <w:sz w:val="24"/>
          <w:szCs w:val="24"/>
        </w:rPr>
        <w:t>A</w:t>
      </w:r>
      <w:r w:rsidR="00787913">
        <w:rPr>
          <w:sz w:val="24"/>
          <w:szCs w:val="24"/>
        </w:rPr>
        <w:t>n initial</w:t>
      </w:r>
      <w:r w:rsidRPr="009759D1">
        <w:rPr>
          <w:sz w:val="24"/>
          <w:szCs w:val="24"/>
        </w:rPr>
        <w:t xml:space="preserve"> </w:t>
      </w:r>
      <w:r w:rsidR="00423DCB" w:rsidRPr="009759D1">
        <w:rPr>
          <w:sz w:val="24"/>
          <w:szCs w:val="24"/>
        </w:rPr>
        <w:t xml:space="preserve">research instrument </w:t>
      </w:r>
      <w:r w:rsidR="00DC0508" w:rsidRPr="009759D1">
        <w:rPr>
          <w:sz w:val="24"/>
          <w:szCs w:val="24"/>
        </w:rPr>
        <w:t>based on th</w:t>
      </w:r>
      <w:r w:rsidR="00423DCB" w:rsidRPr="009759D1">
        <w:rPr>
          <w:sz w:val="24"/>
          <w:szCs w:val="24"/>
        </w:rPr>
        <w:t>os</w:t>
      </w:r>
      <w:r w:rsidR="00DC0508" w:rsidRPr="009759D1">
        <w:rPr>
          <w:sz w:val="24"/>
          <w:szCs w:val="24"/>
        </w:rPr>
        <w:t>e</w:t>
      </w:r>
      <w:r w:rsidRPr="009759D1">
        <w:rPr>
          <w:sz w:val="24"/>
          <w:szCs w:val="24"/>
        </w:rPr>
        <w:t xml:space="preserve"> </w:t>
      </w:r>
      <w:r w:rsidR="00DC0508" w:rsidRPr="009759D1">
        <w:rPr>
          <w:sz w:val="24"/>
          <w:szCs w:val="24"/>
        </w:rPr>
        <w:t>discussed above</w:t>
      </w:r>
      <w:r w:rsidRPr="009759D1">
        <w:rPr>
          <w:sz w:val="24"/>
          <w:szCs w:val="24"/>
        </w:rPr>
        <w:t xml:space="preserve"> was </w:t>
      </w:r>
      <w:r w:rsidR="005E53D1" w:rsidRPr="009759D1">
        <w:rPr>
          <w:sz w:val="24"/>
          <w:szCs w:val="24"/>
        </w:rPr>
        <w:t xml:space="preserve">developed and </w:t>
      </w:r>
      <w:r w:rsidR="00787913">
        <w:rPr>
          <w:sz w:val="24"/>
          <w:szCs w:val="24"/>
        </w:rPr>
        <w:t xml:space="preserve">then </w:t>
      </w:r>
      <w:r w:rsidR="005E53D1" w:rsidRPr="009759D1">
        <w:rPr>
          <w:sz w:val="24"/>
          <w:szCs w:val="24"/>
        </w:rPr>
        <w:t xml:space="preserve">used as the basis for </w:t>
      </w:r>
      <w:r w:rsidR="00787913">
        <w:rPr>
          <w:sz w:val="24"/>
          <w:szCs w:val="24"/>
        </w:rPr>
        <w:t>i</w:t>
      </w:r>
      <w:r w:rsidR="005E53D1" w:rsidRPr="009759D1">
        <w:rPr>
          <w:sz w:val="24"/>
          <w:szCs w:val="24"/>
        </w:rPr>
        <w:t xml:space="preserve">nformal interviews with </w:t>
      </w:r>
      <w:r w:rsidR="00423DCB" w:rsidRPr="009759D1">
        <w:rPr>
          <w:sz w:val="24"/>
          <w:szCs w:val="24"/>
        </w:rPr>
        <w:t>five</w:t>
      </w:r>
      <w:r w:rsidR="005E53D1" w:rsidRPr="009759D1">
        <w:rPr>
          <w:sz w:val="24"/>
          <w:szCs w:val="24"/>
        </w:rPr>
        <w:t xml:space="preserve"> senior practitioners</w:t>
      </w:r>
      <w:r w:rsidR="00787913">
        <w:rPr>
          <w:sz w:val="24"/>
          <w:szCs w:val="24"/>
        </w:rPr>
        <w:t xml:space="preserve">. Their responses, comments and suggestions helped </w:t>
      </w:r>
      <w:r w:rsidR="005E53D1" w:rsidRPr="009759D1">
        <w:rPr>
          <w:sz w:val="24"/>
          <w:szCs w:val="24"/>
        </w:rPr>
        <w:t xml:space="preserve">to refine the </w:t>
      </w:r>
      <w:r w:rsidR="00423DCB" w:rsidRPr="009759D1">
        <w:rPr>
          <w:sz w:val="24"/>
          <w:szCs w:val="24"/>
        </w:rPr>
        <w:t xml:space="preserve">questionnaire </w:t>
      </w:r>
      <w:r w:rsidR="005E53D1" w:rsidRPr="009759D1">
        <w:rPr>
          <w:sz w:val="24"/>
          <w:szCs w:val="24"/>
        </w:rPr>
        <w:t>and render it more suitable for tourism businesses</w:t>
      </w:r>
      <w:r w:rsidR="00E03D74" w:rsidRPr="009759D1">
        <w:rPr>
          <w:sz w:val="24"/>
          <w:szCs w:val="24"/>
        </w:rPr>
        <w:t xml:space="preserve"> and to provide content validity</w:t>
      </w:r>
      <w:r w:rsidR="005E53D1" w:rsidRPr="009759D1">
        <w:rPr>
          <w:sz w:val="24"/>
          <w:szCs w:val="24"/>
        </w:rPr>
        <w:t>.</w:t>
      </w:r>
      <w:r w:rsidR="00423DCB" w:rsidRPr="009759D1">
        <w:rPr>
          <w:sz w:val="24"/>
          <w:szCs w:val="24"/>
        </w:rPr>
        <w:t xml:space="preserve"> </w:t>
      </w:r>
      <w:r w:rsidR="005E53D1" w:rsidRPr="009759D1">
        <w:rPr>
          <w:sz w:val="24"/>
          <w:szCs w:val="24"/>
        </w:rPr>
        <w:t xml:space="preserve">The resulting </w:t>
      </w:r>
      <w:r w:rsidR="00423DCB" w:rsidRPr="009759D1">
        <w:rPr>
          <w:sz w:val="24"/>
          <w:szCs w:val="24"/>
        </w:rPr>
        <w:t>instrument was</w:t>
      </w:r>
      <w:r w:rsidR="005E53D1" w:rsidRPr="009759D1">
        <w:rPr>
          <w:sz w:val="24"/>
          <w:szCs w:val="24"/>
        </w:rPr>
        <w:t xml:space="preserve"> then piloted </w:t>
      </w:r>
      <w:r w:rsidR="00423DCB" w:rsidRPr="009759D1">
        <w:rPr>
          <w:sz w:val="24"/>
          <w:szCs w:val="24"/>
        </w:rPr>
        <w:t xml:space="preserve">among 100 randomly selected hotel managers (with a </w:t>
      </w:r>
      <w:r w:rsidR="00787913">
        <w:rPr>
          <w:sz w:val="24"/>
          <w:szCs w:val="24"/>
        </w:rPr>
        <w:t>twelve</w:t>
      </w:r>
      <w:r w:rsidR="00423DCB" w:rsidRPr="009759D1">
        <w:rPr>
          <w:sz w:val="24"/>
          <w:szCs w:val="24"/>
        </w:rPr>
        <w:t xml:space="preserve"> per cent response rate) </w:t>
      </w:r>
      <w:r w:rsidR="005E53D1" w:rsidRPr="009759D1">
        <w:rPr>
          <w:sz w:val="24"/>
          <w:szCs w:val="24"/>
        </w:rPr>
        <w:t xml:space="preserve">and further </w:t>
      </w:r>
      <w:r w:rsidR="00336591">
        <w:rPr>
          <w:sz w:val="24"/>
          <w:szCs w:val="24"/>
        </w:rPr>
        <w:t xml:space="preserve">stylistic </w:t>
      </w:r>
      <w:r w:rsidR="005E53D1" w:rsidRPr="009759D1">
        <w:rPr>
          <w:sz w:val="24"/>
          <w:szCs w:val="24"/>
        </w:rPr>
        <w:t>refinements were made</w:t>
      </w:r>
      <w:r w:rsidR="00336591">
        <w:rPr>
          <w:sz w:val="24"/>
          <w:szCs w:val="24"/>
        </w:rPr>
        <w:t>,</w:t>
      </w:r>
      <w:r w:rsidR="005E53D1" w:rsidRPr="009759D1">
        <w:rPr>
          <w:sz w:val="24"/>
          <w:szCs w:val="24"/>
        </w:rPr>
        <w:t xml:space="preserve"> </w:t>
      </w:r>
      <w:r w:rsidR="003966DC" w:rsidRPr="009759D1">
        <w:rPr>
          <w:sz w:val="24"/>
          <w:szCs w:val="24"/>
        </w:rPr>
        <w:t xml:space="preserve">ensuring that the wording was less ambiguous and that terminology was a better fit with that used in the sector. </w:t>
      </w:r>
    </w:p>
    <w:p w:rsidR="005212CA" w:rsidRPr="009759D1" w:rsidRDefault="005212CA" w:rsidP="009759D1">
      <w:pPr>
        <w:spacing w:after="0" w:line="480" w:lineRule="auto"/>
        <w:rPr>
          <w:sz w:val="24"/>
          <w:szCs w:val="24"/>
        </w:rPr>
      </w:pPr>
    </w:p>
    <w:p w:rsidR="00031612" w:rsidRDefault="006F0BE3" w:rsidP="009759D1">
      <w:pPr>
        <w:spacing w:after="0" w:line="480" w:lineRule="auto"/>
        <w:rPr>
          <w:sz w:val="24"/>
          <w:szCs w:val="24"/>
        </w:rPr>
      </w:pPr>
      <w:r>
        <w:rPr>
          <w:sz w:val="24"/>
          <w:szCs w:val="24"/>
        </w:rPr>
        <w:t xml:space="preserve">The research instrument was designed to gather data on the four conceptual dimensions of absorptive capacity.  </w:t>
      </w:r>
      <w:r w:rsidR="00031612" w:rsidRPr="009759D1">
        <w:rPr>
          <w:sz w:val="24"/>
          <w:szCs w:val="24"/>
        </w:rPr>
        <w:t xml:space="preserve">As can be seen in Appendix A, the key features of the survey instrument include the use of a </w:t>
      </w:r>
      <w:r w:rsidR="00787913">
        <w:rPr>
          <w:sz w:val="24"/>
          <w:szCs w:val="24"/>
        </w:rPr>
        <w:t>five</w:t>
      </w:r>
      <w:r w:rsidR="00787913" w:rsidRPr="009759D1">
        <w:rPr>
          <w:sz w:val="24"/>
          <w:szCs w:val="24"/>
        </w:rPr>
        <w:t xml:space="preserve"> </w:t>
      </w:r>
      <w:r w:rsidR="00031612" w:rsidRPr="009759D1">
        <w:rPr>
          <w:sz w:val="24"/>
          <w:szCs w:val="24"/>
        </w:rPr>
        <w:t xml:space="preserve">point Likert type scale (as in similar studies eg Lane and Lubatkin, 1998; Szulanzki, 1996 and Delmas et al, 2011). The </w:t>
      </w:r>
      <w:r w:rsidR="00787913">
        <w:rPr>
          <w:sz w:val="24"/>
          <w:szCs w:val="24"/>
        </w:rPr>
        <w:t>seven</w:t>
      </w:r>
      <w:r w:rsidR="00031612" w:rsidRPr="009759D1">
        <w:rPr>
          <w:sz w:val="24"/>
          <w:szCs w:val="24"/>
        </w:rPr>
        <w:t xml:space="preserve"> point scale used by Jimenez-Barrionuevo et al (2011) and Flatten et al (2011) was rejected on the basis that it might be more difficult for respondents to distinguish between the points and would add little in terms of data accuracy.  A combination of scene setting and competitor comparison was used to provide respondents with a clearer focus and these were adapted for each of the four absorptive capacity components. </w:t>
      </w:r>
      <w:r>
        <w:rPr>
          <w:sz w:val="24"/>
          <w:szCs w:val="24"/>
        </w:rPr>
        <w:t xml:space="preserve"> </w:t>
      </w:r>
      <w:r w:rsidR="00031612" w:rsidRPr="009759D1">
        <w:rPr>
          <w:sz w:val="24"/>
          <w:szCs w:val="24"/>
        </w:rPr>
        <w:t>A larger number of items were included in the scale initially in the knowledge that these were likely to be reduced through factor analysis. This also ensured that the items that were significant in previous generaliseable scales were not assumed to be the only ones of importance within the hotel sector. The scale used</w:t>
      </w:r>
      <w:r w:rsidR="00787913">
        <w:rPr>
          <w:sz w:val="24"/>
          <w:szCs w:val="24"/>
        </w:rPr>
        <w:t xml:space="preserve"> in the full study</w:t>
      </w:r>
      <w:r w:rsidR="00031612" w:rsidRPr="009759D1">
        <w:rPr>
          <w:sz w:val="24"/>
          <w:szCs w:val="24"/>
        </w:rPr>
        <w:t xml:space="preserve">, after pre-testing and piloting, consisted of thirteen items for acquisition, fifteen for assimilation, sixteen for transformation and eleven for exploitation. Further </w:t>
      </w:r>
      <w:r w:rsidR="00031612" w:rsidRPr="009759D1">
        <w:rPr>
          <w:sz w:val="24"/>
          <w:szCs w:val="24"/>
        </w:rPr>
        <w:lastRenderedPageBreak/>
        <w:t>single item construct validity questions were added to triangulate data as well as questions on the firm’s characteristics (size, age, type).</w:t>
      </w:r>
    </w:p>
    <w:p w:rsidR="005212CA" w:rsidRPr="009759D1" w:rsidRDefault="005212CA" w:rsidP="009759D1">
      <w:pPr>
        <w:spacing w:after="0" w:line="480" w:lineRule="auto"/>
        <w:rPr>
          <w:sz w:val="24"/>
          <w:szCs w:val="24"/>
        </w:rPr>
      </w:pPr>
    </w:p>
    <w:p w:rsidR="0039509E" w:rsidRDefault="005E53D1" w:rsidP="009759D1">
      <w:pPr>
        <w:spacing w:after="0" w:line="480" w:lineRule="auto"/>
        <w:rPr>
          <w:sz w:val="24"/>
          <w:szCs w:val="24"/>
        </w:rPr>
      </w:pPr>
      <w:r w:rsidRPr="009759D1">
        <w:rPr>
          <w:sz w:val="24"/>
          <w:szCs w:val="24"/>
        </w:rPr>
        <w:t xml:space="preserve">The </w:t>
      </w:r>
      <w:r w:rsidR="0039509E" w:rsidRPr="009759D1">
        <w:rPr>
          <w:sz w:val="24"/>
          <w:szCs w:val="24"/>
        </w:rPr>
        <w:t xml:space="preserve">questionnaire was sent to a </w:t>
      </w:r>
      <w:r w:rsidRPr="009759D1">
        <w:rPr>
          <w:sz w:val="24"/>
          <w:szCs w:val="24"/>
        </w:rPr>
        <w:t>database</w:t>
      </w:r>
      <w:r w:rsidR="00184575" w:rsidRPr="009759D1">
        <w:rPr>
          <w:sz w:val="24"/>
          <w:szCs w:val="24"/>
        </w:rPr>
        <w:t xml:space="preserve"> </w:t>
      </w:r>
      <w:r w:rsidR="0039509E" w:rsidRPr="009759D1">
        <w:rPr>
          <w:sz w:val="24"/>
          <w:szCs w:val="24"/>
        </w:rPr>
        <w:t xml:space="preserve">that </w:t>
      </w:r>
      <w:r w:rsidR="00184575" w:rsidRPr="009759D1">
        <w:rPr>
          <w:sz w:val="24"/>
          <w:szCs w:val="24"/>
        </w:rPr>
        <w:t>contained 4554 contact email</w:t>
      </w:r>
      <w:r w:rsidR="0039509E" w:rsidRPr="009759D1">
        <w:rPr>
          <w:sz w:val="24"/>
          <w:szCs w:val="24"/>
        </w:rPr>
        <w:t xml:space="preserve"> addresses of senior managers working in </w:t>
      </w:r>
      <w:r w:rsidR="00184575" w:rsidRPr="009759D1">
        <w:rPr>
          <w:sz w:val="24"/>
          <w:szCs w:val="24"/>
        </w:rPr>
        <w:t>UK hotel</w:t>
      </w:r>
      <w:r w:rsidR="0039509E" w:rsidRPr="009759D1">
        <w:rPr>
          <w:sz w:val="24"/>
          <w:szCs w:val="24"/>
        </w:rPr>
        <w:t>s</w:t>
      </w:r>
      <w:r w:rsidR="0061389C">
        <w:rPr>
          <w:sz w:val="24"/>
          <w:szCs w:val="24"/>
        </w:rPr>
        <w:t xml:space="preserve"> during June 2013</w:t>
      </w:r>
      <w:r w:rsidR="00184575" w:rsidRPr="009759D1">
        <w:rPr>
          <w:sz w:val="24"/>
          <w:szCs w:val="24"/>
        </w:rPr>
        <w:t>.</w:t>
      </w:r>
      <w:r w:rsidR="0039509E" w:rsidRPr="009759D1">
        <w:rPr>
          <w:sz w:val="24"/>
          <w:szCs w:val="24"/>
        </w:rPr>
        <w:t xml:space="preserve">  Following the low response rate to the pilot study, it was </w:t>
      </w:r>
      <w:r w:rsidR="00184575" w:rsidRPr="009759D1">
        <w:rPr>
          <w:sz w:val="24"/>
          <w:szCs w:val="24"/>
        </w:rPr>
        <w:t xml:space="preserve">decided to survey the complete database in order to achieve the required number of </w:t>
      </w:r>
      <w:r w:rsidR="003966DC" w:rsidRPr="009759D1">
        <w:rPr>
          <w:sz w:val="24"/>
          <w:szCs w:val="24"/>
        </w:rPr>
        <w:t>responses</w:t>
      </w:r>
      <w:r w:rsidR="00184575" w:rsidRPr="009759D1">
        <w:rPr>
          <w:sz w:val="24"/>
          <w:szCs w:val="24"/>
        </w:rPr>
        <w:t xml:space="preserve"> for meaningful analysis. </w:t>
      </w:r>
      <w:r w:rsidR="00A53368" w:rsidRPr="009759D1">
        <w:rPr>
          <w:sz w:val="24"/>
          <w:szCs w:val="24"/>
        </w:rPr>
        <w:t xml:space="preserve">The estimated variability in the population (relating to the issue being researched), confidence level and level of accuracy required suggested a minimum sample size of 200. </w:t>
      </w:r>
      <w:r w:rsidRPr="009759D1">
        <w:rPr>
          <w:sz w:val="24"/>
          <w:szCs w:val="24"/>
        </w:rPr>
        <w:t xml:space="preserve">This </w:t>
      </w:r>
      <w:r w:rsidR="00D15322" w:rsidRPr="009759D1">
        <w:rPr>
          <w:sz w:val="24"/>
          <w:szCs w:val="24"/>
        </w:rPr>
        <w:t xml:space="preserve">would </w:t>
      </w:r>
      <w:r w:rsidRPr="009759D1">
        <w:rPr>
          <w:sz w:val="24"/>
          <w:szCs w:val="24"/>
        </w:rPr>
        <w:t>provide sufficient data to undertake both scale validation and refinement</w:t>
      </w:r>
      <w:r w:rsidR="00D15322" w:rsidRPr="009759D1">
        <w:rPr>
          <w:sz w:val="24"/>
          <w:szCs w:val="24"/>
        </w:rPr>
        <w:t>,</w:t>
      </w:r>
      <w:r w:rsidRPr="009759D1">
        <w:rPr>
          <w:sz w:val="24"/>
          <w:szCs w:val="24"/>
        </w:rPr>
        <w:t xml:space="preserve"> and to assess absorptive capacit</w:t>
      </w:r>
      <w:r w:rsidR="005953A8" w:rsidRPr="009759D1">
        <w:rPr>
          <w:sz w:val="24"/>
          <w:szCs w:val="24"/>
        </w:rPr>
        <w:t>y within this sector. From the 3</w:t>
      </w:r>
      <w:r w:rsidR="00184575" w:rsidRPr="009759D1">
        <w:rPr>
          <w:sz w:val="24"/>
          <w:szCs w:val="24"/>
        </w:rPr>
        <w:t xml:space="preserve">732 </w:t>
      </w:r>
      <w:r w:rsidRPr="009759D1">
        <w:rPr>
          <w:sz w:val="24"/>
          <w:szCs w:val="24"/>
        </w:rPr>
        <w:t>sent</w:t>
      </w:r>
      <w:r w:rsidR="00184575" w:rsidRPr="009759D1">
        <w:rPr>
          <w:sz w:val="24"/>
          <w:szCs w:val="24"/>
        </w:rPr>
        <w:t xml:space="preserve"> (4554 minus the email ‘bounce backs’ due to invalid addresses)</w:t>
      </w:r>
      <w:r w:rsidRPr="009759D1">
        <w:rPr>
          <w:sz w:val="24"/>
          <w:szCs w:val="24"/>
        </w:rPr>
        <w:t xml:space="preserve"> </w:t>
      </w:r>
      <w:r w:rsidR="005953A8" w:rsidRPr="009759D1">
        <w:rPr>
          <w:sz w:val="24"/>
          <w:szCs w:val="24"/>
        </w:rPr>
        <w:t>331</w:t>
      </w:r>
      <w:r w:rsidRPr="009759D1">
        <w:rPr>
          <w:sz w:val="24"/>
          <w:szCs w:val="24"/>
        </w:rPr>
        <w:t xml:space="preserve"> were returned and </w:t>
      </w:r>
      <w:r w:rsidR="005953A8" w:rsidRPr="009759D1">
        <w:rPr>
          <w:sz w:val="24"/>
          <w:szCs w:val="24"/>
        </w:rPr>
        <w:t>259</w:t>
      </w:r>
      <w:r w:rsidRPr="009759D1">
        <w:rPr>
          <w:sz w:val="24"/>
          <w:szCs w:val="24"/>
        </w:rPr>
        <w:t xml:space="preserve"> of these were usable</w:t>
      </w:r>
      <w:r w:rsidR="0039509E" w:rsidRPr="009759D1">
        <w:rPr>
          <w:sz w:val="24"/>
          <w:szCs w:val="24"/>
        </w:rPr>
        <w:t>,</w:t>
      </w:r>
      <w:r w:rsidRPr="009759D1">
        <w:rPr>
          <w:sz w:val="24"/>
          <w:szCs w:val="24"/>
        </w:rPr>
        <w:t xml:space="preserve"> giving a response rate of </w:t>
      </w:r>
      <w:r w:rsidR="00184575" w:rsidRPr="009759D1">
        <w:rPr>
          <w:sz w:val="24"/>
          <w:szCs w:val="24"/>
        </w:rPr>
        <w:t>7</w:t>
      </w:r>
      <w:r w:rsidRPr="009759D1">
        <w:rPr>
          <w:sz w:val="24"/>
          <w:szCs w:val="24"/>
        </w:rPr>
        <w:t xml:space="preserve">%. </w:t>
      </w:r>
      <w:r w:rsidR="00184575" w:rsidRPr="009759D1">
        <w:rPr>
          <w:sz w:val="24"/>
          <w:szCs w:val="24"/>
        </w:rPr>
        <w:t xml:space="preserve">Although low this is not </w:t>
      </w:r>
      <w:r w:rsidR="0039509E" w:rsidRPr="009759D1">
        <w:rPr>
          <w:sz w:val="24"/>
          <w:szCs w:val="24"/>
        </w:rPr>
        <w:t>un</w:t>
      </w:r>
      <w:r w:rsidR="00184575" w:rsidRPr="009759D1">
        <w:rPr>
          <w:sz w:val="24"/>
          <w:szCs w:val="24"/>
        </w:rPr>
        <w:t>typical for research conducted in this sector (</w:t>
      </w:r>
      <w:r w:rsidR="0039509E" w:rsidRPr="009759D1">
        <w:rPr>
          <w:sz w:val="24"/>
          <w:szCs w:val="24"/>
        </w:rPr>
        <w:t>Keegan and Lucas, 2005</w:t>
      </w:r>
      <w:r w:rsidR="00184575" w:rsidRPr="009759D1">
        <w:rPr>
          <w:sz w:val="24"/>
          <w:szCs w:val="24"/>
        </w:rPr>
        <w:t xml:space="preserve">) and </w:t>
      </w:r>
      <w:r w:rsidR="0039509E" w:rsidRPr="009759D1">
        <w:rPr>
          <w:sz w:val="24"/>
          <w:szCs w:val="24"/>
        </w:rPr>
        <w:t xml:space="preserve">was large enough </w:t>
      </w:r>
      <w:r w:rsidR="003966DC" w:rsidRPr="009759D1">
        <w:rPr>
          <w:sz w:val="24"/>
          <w:szCs w:val="24"/>
        </w:rPr>
        <w:t xml:space="preserve">to undertake the required analysis. </w:t>
      </w:r>
    </w:p>
    <w:p w:rsidR="005212CA" w:rsidRPr="009759D1" w:rsidRDefault="005212CA" w:rsidP="009759D1">
      <w:pPr>
        <w:spacing w:after="0" w:line="480" w:lineRule="auto"/>
        <w:rPr>
          <w:sz w:val="24"/>
          <w:szCs w:val="24"/>
        </w:rPr>
      </w:pPr>
    </w:p>
    <w:p w:rsidR="00D15322" w:rsidRDefault="005E53D1" w:rsidP="009759D1">
      <w:pPr>
        <w:spacing w:after="0" w:line="480" w:lineRule="auto"/>
        <w:rPr>
          <w:sz w:val="24"/>
          <w:szCs w:val="24"/>
        </w:rPr>
      </w:pPr>
      <w:r w:rsidRPr="009759D1">
        <w:rPr>
          <w:sz w:val="24"/>
          <w:szCs w:val="24"/>
        </w:rPr>
        <w:t>Non-response was investigated in terms of size and type of organisation but no pattern was discerned. Ten non-re</w:t>
      </w:r>
      <w:r w:rsidR="00133D10" w:rsidRPr="009759D1">
        <w:rPr>
          <w:sz w:val="24"/>
          <w:szCs w:val="24"/>
        </w:rPr>
        <w:t>s</w:t>
      </w:r>
      <w:r w:rsidRPr="009759D1">
        <w:rPr>
          <w:sz w:val="24"/>
          <w:szCs w:val="24"/>
        </w:rPr>
        <w:t xml:space="preserve">ponders were contacted to ascertain </w:t>
      </w:r>
      <w:r w:rsidR="0016638A">
        <w:rPr>
          <w:sz w:val="24"/>
          <w:szCs w:val="24"/>
        </w:rPr>
        <w:t xml:space="preserve">their </w:t>
      </w:r>
      <w:r w:rsidRPr="009759D1">
        <w:rPr>
          <w:sz w:val="24"/>
          <w:szCs w:val="24"/>
        </w:rPr>
        <w:t>reasons for no</w:t>
      </w:r>
      <w:r w:rsidR="0016638A">
        <w:rPr>
          <w:sz w:val="24"/>
          <w:szCs w:val="24"/>
        </w:rPr>
        <w:t>t</w:t>
      </w:r>
      <w:r w:rsidRPr="009759D1">
        <w:rPr>
          <w:sz w:val="24"/>
          <w:szCs w:val="24"/>
        </w:rPr>
        <w:t xml:space="preserve"> participati</w:t>
      </w:r>
      <w:r w:rsidR="0016638A">
        <w:rPr>
          <w:sz w:val="24"/>
          <w:szCs w:val="24"/>
        </w:rPr>
        <w:t>ng</w:t>
      </w:r>
      <w:r w:rsidRPr="009759D1">
        <w:rPr>
          <w:sz w:val="24"/>
          <w:szCs w:val="24"/>
        </w:rPr>
        <w:t xml:space="preserve"> and these were found to relate to closure of the business, lack of </w:t>
      </w:r>
      <w:r w:rsidR="00031612" w:rsidRPr="009759D1">
        <w:rPr>
          <w:sz w:val="24"/>
          <w:szCs w:val="24"/>
        </w:rPr>
        <w:t xml:space="preserve">interest </w:t>
      </w:r>
      <w:r w:rsidRPr="009759D1">
        <w:rPr>
          <w:sz w:val="24"/>
          <w:szCs w:val="24"/>
        </w:rPr>
        <w:t>in the subject area</w:t>
      </w:r>
      <w:r w:rsidR="003966DC" w:rsidRPr="009759D1">
        <w:rPr>
          <w:sz w:val="24"/>
          <w:szCs w:val="24"/>
        </w:rPr>
        <w:t xml:space="preserve"> and </w:t>
      </w:r>
      <w:r w:rsidR="00031612" w:rsidRPr="009759D1">
        <w:rPr>
          <w:sz w:val="24"/>
          <w:szCs w:val="24"/>
        </w:rPr>
        <w:t xml:space="preserve">a </w:t>
      </w:r>
      <w:r w:rsidR="003966DC" w:rsidRPr="009759D1">
        <w:rPr>
          <w:sz w:val="24"/>
          <w:szCs w:val="24"/>
        </w:rPr>
        <w:t>lack of time to complete</w:t>
      </w:r>
      <w:r w:rsidR="00031612" w:rsidRPr="009759D1">
        <w:rPr>
          <w:sz w:val="24"/>
          <w:szCs w:val="24"/>
        </w:rPr>
        <w:t xml:space="preserve"> the questionnaire</w:t>
      </w:r>
      <w:r w:rsidR="003966DC" w:rsidRPr="009759D1">
        <w:rPr>
          <w:sz w:val="24"/>
          <w:szCs w:val="24"/>
        </w:rPr>
        <w:t xml:space="preserve">. </w:t>
      </w:r>
      <w:r w:rsidR="00D15322" w:rsidRPr="009759D1">
        <w:rPr>
          <w:sz w:val="24"/>
          <w:szCs w:val="24"/>
        </w:rPr>
        <w:t xml:space="preserve">The sample was also tested for non-response bias </w:t>
      </w:r>
      <w:r w:rsidR="00A26E1A" w:rsidRPr="009759D1">
        <w:rPr>
          <w:sz w:val="24"/>
          <w:szCs w:val="24"/>
        </w:rPr>
        <w:t xml:space="preserve">using the extrapolation method (Armstrong and Overton, 1977) </w:t>
      </w:r>
      <w:r w:rsidR="00D15322" w:rsidRPr="009759D1">
        <w:rPr>
          <w:sz w:val="24"/>
          <w:szCs w:val="24"/>
        </w:rPr>
        <w:t>comparing the earlier and later responses.</w:t>
      </w:r>
      <w:r w:rsidR="00A26E1A" w:rsidRPr="009759D1">
        <w:rPr>
          <w:sz w:val="24"/>
          <w:szCs w:val="24"/>
        </w:rPr>
        <w:t xml:space="preserve"> This technique assumes that the last to respond are the most similar to non-responders and can therefore be compared with the earlier sample to assess any differences. </w:t>
      </w:r>
      <w:r w:rsidR="00D15322" w:rsidRPr="009759D1">
        <w:rPr>
          <w:sz w:val="24"/>
          <w:szCs w:val="24"/>
        </w:rPr>
        <w:t>The results indicated no significant differences between the two sub-samples</w:t>
      </w:r>
      <w:r w:rsidR="003966DC" w:rsidRPr="009759D1">
        <w:rPr>
          <w:sz w:val="24"/>
          <w:szCs w:val="24"/>
        </w:rPr>
        <w:t>.</w:t>
      </w:r>
      <w:r w:rsidR="00D15322" w:rsidRPr="009759D1">
        <w:rPr>
          <w:sz w:val="24"/>
          <w:szCs w:val="24"/>
        </w:rPr>
        <w:t xml:space="preserve"> </w:t>
      </w:r>
      <w:r w:rsidR="003966DC" w:rsidRPr="009759D1">
        <w:rPr>
          <w:sz w:val="24"/>
          <w:szCs w:val="24"/>
        </w:rPr>
        <w:t xml:space="preserve">Although non-response is a significant issue in surveys of this </w:t>
      </w:r>
      <w:r w:rsidR="003966DC" w:rsidRPr="009759D1">
        <w:rPr>
          <w:sz w:val="24"/>
          <w:szCs w:val="24"/>
        </w:rPr>
        <w:lastRenderedPageBreak/>
        <w:t>type the response rate is in line with other studies and the range and type of response appear to adequately reflect the sector.</w:t>
      </w:r>
      <w:r w:rsidR="00031612" w:rsidRPr="009759D1">
        <w:rPr>
          <w:sz w:val="24"/>
          <w:szCs w:val="24"/>
        </w:rPr>
        <w:t xml:space="preserve"> Tables 2 and 3 summarise the sample. </w:t>
      </w:r>
    </w:p>
    <w:p w:rsidR="00412F34" w:rsidRPr="009759D1" w:rsidRDefault="00412F34" w:rsidP="009759D1">
      <w:pPr>
        <w:spacing w:after="0" w:line="480" w:lineRule="auto"/>
        <w:rPr>
          <w:sz w:val="24"/>
          <w:szCs w:val="24"/>
        </w:rPr>
      </w:pPr>
    </w:p>
    <w:p w:rsidR="00031612" w:rsidRPr="00412F34" w:rsidRDefault="00412F34" w:rsidP="00031612">
      <w:pPr>
        <w:pStyle w:val="ListParagraph"/>
        <w:ind w:left="1080"/>
        <w:rPr>
          <w:rFonts w:cstheme="minorHAnsi"/>
          <w:sz w:val="24"/>
          <w:szCs w:val="24"/>
        </w:rPr>
      </w:pPr>
      <w:r w:rsidRPr="00412F34">
        <w:rPr>
          <w:rFonts w:cstheme="minorHAnsi"/>
          <w:sz w:val="24"/>
          <w:szCs w:val="24"/>
        </w:rPr>
        <w:t>TABLES 2 and 3 ABOUT HERE</w:t>
      </w:r>
    </w:p>
    <w:p w:rsidR="005212CA" w:rsidRPr="00412F34" w:rsidRDefault="005212CA" w:rsidP="00031612">
      <w:pPr>
        <w:pStyle w:val="ListParagraph"/>
        <w:ind w:left="1080"/>
        <w:rPr>
          <w:rFonts w:cstheme="minorHAnsi"/>
          <w:sz w:val="24"/>
          <w:szCs w:val="24"/>
          <w:u w:val="single"/>
        </w:rPr>
      </w:pPr>
    </w:p>
    <w:p w:rsidR="005A00E8" w:rsidRPr="009759D1" w:rsidRDefault="00031612" w:rsidP="009759D1">
      <w:pPr>
        <w:spacing w:after="0" w:line="480" w:lineRule="auto"/>
        <w:rPr>
          <w:sz w:val="24"/>
          <w:szCs w:val="24"/>
        </w:rPr>
      </w:pPr>
      <w:r w:rsidRPr="009759D1">
        <w:rPr>
          <w:sz w:val="24"/>
          <w:szCs w:val="24"/>
        </w:rPr>
        <w:t>It was important to elicit responses from senior managers rather than junior employees even though this probably reduced the response rate. Such participants are more likely to have the breadth of knowledge required to complete the questionnaire and, in practice, play an important role in shaping the organisational culture within which innovation takes place (Thomas, 2012). The majority of previous studies have targeted CEOs for this reason, although Flatten et al (2011), in their two samples, were able to assess the difference between responses from CEOs and from employees and found that these were not significant.  The letter introducing the project and inviting participation asked those completing the questionnaire not to answer questions unless they had direct experience of the item</w:t>
      </w:r>
      <w:r w:rsidR="0016638A">
        <w:rPr>
          <w:sz w:val="24"/>
          <w:szCs w:val="24"/>
        </w:rPr>
        <w:t>s</w:t>
      </w:r>
      <w:r w:rsidRPr="009759D1">
        <w:rPr>
          <w:sz w:val="24"/>
          <w:szCs w:val="24"/>
        </w:rPr>
        <w:t xml:space="preserve"> being asked about.  Although this would also reduce the quantity of data available, the anticipation was that it would strengthen its validity (Jimenez-Barrionuevo et al., 2011). </w:t>
      </w:r>
    </w:p>
    <w:p w:rsidR="009759D1" w:rsidRPr="009759D1" w:rsidRDefault="009759D1" w:rsidP="009759D1">
      <w:pPr>
        <w:spacing w:after="0" w:line="480" w:lineRule="auto"/>
        <w:rPr>
          <w:sz w:val="24"/>
          <w:szCs w:val="24"/>
        </w:rPr>
      </w:pPr>
    </w:p>
    <w:p w:rsidR="009D1ACB" w:rsidRPr="005212CA" w:rsidRDefault="00151FCC" w:rsidP="009759D1">
      <w:pPr>
        <w:pStyle w:val="ListParagraph"/>
        <w:numPr>
          <w:ilvl w:val="0"/>
          <w:numId w:val="2"/>
        </w:numPr>
        <w:spacing w:after="0" w:line="480" w:lineRule="auto"/>
        <w:rPr>
          <w:b/>
          <w:sz w:val="24"/>
          <w:szCs w:val="24"/>
          <w:u w:val="single"/>
        </w:rPr>
      </w:pPr>
      <w:r w:rsidRPr="005212CA">
        <w:rPr>
          <w:b/>
          <w:sz w:val="24"/>
          <w:szCs w:val="24"/>
          <w:u w:val="single"/>
        </w:rPr>
        <w:t>A</w:t>
      </w:r>
      <w:r w:rsidR="001464C0">
        <w:rPr>
          <w:b/>
          <w:sz w:val="24"/>
          <w:szCs w:val="24"/>
          <w:u w:val="single"/>
        </w:rPr>
        <w:t>NALYSIS AND FINDINGS</w:t>
      </w:r>
    </w:p>
    <w:p w:rsidR="00151FCC" w:rsidRDefault="00C50BF1" w:rsidP="009759D1">
      <w:pPr>
        <w:spacing w:after="0" w:line="480" w:lineRule="auto"/>
        <w:rPr>
          <w:sz w:val="24"/>
          <w:szCs w:val="24"/>
        </w:rPr>
      </w:pPr>
      <w:r w:rsidRPr="009759D1">
        <w:rPr>
          <w:sz w:val="24"/>
          <w:szCs w:val="24"/>
        </w:rPr>
        <w:t xml:space="preserve">Initial analysis of the data was concerned with </w:t>
      </w:r>
      <w:r w:rsidR="00151FCC" w:rsidRPr="009759D1">
        <w:rPr>
          <w:sz w:val="24"/>
          <w:szCs w:val="24"/>
        </w:rPr>
        <w:t>assessing the reliability of the scale using both exploratory and confirmatory factor analysis</w:t>
      </w:r>
      <w:r w:rsidRPr="009759D1">
        <w:rPr>
          <w:sz w:val="24"/>
          <w:szCs w:val="24"/>
        </w:rPr>
        <w:t>.  This allowed for</w:t>
      </w:r>
      <w:r w:rsidR="00151FCC" w:rsidRPr="009759D1">
        <w:rPr>
          <w:sz w:val="24"/>
          <w:szCs w:val="24"/>
        </w:rPr>
        <w:t xml:space="preserve"> </w:t>
      </w:r>
      <w:r w:rsidRPr="009759D1">
        <w:rPr>
          <w:sz w:val="24"/>
          <w:szCs w:val="24"/>
        </w:rPr>
        <w:t xml:space="preserve">the </w:t>
      </w:r>
      <w:r w:rsidR="00151FCC" w:rsidRPr="009759D1">
        <w:rPr>
          <w:sz w:val="24"/>
          <w:szCs w:val="24"/>
        </w:rPr>
        <w:t>refinement of</w:t>
      </w:r>
      <w:r w:rsidRPr="009759D1">
        <w:rPr>
          <w:sz w:val="24"/>
          <w:szCs w:val="24"/>
        </w:rPr>
        <w:t xml:space="preserve"> items for inclusion and enabled</w:t>
      </w:r>
      <w:r w:rsidR="00151FCC" w:rsidRPr="009759D1">
        <w:rPr>
          <w:sz w:val="24"/>
          <w:szCs w:val="24"/>
        </w:rPr>
        <w:t xml:space="preserve"> a comparison to be made between the findings from this sampl</w:t>
      </w:r>
      <w:r w:rsidRPr="009759D1">
        <w:rPr>
          <w:sz w:val="24"/>
          <w:szCs w:val="24"/>
        </w:rPr>
        <w:t>e and the theoretical dimensions</w:t>
      </w:r>
      <w:r w:rsidR="00151FCC" w:rsidRPr="009759D1">
        <w:rPr>
          <w:sz w:val="24"/>
          <w:szCs w:val="24"/>
        </w:rPr>
        <w:t xml:space="preserve"> of absorptive capacity </w:t>
      </w:r>
      <w:r w:rsidRPr="009759D1">
        <w:rPr>
          <w:sz w:val="24"/>
          <w:szCs w:val="24"/>
        </w:rPr>
        <w:t xml:space="preserve">discussed earlier; </w:t>
      </w:r>
      <w:r w:rsidR="001E102C" w:rsidRPr="009759D1">
        <w:rPr>
          <w:sz w:val="24"/>
          <w:szCs w:val="24"/>
        </w:rPr>
        <w:t>acquisition, assimilation, transformation and exploitation.</w:t>
      </w:r>
    </w:p>
    <w:p w:rsidR="005212CA" w:rsidRPr="009759D1" w:rsidRDefault="005212CA" w:rsidP="009759D1">
      <w:pPr>
        <w:spacing w:after="0" w:line="480" w:lineRule="auto"/>
        <w:rPr>
          <w:sz w:val="24"/>
          <w:szCs w:val="24"/>
        </w:rPr>
      </w:pPr>
    </w:p>
    <w:p w:rsidR="001F7779" w:rsidRDefault="00C50BF1" w:rsidP="009759D1">
      <w:pPr>
        <w:spacing w:after="0" w:line="480" w:lineRule="auto"/>
        <w:rPr>
          <w:sz w:val="24"/>
          <w:szCs w:val="24"/>
        </w:rPr>
      </w:pPr>
      <w:r w:rsidRPr="009759D1">
        <w:rPr>
          <w:sz w:val="24"/>
          <w:szCs w:val="24"/>
        </w:rPr>
        <w:t>A</w:t>
      </w:r>
      <w:r w:rsidR="003F70B9" w:rsidRPr="009759D1">
        <w:rPr>
          <w:sz w:val="24"/>
          <w:szCs w:val="24"/>
        </w:rPr>
        <w:t>nalysis of each of the items suggested that th</w:t>
      </w:r>
      <w:r w:rsidR="009759D1">
        <w:rPr>
          <w:sz w:val="24"/>
          <w:szCs w:val="24"/>
        </w:rPr>
        <w:t xml:space="preserve">e </w:t>
      </w:r>
      <w:r w:rsidR="003F70B9" w:rsidRPr="009759D1">
        <w:rPr>
          <w:sz w:val="24"/>
          <w:szCs w:val="24"/>
        </w:rPr>
        <w:t xml:space="preserve">negatively worded </w:t>
      </w:r>
      <w:r w:rsidR="009759D1">
        <w:rPr>
          <w:sz w:val="24"/>
          <w:szCs w:val="24"/>
        </w:rPr>
        <w:t xml:space="preserve">statements </w:t>
      </w:r>
      <w:r w:rsidR="003F70B9" w:rsidRPr="009759D1">
        <w:rPr>
          <w:sz w:val="24"/>
          <w:szCs w:val="24"/>
        </w:rPr>
        <w:t>had led to some confusion (indicated by their negative correlations with other items even after reverse coding). Respondents did not always recognise the negative phrasing within the banks of largely positively worded items</w:t>
      </w:r>
      <w:r w:rsidR="001F7779" w:rsidRPr="009759D1">
        <w:rPr>
          <w:sz w:val="24"/>
          <w:szCs w:val="24"/>
        </w:rPr>
        <w:t xml:space="preserve"> so t</w:t>
      </w:r>
      <w:r w:rsidR="003F70B9" w:rsidRPr="009759D1">
        <w:rPr>
          <w:sz w:val="24"/>
          <w:szCs w:val="24"/>
        </w:rPr>
        <w:t>o avoid error these five items were excluded from the scale</w:t>
      </w:r>
      <w:r w:rsidR="001F7779" w:rsidRPr="009759D1">
        <w:rPr>
          <w:sz w:val="24"/>
          <w:szCs w:val="24"/>
        </w:rPr>
        <w:t xml:space="preserve">. </w:t>
      </w:r>
      <w:r w:rsidR="00381076" w:rsidRPr="009759D1">
        <w:rPr>
          <w:sz w:val="24"/>
          <w:szCs w:val="24"/>
        </w:rPr>
        <w:t xml:space="preserve">Several items </w:t>
      </w:r>
      <w:r w:rsidR="001F7779" w:rsidRPr="009759D1">
        <w:rPr>
          <w:sz w:val="24"/>
          <w:szCs w:val="24"/>
        </w:rPr>
        <w:t>were found to have extreme means and</w:t>
      </w:r>
      <w:r w:rsidR="00381076" w:rsidRPr="009759D1">
        <w:rPr>
          <w:sz w:val="24"/>
          <w:szCs w:val="24"/>
        </w:rPr>
        <w:t>/or</w:t>
      </w:r>
      <w:r w:rsidR="001F7779" w:rsidRPr="009759D1">
        <w:rPr>
          <w:sz w:val="24"/>
          <w:szCs w:val="24"/>
        </w:rPr>
        <w:t xml:space="preserve"> low variance</w:t>
      </w:r>
      <w:r w:rsidR="00381076" w:rsidRPr="009759D1">
        <w:rPr>
          <w:sz w:val="24"/>
          <w:szCs w:val="24"/>
        </w:rPr>
        <w:t xml:space="preserve"> (suggesting a positive response bias or a </w:t>
      </w:r>
      <w:r w:rsidR="001E102C" w:rsidRPr="009759D1">
        <w:rPr>
          <w:sz w:val="24"/>
          <w:szCs w:val="24"/>
        </w:rPr>
        <w:t>poor</w:t>
      </w:r>
      <w:r w:rsidR="00381076" w:rsidRPr="009759D1">
        <w:rPr>
          <w:sz w:val="24"/>
          <w:szCs w:val="24"/>
        </w:rPr>
        <w:t xml:space="preserve"> ability to differentiate between views</w:t>
      </w:r>
      <w:r w:rsidRPr="009759D1">
        <w:rPr>
          <w:sz w:val="24"/>
          <w:szCs w:val="24"/>
        </w:rPr>
        <w:t>)</w:t>
      </w:r>
      <w:r w:rsidR="00381076" w:rsidRPr="009759D1">
        <w:rPr>
          <w:sz w:val="24"/>
          <w:szCs w:val="24"/>
        </w:rPr>
        <w:t>. These were ASU7 ‘cross-department meetings to share new info</w:t>
      </w:r>
      <w:r w:rsidR="001E102C" w:rsidRPr="009759D1">
        <w:rPr>
          <w:sz w:val="24"/>
          <w:szCs w:val="24"/>
        </w:rPr>
        <w:t>rmation</w:t>
      </w:r>
      <w:r w:rsidR="00381076" w:rsidRPr="009759D1">
        <w:rPr>
          <w:sz w:val="24"/>
          <w:szCs w:val="24"/>
        </w:rPr>
        <w:t xml:space="preserve"> and solve problems’; TRU2 ‘regular interdepartmental meetings’; TRU3 ‘new operations meetings highly effective’; TRU5 ‘important data transmitted regularly to all units’; </w:t>
      </w:r>
      <w:r w:rsidR="001F7779" w:rsidRPr="009759D1">
        <w:rPr>
          <w:sz w:val="24"/>
          <w:szCs w:val="24"/>
        </w:rPr>
        <w:t>TRU6</w:t>
      </w:r>
      <w:r w:rsidR="00381076" w:rsidRPr="009759D1">
        <w:rPr>
          <w:sz w:val="24"/>
          <w:szCs w:val="24"/>
        </w:rPr>
        <w:t xml:space="preserve"> </w:t>
      </w:r>
      <w:r w:rsidR="001F7779" w:rsidRPr="009759D1">
        <w:rPr>
          <w:sz w:val="24"/>
          <w:szCs w:val="24"/>
        </w:rPr>
        <w:t>‘all units informed quickly when something important happens’</w:t>
      </w:r>
      <w:r w:rsidR="00381076" w:rsidRPr="009759D1">
        <w:rPr>
          <w:sz w:val="24"/>
          <w:szCs w:val="24"/>
        </w:rPr>
        <w:t>; TRU12 ‘employees can use knowledge in their practical work’; EXU2 ‘processes for all kinds of activity are clearly known’</w:t>
      </w:r>
      <w:r w:rsidR="001F7779" w:rsidRPr="009759D1">
        <w:rPr>
          <w:sz w:val="24"/>
          <w:szCs w:val="24"/>
        </w:rPr>
        <w:t xml:space="preserve"> and EXU6 ‘support new service idea development’</w:t>
      </w:r>
      <w:r w:rsidR="009759D1">
        <w:rPr>
          <w:sz w:val="24"/>
          <w:szCs w:val="24"/>
        </w:rPr>
        <w:t>. These were also</w:t>
      </w:r>
      <w:r w:rsidR="00381076" w:rsidRPr="009759D1">
        <w:rPr>
          <w:sz w:val="24"/>
          <w:szCs w:val="24"/>
        </w:rPr>
        <w:t xml:space="preserve"> excluded from the scale</w:t>
      </w:r>
      <w:r w:rsidR="001F7779" w:rsidRPr="009759D1">
        <w:rPr>
          <w:sz w:val="24"/>
          <w:szCs w:val="24"/>
        </w:rPr>
        <w:t xml:space="preserve">. </w:t>
      </w:r>
    </w:p>
    <w:p w:rsidR="005212CA" w:rsidRPr="009759D1" w:rsidRDefault="005212CA" w:rsidP="009759D1">
      <w:pPr>
        <w:spacing w:after="0" w:line="480" w:lineRule="auto"/>
        <w:rPr>
          <w:sz w:val="24"/>
          <w:szCs w:val="24"/>
        </w:rPr>
      </w:pPr>
    </w:p>
    <w:p w:rsidR="00B7149D" w:rsidRDefault="001F7779" w:rsidP="009759D1">
      <w:pPr>
        <w:spacing w:after="0" w:line="480" w:lineRule="auto"/>
        <w:rPr>
          <w:sz w:val="24"/>
          <w:szCs w:val="24"/>
        </w:rPr>
      </w:pPr>
      <w:r w:rsidRPr="009759D1">
        <w:rPr>
          <w:sz w:val="24"/>
          <w:szCs w:val="24"/>
        </w:rPr>
        <w:t xml:space="preserve">The remaining </w:t>
      </w:r>
      <w:r w:rsidR="00550D3A" w:rsidRPr="009759D1">
        <w:rPr>
          <w:sz w:val="24"/>
          <w:szCs w:val="24"/>
        </w:rPr>
        <w:t>4</w:t>
      </w:r>
      <w:r w:rsidR="00381076" w:rsidRPr="009759D1">
        <w:rPr>
          <w:sz w:val="24"/>
          <w:szCs w:val="24"/>
        </w:rPr>
        <w:t>1</w:t>
      </w:r>
      <w:r w:rsidR="00550D3A" w:rsidRPr="009759D1">
        <w:rPr>
          <w:sz w:val="24"/>
          <w:szCs w:val="24"/>
        </w:rPr>
        <w:t xml:space="preserve"> items were then tested for scale reliability</w:t>
      </w:r>
      <w:r w:rsidR="00C50BF1" w:rsidRPr="009759D1">
        <w:rPr>
          <w:sz w:val="24"/>
          <w:szCs w:val="24"/>
        </w:rPr>
        <w:t>,</w:t>
      </w:r>
      <w:r w:rsidR="00550D3A" w:rsidRPr="009759D1">
        <w:rPr>
          <w:sz w:val="24"/>
          <w:szCs w:val="24"/>
        </w:rPr>
        <w:t xml:space="preserve"> resulting in </w:t>
      </w:r>
      <w:r w:rsidR="0016638A">
        <w:rPr>
          <w:sz w:val="24"/>
          <w:szCs w:val="24"/>
        </w:rPr>
        <w:t xml:space="preserve">a </w:t>
      </w:r>
      <w:r w:rsidR="004F4AA1" w:rsidRPr="009759D1">
        <w:rPr>
          <w:sz w:val="24"/>
          <w:szCs w:val="24"/>
        </w:rPr>
        <w:t>Cronbach’s alpha</w:t>
      </w:r>
      <w:r w:rsidR="0016638A">
        <w:rPr>
          <w:sz w:val="24"/>
          <w:szCs w:val="24"/>
        </w:rPr>
        <w:t xml:space="preserve"> score</w:t>
      </w:r>
      <w:r w:rsidR="004F4AA1" w:rsidRPr="009759D1">
        <w:rPr>
          <w:sz w:val="24"/>
          <w:szCs w:val="24"/>
        </w:rPr>
        <w:t xml:space="preserve"> of 0.93. </w:t>
      </w:r>
      <w:r w:rsidR="00B7149D" w:rsidRPr="009759D1">
        <w:rPr>
          <w:sz w:val="24"/>
          <w:szCs w:val="24"/>
        </w:rPr>
        <w:t xml:space="preserve">Although </w:t>
      </w:r>
      <w:r w:rsidR="004F4AA1" w:rsidRPr="009759D1">
        <w:rPr>
          <w:sz w:val="24"/>
          <w:szCs w:val="24"/>
        </w:rPr>
        <w:t xml:space="preserve">this </w:t>
      </w:r>
      <w:r w:rsidR="00B7149D" w:rsidRPr="009759D1">
        <w:rPr>
          <w:sz w:val="24"/>
          <w:szCs w:val="24"/>
        </w:rPr>
        <w:t xml:space="preserve">would suggest </w:t>
      </w:r>
      <w:r w:rsidR="004F4AA1" w:rsidRPr="009759D1">
        <w:rPr>
          <w:sz w:val="24"/>
          <w:szCs w:val="24"/>
        </w:rPr>
        <w:t>reliability</w:t>
      </w:r>
      <w:r w:rsidR="00B7149D" w:rsidRPr="009759D1">
        <w:rPr>
          <w:sz w:val="24"/>
          <w:szCs w:val="24"/>
        </w:rPr>
        <w:t xml:space="preserve"> (Cronbach’s alpha&gt; 0.9)</w:t>
      </w:r>
      <w:r w:rsidR="009759D1">
        <w:rPr>
          <w:sz w:val="24"/>
          <w:szCs w:val="24"/>
        </w:rPr>
        <w:t>,</w:t>
      </w:r>
      <w:r w:rsidR="00B7149D" w:rsidRPr="009759D1">
        <w:rPr>
          <w:sz w:val="24"/>
          <w:szCs w:val="24"/>
        </w:rPr>
        <w:t xml:space="preserve"> scales with a large number of items </w:t>
      </w:r>
      <w:r w:rsidR="0016638A">
        <w:rPr>
          <w:sz w:val="24"/>
          <w:szCs w:val="24"/>
        </w:rPr>
        <w:t>tend to</w:t>
      </w:r>
      <w:r w:rsidR="00B7149D" w:rsidRPr="009759D1">
        <w:rPr>
          <w:sz w:val="24"/>
          <w:szCs w:val="24"/>
        </w:rPr>
        <w:t xml:space="preserve"> have higher alpha </w:t>
      </w:r>
      <w:r w:rsidR="00FD72B6">
        <w:rPr>
          <w:sz w:val="24"/>
          <w:szCs w:val="24"/>
        </w:rPr>
        <w:t>scores, thus</w:t>
      </w:r>
      <w:r w:rsidR="001E102C" w:rsidRPr="009759D1">
        <w:rPr>
          <w:sz w:val="24"/>
          <w:szCs w:val="24"/>
        </w:rPr>
        <w:t xml:space="preserve"> </w:t>
      </w:r>
      <w:r w:rsidR="00B7149D" w:rsidRPr="009759D1">
        <w:rPr>
          <w:sz w:val="24"/>
          <w:szCs w:val="24"/>
        </w:rPr>
        <w:t>reliability</w:t>
      </w:r>
      <w:r w:rsidR="001E102C" w:rsidRPr="009759D1">
        <w:rPr>
          <w:sz w:val="24"/>
          <w:szCs w:val="24"/>
        </w:rPr>
        <w:t xml:space="preserve"> is not proven</w:t>
      </w:r>
      <w:r w:rsidR="00B7149D" w:rsidRPr="009759D1">
        <w:rPr>
          <w:sz w:val="24"/>
          <w:szCs w:val="24"/>
        </w:rPr>
        <w:t>. The output also states that the deletion of any one item will not improve this measure and is</w:t>
      </w:r>
      <w:r w:rsidR="00FD72B6">
        <w:rPr>
          <w:sz w:val="24"/>
          <w:szCs w:val="24"/>
        </w:rPr>
        <w:t>,</w:t>
      </w:r>
      <w:r w:rsidR="00B7149D" w:rsidRPr="009759D1">
        <w:rPr>
          <w:sz w:val="24"/>
          <w:szCs w:val="24"/>
        </w:rPr>
        <w:t xml:space="preserve"> therefore</w:t>
      </w:r>
      <w:r w:rsidR="00FD72B6">
        <w:rPr>
          <w:sz w:val="24"/>
          <w:szCs w:val="24"/>
        </w:rPr>
        <w:t>,</w:t>
      </w:r>
      <w:r w:rsidR="00B7149D" w:rsidRPr="009759D1">
        <w:rPr>
          <w:sz w:val="24"/>
          <w:szCs w:val="24"/>
        </w:rPr>
        <w:t xml:space="preserve"> unhelpful in creating a more </w:t>
      </w:r>
      <w:r w:rsidR="003F139B" w:rsidRPr="009759D1">
        <w:rPr>
          <w:sz w:val="24"/>
          <w:szCs w:val="24"/>
        </w:rPr>
        <w:t>parsimonious</w:t>
      </w:r>
      <w:r w:rsidR="00FD72B6">
        <w:rPr>
          <w:sz w:val="24"/>
          <w:szCs w:val="24"/>
        </w:rPr>
        <w:t xml:space="preserve"> scale.  Moreover</w:t>
      </w:r>
      <w:r w:rsidR="00C50BF1" w:rsidRPr="009759D1">
        <w:rPr>
          <w:sz w:val="24"/>
          <w:szCs w:val="24"/>
        </w:rPr>
        <w:t>,</w:t>
      </w:r>
      <w:r w:rsidR="004F4AA1" w:rsidRPr="009759D1">
        <w:rPr>
          <w:sz w:val="24"/>
          <w:szCs w:val="24"/>
        </w:rPr>
        <w:t xml:space="preserve"> the inter-item correlations suggest that there are group</w:t>
      </w:r>
      <w:r w:rsidR="001E102C" w:rsidRPr="009759D1">
        <w:rPr>
          <w:sz w:val="24"/>
          <w:szCs w:val="24"/>
        </w:rPr>
        <w:t>ing</w:t>
      </w:r>
      <w:r w:rsidR="004F4AA1" w:rsidRPr="009759D1">
        <w:rPr>
          <w:sz w:val="24"/>
          <w:szCs w:val="24"/>
        </w:rPr>
        <w:t xml:space="preserve">s of items within the overall bank. </w:t>
      </w:r>
      <w:r w:rsidR="00C50BF1" w:rsidRPr="009759D1">
        <w:rPr>
          <w:sz w:val="24"/>
          <w:szCs w:val="24"/>
        </w:rPr>
        <w:t xml:space="preserve"> However, with this type of analysis alone it is not possible to know whether these groupings reflect the four dimensions of absorptive capacity or other factors.</w:t>
      </w:r>
    </w:p>
    <w:p w:rsidR="005212CA" w:rsidRPr="009759D1" w:rsidRDefault="005212CA" w:rsidP="009759D1">
      <w:pPr>
        <w:spacing w:after="0" w:line="480" w:lineRule="auto"/>
        <w:rPr>
          <w:sz w:val="24"/>
          <w:szCs w:val="24"/>
        </w:rPr>
      </w:pPr>
    </w:p>
    <w:p w:rsidR="007D31DE" w:rsidRDefault="00B7149D" w:rsidP="009759D1">
      <w:pPr>
        <w:spacing w:after="0" w:line="480" w:lineRule="auto"/>
        <w:rPr>
          <w:sz w:val="24"/>
          <w:szCs w:val="24"/>
        </w:rPr>
      </w:pPr>
      <w:r w:rsidRPr="009759D1">
        <w:rPr>
          <w:sz w:val="24"/>
          <w:szCs w:val="24"/>
        </w:rPr>
        <w:lastRenderedPageBreak/>
        <w:t>Principal components analysis (a form of factor analysis suitable for this type of ordinal data) was perfo</w:t>
      </w:r>
      <w:r w:rsidR="005835B5" w:rsidRPr="009759D1">
        <w:rPr>
          <w:sz w:val="24"/>
          <w:szCs w:val="24"/>
        </w:rPr>
        <w:t>r</w:t>
      </w:r>
      <w:r w:rsidRPr="009759D1">
        <w:rPr>
          <w:sz w:val="24"/>
          <w:szCs w:val="24"/>
        </w:rPr>
        <w:t xml:space="preserve">med to further investigate each item’s fit. </w:t>
      </w:r>
      <w:r w:rsidR="005835B5" w:rsidRPr="009759D1">
        <w:rPr>
          <w:sz w:val="24"/>
          <w:szCs w:val="24"/>
        </w:rPr>
        <w:t xml:space="preserve">The </w:t>
      </w:r>
      <w:r w:rsidR="003F139B" w:rsidRPr="009759D1">
        <w:rPr>
          <w:sz w:val="24"/>
          <w:szCs w:val="24"/>
        </w:rPr>
        <w:t xml:space="preserve">resulting </w:t>
      </w:r>
      <w:r w:rsidR="005835B5" w:rsidRPr="009759D1">
        <w:rPr>
          <w:sz w:val="24"/>
          <w:szCs w:val="24"/>
        </w:rPr>
        <w:t>tab</w:t>
      </w:r>
      <w:r w:rsidR="003F139B" w:rsidRPr="009759D1">
        <w:rPr>
          <w:sz w:val="24"/>
          <w:szCs w:val="24"/>
        </w:rPr>
        <w:t>l</w:t>
      </w:r>
      <w:r w:rsidR="005835B5" w:rsidRPr="009759D1">
        <w:rPr>
          <w:sz w:val="24"/>
          <w:szCs w:val="24"/>
        </w:rPr>
        <w:t>e of communalities</w:t>
      </w:r>
      <w:r w:rsidR="00C81CFE" w:rsidRPr="009759D1">
        <w:rPr>
          <w:sz w:val="24"/>
          <w:szCs w:val="24"/>
        </w:rPr>
        <w:t xml:space="preserve"> from extracting one component</w:t>
      </w:r>
      <w:r w:rsidR="003F139B" w:rsidRPr="009759D1">
        <w:rPr>
          <w:sz w:val="24"/>
          <w:szCs w:val="24"/>
        </w:rPr>
        <w:t xml:space="preserve"> is shown in </w:t>
      </w:r>
      <w:r w:rsidR="00FD72B6">
        <w:rPr>
          <w:sz w:val="24"/>
          <w:szCs w:val="24"/>
        </w:rPr>
        <w:t>Appendix 2</w:t>
      </w:r>
      <w:r w:rsidR="003F139B" w:rsidRPr="009759D1">
        <w:rPr>
          <w:sz w:val="24"/>
          <w:szCs w:val="24"/>
        </w:rPr>
        <w:t xml:space="preserve"> and suggests that </w:t>
      </w:r>
      <w:r w:rsidR="00187566" w:rsidRPr="009759D1">
        <w:rPr>
          <w:sz w:val="24"/>
          <w:szCs w:val="24"/>
        </w:rPr>
        <w:t xml:space="preserve">most </w:t>
      </w:r>
      <w:r w:rsidR="003F139B" w:rsidRPr="009759D1">
        <w:rPr>
          <w:sz w:val="24"/>
          <w:szCs w:val="24"/>
        </w:rPr>
        <w:t xml:space="preserve">items share variance with the extracted component </w:t>
      </w:r>
      <w:r w:rsidR="00187566" w:rsidRPr="009759D1">
        <w:rPr>
          <w:sz w:val="24"/>
          <w:szCs w:val="24"/>
        </w:rPr>
        <w:t xml:space="preserve">but that </w:t>
      </w:r>
      <w:r w:rsidR="00C5404B" w:rsidRPr="009759D1">
        <w:rPr>
          <w:sz w:val="24"/>
          <w:szCs w:val="24"/>
        </w:rPr>
        <w:t>five</w:t>
      </w:r>
      <w:r w:rsidR="00187566" w:rsidRPr="009759D1">
        <w:rPr>
          <w:sz w:val="24"/>
          <w:szCs w:val="24"/>
        </w:rPr>
        <w:t xml:space="preserve"> share less than 10% of variance with the extracted component. These can be considered for exclusion from the scale. </w:t>
      </w:r>
      <w:r w:rsidR="00FD72B6">
        <w:rPr>
          <w:sz w:val="24"/>
          <w:szCs w:val="24"/>
        </w:rPr>
        <w:t xml:space="preserve"> A</w:t>
      </w:r>
      <w:r w:rsidR="00187566" w:rsidRPr="009759D1">
        <w:rPr>
          <w:sz w:val="24"/>
          <w:szCs w:val="24"/>
        </w:rPr>
        <w:t xml:space="preserve">nalysis of </w:t>
      </w:r>
      <w:r w:rsidR="00FD72B6">
        <w:rPr>
          <w:sz w:val="24"/>
          <w:szCs w:val="24"/>
        </w:rPr>
        <w:t>a</w:t>
      </w:r>
      <w:r w:rsidR="00187566" w:rsidRPr="009759D1">
        <w:rPr>
          <w:sz w:val="24"/>
          <w:szCs w:val="24"/>
        </w:rPr>
        <w:t xml:space="preserve"> principal components </w:t>
      </w:r>
      <w:r w:rsidR="00CA68DB" w:rsidRPr="009759D1">
        <w:rPr>
          <w:sz w:val="24"/>
          <w:szCs w:val="24"/>
        </w:rPr>
        <w:t>s</w:t>
      </w:r>
      <w:r w:rsidR="00187566" w:rsidRPr="009759D1">
        <w:rPr>
          <w:sz w:val="24"/>
          <w:szCs w:val="24"/>
        </w:rPr>
        <w:t>cr</w:t>
      </w:r>
      <w:r w:rsidR="00CA68DB" w:rsidRPr="009759D1">
        <w:rPr>
          <w:sz w:val="24"/>
          <w:szCs w:val="24"/>
        </w:rPr>
        <w:t>ee</w:t>
      </w:r>
      <w:r w:rsidR="00187566" w:rsidRPr="009759D1">
        <w:rPr>
          <w:sz w:val="24"/>
          <w:szCs w:val="24"/>
        </w:rPr>
        <w:t xml:space="preserve"> plot</w:t>
      </w:r>
      <w:r w:rsidR="00C50BF1" w:rsidRPr="009759D1">
        <w:rPr>
          <w:sz w:val="24"/>
          <w:szCs w:val="24"/>
        </w:rPr>
        <w:t xml:space="preserve"> (not shown)</w:t>
      </w:r>
      <w:r w:rsidR="00187566" w:rsidRPr="009759D1">
        <w:rPr>
          <w:sz w:val="24"/>
          <w:szCs w:val="24"/>
        </w:rPr>
        <w:t>, howe</w:t>
      </w:r>
      <w:r w:rsidR="00CA68DB" w:rsidRPr="009759D1">
        <w:rPr>
          <w:sz w:val="24"/>
          <w:szCs w:val="24"/>
        </w:rPr>
        <w:t>v</w:t>
      </w:r>
      <w:r w:rsidR="00187566" w:rsidRPr="009759D1">
        <w:rPr>
          <w:sz w:val="24"/>
          <w:szCs w:val="24"/>
        </w:rPr>
        <w:t xml:space="preserve">er, </w:t>
      </w:r>
      <w:r w:rsidR="00C50BF1" w:rsidRPr="009759D1">
        <w:rPr>
          <w:sz w:val="24"/>
          <w:szCs w:val="24"/>
        </w:rPr>
        <w:t>confirmed</w:t>
      </w:r>
      <w:r w:rsidR="001E102C" w:rsidRPr="009759D1">
        <w:rPr>
          <w:sz w:val="24"/>
          <w:szCs w:val="24"/>
        </w:rPr>
        <w:t xml:space="preserve"> </w:t>
      </w:r>
      <w:r w:rsidR="00187566" w:rsidRPr="009759D1">
        <w:rPr>
          <w:sz w:val="24"/>
          <w:szCs w:val="24"/>
        </w:rPr>
        <w:t xml:space="preserve">that the </w:t>
      </w:r>
      <w:r w:rsidR="00CA68DB" w:rsidRPr="009759D1">
        <w:rPr>
          <w:sz w:val="24"/>
          <w:szCs w:val="24"/>
        </w:rPr>
        <w:t>scale</w:t>
      </w:r>
      <w:r w:rsidR="00C50BF1" w:rsidRPr="009759D1">
        <w:rPr>
          <w:sz w:val="24"/>
          <w:szCs w:val="24"/>
        </w:rPr>
        <w:t xml:space="preserve"> measures more than one </w:t>
      </w:r>
      <w:r w:rsidR="00187566" w:rsidRPr="009759D1">
        <w:rPr>
          <w:sz w:val="24"/>
          <w:szCs w:val="24"/>
        </w:rPr>
        <w:t xml:space="preserve">construct </w:t>
      </w:r>
      <w:r w:rsidR="00CA68DB" w:rsidRPr="009759D1">
        <w:rPr>
          <w:sz w:val="24"/>
          <w:szCs w:val="24"/>
        </w:rPr>
        <w:t>as o</w:t>
      </w:r>
      <w:r w:rsidR="007D31DE" w:rsidRPr="009759D1">
        <w:rPr>
          <w:sz w:val="24"/>
          <w:szCs w:val="24"/>
        </w:rPr>
        <w:t xml:space="preserve">nly 23.3% of the variance in the data </w:t>
      </w:r>
      <w:r w:rsidR="00CA68DB" w:rsidRPr="009759D1">
        <w:rPr>
          <w:sz w:val="24"/>
          <w:szCs w:val="24"/>
        </w:rPr>
        <w:t xml:space="preserve">is </w:t>
      </w:r>
      <w:r w:rsidR="007D31DE" w:rsidRPr="009759D1">
        <w:rPr>
          <w:sz w:val="24"/>
          <w:szCs w:val="24"/>
        </w:rPr>
        <w:t xml:space="preserve">explained by one </w:t>
      </w:r>
      <w:r w:rsidR="00CA68DB" w:rsidRPr="009759D1">
        <w:rPr>
          <w:sz w:val="24"/>
          <w:szCs w:val="24"/>
        </w:rPr>
        <w:t>component</w:t>
      </w:r>
      <w:r w:rsidR="007D31DE" w:rsidRPr="009759D1">
        <w:rPr>
          <w:sz w:val="24"/>
          <w:szCs w:val="24"/>
        </w:rPr>
        <w:t xml:space="preserve">. </w:t>
      </w:r>
    </w:p>
    <w:p w:rsidR="005212CA" w:rsidRPr="00FD72B6" w:rsidRDefault="005212CA" w:rsidP="009759D1">
      <w:pPr>
        <w:spacing w:after="0" w:line="480" w:lineRule="auto"/>
        <w:rPr>
          <w:sz w:val="24"/>
          <w:szCs w:val="24"/>
        </w:rPr>
      </w:pPr>
    </w:p>
    <w:p w:rsidR="00156B59" w:rsidRPr="009759D1" w:rsidRDefault="00B463F7" w:rsidP="009759D1">
      <w:pPr>
        <w:autoSpaceDE w:val="0"/>
        <w:autoSpaceDN w:val="0"/>
        <w:adjustRightInd w:val="0"/>
        <w:spacing w:after="0" w:line="480" w:lineRule="auto"/>
        <w:rPr>
          <w:rFonts w:cstheme="minorHAnsi"/>
          <w:sz w:val="24"/>
          <w:szCs w:val="24"/>
        </w:rPr>
      </w:pPr>
      <w:r w:rsidRPr="009759D1">
        <w:rPr>
          <w:rFonts w:cstheme="minorHAnsi"/>
          <w:sz w:val="24"/>
          <w:szCs w:val="24"/>
        </w:rPr>
        <w:t xml:space="preserve">A principal components analysis </w:t>
      </w:r>
      <w:r w:rsidR="00C47575" w:rsidRPr="009759D1">
        <w:rPr>
          <w:rFonts w:cstheme="minorHAnsi"/>
          <w:sz w:val="24"/>
          <w:szCs w:val="24"/>
        </w:rPr>
        <w:t xml:space="preserve">restricted to two </w:t>
      </w:r>
      <w:r w:rsidR="00A04827" w:rsidRPr="009759D1">
        <w:rPr>
          <w:rFonts w:cstheme="minorHAnsi"/>
          <w:sz w:val="24"/>
          <w:szCs w:val="24"/>
        </w:rPr>
        <w:t>components</w:t>
      </w:r>
      <w:r w:rsidR="00C81CFE" w:rsidRPr="009759D1">
        <w:rPr>
          <w:rFonts w:cstheme="minorHAnsi"/>
          <w:sz w:val="24"/>
          <w:szCs w:val="24"/>
        </w:rPr>
        <w:t xml:space="preserve"> using varimax rotation was </w:t>
      </w:r>
      <w:r w:rsidRPr="009759D1">
        <w:rPr>
          <w:rFonts w:cstheme="minorHAnsi"/>
          <w:sz w:val="24"/>
          <w:szCs w:val="24"/>
        </w:rPr>
        <w:t xml:space="preserve">then </w:t>
      </w:r>
      <w:r w:rsidR="00C81CFE" w:rsidRPr="009759D1">
        <w:rPr>
          <w:rFonts w:cstheme="minorHAnsi"/>
          <w:sz w:val="24"/>
          <w:szCs w:val="24"/>
        </w:rPr>
        <w:t>performed.</w:t>
      </w:r>
      <w:r w:rsidR="00C47575" w:rsidRPr="009759D1">
        <w:rPr>
          <w:rFonts w:cstheme="minorHAnsi"/>
          <w:sz w:val="24"/>
          <w:szCs w:val="24"/>
        </w:rPr>
        <w:t xml:space="preserve"> </w:t>
      </w:r>
      <w:r w:rsidR="00961752" w:rsidRPr="009759D1">
        <w:rPr>
          <w:rFonts w:cstheme="minorHAnsi"/>
          <w:sz w:val="24"/>
          <w:szCs w:val="24"/>
        </w:rPr>
        <w:t>The rot</w:t>
      </w:r>
      <w:r w:rsidR="001435D3">
        <w:rPr>
          <w:rFonts w:cstheme="minorHAnsi"/>
          <w:sz w:val="24"/>
          <w:szCs w:val="24"/>
        </w:rPr>
        <w:t>ated component matrix in Appendix 3</w:t>
      </w:r>
      <w:r w:rsidR="00961752" w:rsidRPr="009759D1">
        <w:rPr>
          <w:rFonts w:cstheme="minorHAnsi"/>
          <w:sz w:val="24"/>
          <w:szCs w:val="24"/>
        </w:rPr>
        <w:t xml:space="preserve"> shows the relation between each item and the </w:t>
      </w:r>
      <w:r w:rsidR="00C47575" w:rsidRPr="009759D1">
        <w:rPr>
          <w:rFonts w:cstheme="minorHAnsi"/>
          <w:sz w:val="24"/>
          <w:szCs w:val="24"/>
        </w:rPr>
        <w:t xml:space="preserve">two </w:t>
      </w:r>
      <w:r w:rsidR="00961752" w:rsidRPr="009759D1">
        <w:rPr>
          <w:rFonts w:cstheme="minorHAnsi"/>
          <w:sz w:val="24"/>
          <w:szCs w:val="24"/>
        </w:rPr>
        <w:t>components.</w:t>
      </w:r>
      <w:r w:rsidR="00FD72B6">
        <w:rPr>
          <w:rFonts w:cstheme="minorHAnsi"/>
          <w:sz w:val="24"/>
          <w:szCs w:val="24"/>
        </w:rPr>
        <w:t xml:space="preserve">   </w:t>
      </w:r>
      <w:r w:rsidR="00A04827" w:rsidRPr="009759D1">
        <w:rPr>
          <w:rFonts w:cstheme="minorHAnsi"/>
          <w:sz w:val="24"/>
          <w:szCs w:val="24"/>
        </w:rPr>
        <w:t>The t</w:t>
      </w:r>
      <w:r w:rsidR="00281CC2" w:rsidRPr="009759D1">
        <w:rPr>
          <w:rFonts w:cstheme="minorHAnsi"/>
          <w:sz w:val="24"/>
          <w:szCs w:val="24"/>
        </w:rPr>
        <w:t>wo</w:t>
      </w:r>
      <w:r w:rsidR="00A04827" w:rsidRPr="009759D1">
        <w:rPr>
          <w:rFonts w:cstheme="minorHAnsi"/>
          <w:sz w:val="24"/>
          <w:szCs w:val="24"/>
        </w:rPr>
        <w:t xml:space="preserve"> components explain 3</w:t>
      </w:r>
      <w:r w:rsidR="00281CC2" w:rsidRPr="009759D1">
        <w:rPr>
          <w:rFonts w:cstheme="minorHAnsi"/>
          <w:sz w:val="24"/>
          <w:szCs w:val="24"/>
        </w:rPr>
        <w:t>6.8</w:t>
      </w:r>
      <w:r w:rsidR="00A04827" w:rsidRPr="009759D1">
        <w:rPr>
          <w:rFonts w:cstheme="minorHAnsi"/>
          <w:sz w:val="24"/>
          <w:szCs w:val="24"/>
        </w:rPr>
        <w:t>% of the variation in the data and consideration of the items in each grouping show</w:t>
      </w:r>
      <w:r w:rsidR="00281CC2" w:rsidRPr="009759D1">
        <w:rPr>
          <w:rFonts w:cstheme="minorHAnsi"/>
          <w:sz w:val="24"/>
          <w:szCs w:val="24"/>
        </w:rPr>
        <w:t xml:space="preserve">s some similarities </w:t>
      </w:r>
      <w:r w:rsidR="00A04827" w:rsidRPr="009759D1">
        <w:rPr>
          <w:rFonts w:cstheme="minorHAnsi"/>
          <w:sz w:val="24"/>
          <w:szCs w:val="24"/>
        </w:rPr>
        <w:t>with the compone</w:t>
      </w:r>
      <w:r w:rsidR="00281CC2" w:rsidRPr="009759D1">
        <w:rPr>
          <w:rFonts w:cstheme="minorHAnsi"/>
          <w:sz w:val="24"/>
          <w:szCs w:val="24"/>
        </w:rPr>
        <w:t>n</w:t>
      </w:r>
      <w:r w:rsidR="00A04827" w:rsidRPr="009759D1">
        <w:rPr>
          <w:rFonts w:cstheme="minorHAnsi"/>
          <w:sz w:val="24"/>
          <w:szCs w:val="24"/>
        </w:rPr>
        <w:t xml:space="preserve">ts of absorptive capacity identified in </w:t>
      </w:r>
      <w:r w:rsidR="00A01307" w:rsidRPr="009759D1">
        <w:rPr>
          <w:rFonts w:cstheme="minorHAnsi"/>
          <w:sz w:val="24"/>
          <w:szCs w:val="24"/>
        </w:rPr>
        <w:t xml:space="preserve">previous studies. </w:t>
      </w:r>
      <w:r w:rsidR="00281CC2" w:rsidRPr="009759D1">
        <w:rPr>
          <w:rFonts w:cstheme="minorHAnsi"/>
          <w:sz w:val="24"/>
          <w:szCs w:val="24"/>
        </w:rPr>
        <w:t>The fir</w:t>
      </w:r>
      <w:r w:rsidRPr="009759D1">
        <w:rPr>
          <w:rFonts w:cstheme="minorHAnsi"/>
          <w:sz w:val="24"/>
          <w:szCs w:val="24"/>
        </w:rPr>
        <w:t>st component (darker shaded area</w:t>
      </w:r>
      <w:r w:rsidR="00281CC2" w:rsidRPr="009759D1">
        <w:rPr>
          <w:rFonts w:cstheme="minorHAnsi"/>
          <w:sz w:val="24"/>
          <w:szCs w:val="24"/>
        </w:rPr>
        <w:t>) includes the majority of statements that relate to ‘use’ of information/knowledge without a distinction</w:t>
      </w:r>
      <w:r w:rsidR="00FD72B6">
        <w:rPr>
          <w:rFonts w:cstheme="minorHAnsi"/>
          <w:sz w:val="24"/>
          <w:szCs w:val="24"/>
        </w:rPr>
        <w:t xml:space="preserve"> being made</w:t>
      </w:r>
      <w:r w:rsidR="00281CC2" w:rsidRPr="009759D1">
        <w:rPr>
          <w:rFonts w:cstheme="minorHAnsi"/>
          <w:sz w:val="24"/>
          <w:szCs w:val="24"/>
        </w:rPr>
        <w:t xml:space="preserve"> between assimilation, transformation and exploitation. The second component (</w:t>
      </w:r>
      <w:r w:rsidRPr="009759D1">
        <w:rPr>
          <w:rFonts w:cstheme="minorHAnsi"/>
          <w:sz w:val="24"/>
          <w:szCs w:val="24"/>
        </w:rPr>
        <w:t xml:space="preserve">lighter </w:t>
      </w:r>
      <w:r w:rsidR="00281CC2" w:rsidRPr="009759D1">
        <w:rPr>
          <w:rFonts w:cstheme="minorHAnsi"/>
          <w:sz w:val="24"/>
          <w:szCs w:val="24"/>
        </w:rPr>
        <w:t xml:space="preserve">shaded </w:t>
      </w:r>
      <w:r w:rsidRPr="009759D1">
        <w:rPr>
          <w:rFonts w:cstheme="minorHAnsi"/>
          <w:sz w:val="24"/>
          <w:szCs w:val="24"/>
        </w:rPr>
        <w:t>area</w:t>
      </w:r>
      <w:r w:rsidR="00281CC2" w:rsidRPr="009759D1">
        <w:rPr>
          <w:rFonts w:cstheme="minorHAnsi"/>
          <w:sz w:val="24"/>
          <w:szCs w:val="24"/>
        </w:rPr>
        <w:t>) clearly relates to acquisition only.</w:t>
      </w:r>
    </w:p>
    <w:p w:rsidR="00156B59" w:rsidRPr="009759D1" w:rsidRDefault="00156B59" w:rsidP="009759D1">
      <w:pPr>
        <w:autoSpaceDE w:val="0"/>
        <w:autoSpaceDN w:val="0"/>
        <w:adjustRightInd w:val="0"/>
        <w:spacing w:after="0" w:line="480" w:lineRule="auto"/>
        <w:rPr>
          <w:rFonts w:cstheme="minorHAnsi"/>
          <w:sz w:val="24"/>
          <w:szCs w:val="24"/>
        </w:rPr>
      </w:pPr>
    </w:p>
    <w:p w:rsidR="00B463F7" w:rsidRDefault="00A3179D" w:rsidP="009759D1">
      <w:pPr>
        <w:spacing w:after="0" w:line="480" w:lineRule="auto"/>
        <w:rPr>
          <w:sz w:val="24"/>
          <w:szCs w:val="24"/>
        </w:rPr>
      </w:pPr>
      <w:r w:rsidRPr="009759D1">
        <w:rPr>
          <w:sz w:val="24"/>
          <w:szCs w:val="24"/>
        </w:rPr>
        <w:t>This initial f</w:t>
      </w:r>
      <w:r w:rsidR="003F70B9" w:rsidRPr="009759D1">
        <w:rPr>
          <w:sz w:val="24"/>
          <w:szCs w:val="24"/>
        </w:rPr>
        <w:t xml:space="preserve">actor analysis </w:t>
      </w:r>
      <w:r w:rsidRPr="009759D1">
        <w:rPr>
          <w:sz w:val="24"/>
          <w:szCs w:val="24"/>
        </w:rPr>
        <w:t xml:space="preserve">suggests that the items are either not </w:t>
      </w:r>
      <w:r w:rsidR="003F70B9" w:rsidRPr="009759D1">
        <w:rPr>
          <w:sz w:val="24"/>
          <w:szCs w:val="24"/>
        </w:rPr>
        <w:t>ade</w:t>
      </w:r>
      <w:r w:rsidRPr="009759D1">
        <w:rPr>
          <w:sz w:val="24"/>
          <w:szCs w:val="24"/>
        </w:rPr>
        <w:t>quately distinguishing between a</w:t>
      </w:r>
      <w:r w:rsidR="003F70B9" w:rsidRPr="009759D1">
        <w:rPr>
          <w:sz w:val="24"/>
          <w:szCs w:val="24"/>
        </w:rPr>
        <w:t>ssimilation and transformat</w:t>
      </w:r>
      <w:r w:rsidRPr="009759D1">
        <w:rPr>
          <w:sz w:val="24"/>
          <w:szCs w:val="24"/>
        </w:rPr>
        <w:t xml:space="preserve">ion </w:t>
      </w:r>
      <w:r w:rsidR="003F70B9" w:rsidRPr="009759D1">
        <w:rPr>
          <w:sz w:val="24"/>
          <w:szCs w:val="24"/>
        </w:rPr>
        <w:t xml:space="preserve">or that </w:t>
      </w:r>
      <w:r w:rsidRPr="009759D1">
        <w:rPr>
          <w:sz w:val="24"/>
          <w:szCs w:val="24"/>
        </w:rPr>
        <w:t xml:space="preserve">within the </w:t>
      </w:r>
      <w:r w:rsidR="00B463F7" w:rsidRPr="009759D1">
        <w:rPr>
          <w:sz w:val="24"/>
          <w:szCs w:val="24"/>
        </w:rPr>
        <w:t xml:space="preserve">hotel </w:t>
      </w:r>
      <w:r w:rsidR="00E545DB" w:rsidRPr="009759D1">
        <w:rPr>
          <w:sz w:val="24"/>
          <w:szCs w:val="24"/>
        </w:rPr>
        <w:t>sector</w:t>
      </w:r>
      <w:r w:rsidRPr="009759D1">
        <w:rPr>
          <w:sz w:val="24"/>
          <w:szCs w:val="24"/>
        </w:rPr>
        <w:t xml:space="preserve"> </w:t>
      </w:r>
      <w:r w:rsidR="003F70B9" w:rsidRPr="009759D1">
        <w:rPr>
          <w:sz w:val="24"/>
          <w:szCs w:val="24"/>
        </w:rPr>
        <w:t xml:space="preserve">these </w:t>
      </w:r>
      <w:r w:rsidR="00B463F7" w:rsidRPr="009759D1">
        <w:rPr>
          <w:sz w:val="24"/>
          <w:szCs w:val="24"/>
        </w:rPr>
        <w:t xml:space="preserve">activities are difficult </w:t>
      </w:r>
      <w:r w:rsidR="00FD72B6">
        <w:rPr>
          <w:sz w:val="24"/>
          <w:szCs w:val="24"/>
        </w:rPr>
        <w:t xml:space="preserve">for practitioners </w:t>
      </w:r>
      <w:r w:rsidR="00B463F7" w:rsidRPr="009759D1">
        <w:rPr>
          <w:sz w:val="24"/>
          <w:szCs w:val="24"/>
        </w:rPr>
        <w:t xml:space="preserve">to separate.  </w:t>
      </w:r>
      <w:r w:rsidR="00D94E0B" w:rsidRPr="009759D1">
        <w:rPr>
          <w:sz w:val="24"/>
          <w:szCs w:val="24"/>
        </w:rPr>
        <w:t xml:space="preserve">Exploring the data </w:t>
      </w:r>
      <w:r w:rsidRPr="009759D1">
        <w:rPr>
          <w:sz w:val="24"/>
          <w:szCs w:val="24"/>
        </w:rPr>
        <w:t xml:space="preserve">further </w:t>
      </w:r>
      <w:r w:rsidR="00D94E0B" w:rsidRPr="009759D1">
        <w:rPr>
          <w:sz w:val="24"/>
          <w:szCs w:val="24"/>
        </w:rPr>
        <w:t>for potential a</w:t>
      </w:r>
      <w:r w:rsidR="00FD72B6">
        <w:rPr>
          <w:sz w:val="24"/>
          <w:szCs w:val="24"/>
        </w:rPr>
        <w:t>nd realised absorptive capacity</w:t>
      </w:r>
      <w:r w:rsidR="00D94E0B" w:rsidRPr="009759D1">
        <w:rPr>
          <w:sz w:val="24"/>
          <w:szCs w:val="24"/>
        </w:rPr>
        <w:t xml:space="preserve"> also identifies clear differences </w:t>
      </w:r>
      <w:r w:rsidR="00B463F7" w:rsidRPr="009759D1">
        <w:rPr>
          <w:sz w:val="24"/>
          <w:szCs w:val="24"/>
        </w:rPr>
        <w:t xml:space="preserve">between </w:t>
      </w:r>
      <w:r w:rsidR="00D94E0B" w:rsidRPr="009759D1">
        <w:rPr>
          <w:sz w:val="24"/>
          <w:szCs w:val="24"/>
        </w:rPr>
        <w:t>this and oth</w:t>
      </w:r>
      <w:r w:rsidR="00FD72B6">
        <w:rPr>
          <w:sz w:val="24"/>
          <w:szCs w:val="24"/>
        </w:rPr>
        <w:t>er studies.  The results</w:t>
      </w:r>
      <w:r w:rsidR="00B463F7" w:rsidRPr="009759D1">
        <w:rPr>
          <w:sz w:val="24"/>
          <w:szCs w:val="24"/>
        </w:rPr>
        <w:t xml:space="preserve"> confirm th</w:t>
      </w:r>
      <w:r w:rsidR="00FD72B6">
        <w:rPr>
          <w:sz w:val="24"/>
          <w:szCs w:val="24"/>
        </w:rPr>
        <w:t>a</w:t>
      </w:r>
      <w:r w:rsidR="00A6542B">
        <w:rPr>
          <w:sz w:val="24"/>
          <w:szCs w:val="24"/>
        </w:rPr>
        <w:t>t</w:t>
      </w:r>
      <w:r w:rsidR="00D94E0B" w:rsidRPr="009759D1">
        <w:rPr>
          <w:sz w:val="24"/>
          <w:szCs w:val="24"/>
        </w:rPr>
        <w:t xml:space="preserve"> two factors </w:t>
      </w:r>
      <w:r w:rsidR="00B463F7" w:rsidRPr="009759D1">
        <w:rPr>
          <w:sz w:val="24"/>
          <w:szCs w:val="24"/>
        </w:rPr>
        <w:t xml:space="preserve">are at play but </w:t>
      </w:r>
      <w:r w:rsidR="00A6542B">
        <w:rPr>
          <w:sz w:val="24"/>
          <w:szCs w:val="24"/>
        </w:rPr>
        <w:t xml:space="preserve">that </w:t>
      </w:r>
      <w:r w:rsidR="00D94E0B" w:rsidRPr="009759D1">
        <w:rPr>
          <w:sz w:val="24"/>
          <w:szCs w:val="24"/>
        </w:rPr>
        <w:t xml:space="preserve">these </w:t>
      </w:r>
      <w:r w:rsidR="00A6542B">
        <w:rPr>
          <w:sz w:val="24"/>
          <w:szCs w:val="24"/>
        </w:rPr>
        <w:t xml:space="preserve">are </w:t>
      </w:r>
      <w:r w:rsidR="00D94E0B" w:rsidRPr="009759D1">
        <w:rPr>
          <w:sz w:val="24"/>
          <w:szCs w:val="24"/>
        </w:rPr>
        <w:t xml:space="preserve">acquisition of knowledge and </w:t>
      </w:r>
      <w:r w:rsidR="00D94E0B" w:rsidRPr="009759D1">
        <w:rPr>
          <w:sz w:val="24"/>
          <w:szCs w:val="24"/>
        </w:rPr>
        <w:lastRenderedPageBreak/>
        <w:t>a broad category ‘use’ which incorporates elements of assimilation, transformation and exploitation.</w:t>
      </w:r>
      <w:r w:rsidR="00A6542B">
        <w:rPr>
          <w:sz w:val="24"/>
          <w:szCs w:val="24"/>
        </w:rPr>
        <w:t xml:space="preserve">  R</w:t>
      </w:r>
      <w:r w:rsidR="003F70B9" w:rsidRPr="009759D1">
        <w:rPr>
          <w:sz w:val="24"/>
          <w:szCs w:val="24"/>
        </w:rPr>
        <w:t>unning the</w:t>
      </w:r>
      <w:r w:rsidR="00A6542B">
        <w:rPr>
          <w:sz w:val="24"/>
          <w:szCs w:val="24"/>
        </w:rPr>
        <w:t xml:space="preserve"> same factor analysis with </w:t>
      </w:r>
      <w:r w:rsidR="003F70B9" w:rsidRPr="009759D1">
        <w:rPr>
          <w:sz w:val="24"/>
          <w:szCs w:val="24"/>
        </w:rPr>
        <w:t xml:space="preserve">those items that are similar to the Jimenez-Barrionuevo et al </w:t>
      </w:r>
      <w:r w:rsidRPr="009759D1">
        <w:rPr>
          <w:sz w:val="24"/>
          <w:szCs w:val="24"/>
        </w:rPr>
        <w:t xml:space="preserve">(2011) </w:t>
      </w:r>
      <w:r w:rsidR="003F70B9" w:rsidRPr="009759D1">
        <w:rPr>
          <w:sz w:val="24"/>
          <w:szCs w:val="24"/>
        </w:rPr>
        <w:t xml:space="preserve">study </w:t>
      </w:r>
      <w:r w:rsidR="00D94E0B" w:rsidRPr="009759D1">
        <w:rPr>
          <w:sz w:val="24"/>
          <w:szCs w:val="24"/>
        </w:rPr>
        <w:t xml:space="preserve">(ie deleting those that require competitor comparison) </w:t>
      </w:r>
      <w:r w:rsidR="003F70B9" w:rsidRPr="009759D1">
        <w:rPr>
          <w:sz w:val="24"/>
          <w:szCs w:val="24"/>
        </w:rPr>
        <w:t xml:space="preserve">results in similar findings. The four expected factors </w:t>
      </w:r>
      <w:r w:rsidR="00A6542B">
        <w:rPr>
          <w:sz w:val="24"/>
          <w:szCs w:val="24"/>
        </w:rPr>
        <w:t xml:space="preserve">(acquisition, assimilation, transformation and exploitation) </w:t>
      </w:r>
      <w:r w:rsidR="003F70B9" w:rsidRPr="009759D1">
        <w:rPr>
          <w:sz w:val="24"/>
          <w:szCs w:val="24"/>
        </w:rPr>
        <w:t>do not emerge from the data.</w:t>
      </w:r>
      <w:r w:rsidR="00A6542B">
        <w:rPr>
          <w:sz w:val="24"/>
          <w:szCs w:val="24"/>
        </w:rPr>
        <w:t xml:space="preserve">  T</w:t>
      </w:r>
      <w:r w:rsidR="003F70B9" w:rsidRPr="009759D1">
        <w:rPr>
          <w:sz w:val="24"/>
          <w:szCs w:val="24"/>
        </w:rPr>
        <w:t>his suggest</w:t>
      </w:r>
      <w:r w:rsidR="00A6542B">
        <w:rPr>
          <w:sz w:val="24"/>
          <w:szCs w:val="24"/>
        </w:rPr>
        <w:t>s</w:t>
      </w:r>
      <w:r w:rsidR="003F70B9" w:rsidRPr="009759D1">
        <w:rPr>
          <w:sz w:val="24"/>
          <w:szCs w:val="24"/>
        </w:rPr>
        <w:t xml:space="preserve"> </w:t>
      </w:r>
      <w:r w:rsidR="00A6542B">
        <w:rPr>
          <w:sz w:val="24"/>
          <w:szCs w:val="24"/>
        </w:rPr>
        <w:t>that absorptive capacity is qualitatively</w:t>
      </w:r>
      <w:r w:rsidR="003F70B9" w:rsidRPr="009759D1">
        <w:rPr>
          <w:sz w:val="24"/>
          <w:szCs w:val="24"/>
        </w:rPr>
        <w:t xml:space="preserve"> </w:t>
      </w:r>
      <w:r w:rsidR="00B463F7" w:rsidRPr="009759D1">
        <w:rPr>
          <w:sz w:val="24"/>
          <w:szCs w:val="24"/>
        </w:rPr>
        <w:t xml:space="preserve">different within the hotel </w:t>
      </w:r>
      <w:r w:rsidR="00E545DB" w:rsidRPr="009759D1">
        <w:rPr>
          <w:sz w:val="24"/>
          <w:szCs w:val="24"/>
        </w:rPr>
        <w:t>sector</w:t>
      </w:r>
      <w:r w:rsidR="00BC00FD" w:rsidRPr="009759D1">
        <w:rPr>
          <w:sz w:val="24"/>
          <w:szCs w:val="24"/>
        </w:rPr>
        <w:t xml:space="preserve">. </w:t>
      </w:r>
    </w:p>
    <w:p w:rsidR="00A6542B" w:rsidRPr="009759D1" w:rsidRDefault="00A6542B" w:rsidP="009759D1">
      <w:pPr>
        <w:spacing w:after="0" w:line="480" w:lineRule="auto"/>
        <w:rPr>
          <w:sz w:val="24"/>
          <w:szCs w:val="24"/>
        </w:rPr>
      </w:pPr>
    </w:p>
    <w:p w:rsidR="009D2F28" w:rsidRPr="009759D1" w:rsidRDefault="00373058" w:rsidP="009759D1">
      <w:pPr>
        <w:spacing w:after="0" w:line="480" w:lineRule="auto"/>
        <w:rPr>
          <w:b/>
          <w:sz w:val="24"/>
          <w:szCs w:val="24"/>
        </w:rPr>
      </w:pPr>
      <w:r>
        <w:rPr>
          <w:b/>
          <w:sz w:val="24"/>
          <w:szCs w:val="24"/>
        </w:rPr>
        <w:t xml:space="preserve">4.1 </w:t>
      </w:r>
      <w:r w:rsidR="009D2F28" w:rsidRPr="009759D1">
        <w:rPr>
          <w:b/>
          <w:sz w:val="24"/>
          <w:szCs w:val="24"/>
        </w:rPr>
        <w:t>Structural equation modelling</w:t>
      </w:r>
    </w:p>
    <w:p w:rsidR="00C27B01" w:rsidRDefault="00E65B76" w:rsidP="009759D1">
      <w:pPr>
        <w:spacing w:after="0" w:line="480" w:lineRule="auto"/>
        <w:rPr>
          <w:sz w:val="24"/>
          <w:szCs w:val="24"/>
        </w:rPr>
      </w:pPr>
      <w:r w:rsidRPr="009759D1">
        <w:rPr>
          <w:sz w:val="24"/>
          <w:szCs w:val="24"/>
        </w:rPr>
        <w:t xml:space="preserve">In order to test this </w:t>
      </w:r>
      <w:r w:rsidR="00BC00FD" w:rsidRPr="009759D1">
        <w:rPr>
          <w:sz w:val="24"/>
          <w:szCs w:val="24"/>
        </w:rPr>
        <w:t xml:space="preserve">revised two factor </w:t>
      </w:r>
      <w:r w:rsidRPr="009759D1">
        <w:rPr>
          <w:sz w:val="24"/>
          <w:szCs w:val="24"/>
        </w:rPr>
        <w:t>model</w:t>
      </w:r>
      <w:r w:rsidR="00373058">
        <w:rPr>
          <w:sz w:val="24"/>
          <w:szCs w:val="24"/>
        </w:rPr>
        <w:t>,</w:t>
      </w:r>
      <w:r w:rsidRPr="009759D1">
        <w:rPr>
          <w:sz w:val="24"/>
          <w:szCs w:val="24"/>
        </w:rPr>
        <w:t xml:space="preserve"> </w:t>
      </w:r>
      <w:r w:rsidR="00A3179D" w:rsidRPr="009759D1">
        <w:rPr>
          <w:sz w:val="24"/>
          <w:szCs w:val="24"/>
        </w:rPr>
        <w:t xml:space="preserve">confirmatory factor analysis was undertaken using </w:t>
      </w:r>
      <w:r w:rsidR="00935C4F" w:rsidRPr="009759D1">
        <w:rPr>
          <w:sz w:val="24"/>
          <w:szCs w:val="24"/>
        </w:rPr>
        <w:t>structural equation modelling</w:t>
      </w:r>
      <w:r w:rsidR="00A3179D" w:rsidRPr="009759D1">
        <w:rPr>
          <w:sz w:val="24"/>
          <w:szCs w:val="24"/>
        </w:rPr>
        <w:t>.</w:t>
      </w:r>
      <w:r w:rsidRPr="009759D1">
        <w:rPr>
          <w:sz w:val="24"/>
          <w:szCs w:val="24"/>
        </w:rPr>
        <w:t xml:space="preserve">  </w:t>
      </w:r>
      <w:r w:rsidR="00BC00FD" w:rsidRPr="009759D1">
        <w:rPr>
          <w:sz w:val="24"/>
          <w:szCs w:val="24"/>
        </w:rPr>
        <w:t>Using AMOS 20</w:t>
      </w:r>
      <w:r w:rsidR="00373058">
        <w:rPr>
          <w:sz w:val="24"/>
          <w:szCs w:val="24"/>
        </w:rPr>
        <w:t>,</w:t>
      </w:r>
      <w:r w:rsidR="00BC00FD" w:rsidRPr="009759D1">
        <w:rPr>
          <w:sz w:val="24"/>
          <w:szCs w:val="24"/>
        </w:rPr>
        <w:t xml:space="preserve"> the maximum likelihood method was </w:t>
      </w:r>
      <w:r w:rsidR="00C27B01" w:rsidRPr="009759D1">
        <w:rPr>
          <w:sz w:val="24"/>
          <w:szCs w:val="24"/>
        </w:rPr>
        <w:t>selected. This requires data normality, a sample size of 200 or more</w:t>
      </w:r>
      <w:r w:rsidR="00BC00FD" w:rsidRPr="009759D1">
        <w:rPr>
          <w:sz w:val="24"/>
          <w:szCs w:val="24"/>
        </w:rPr>
        <w:t xml:space="preserve"> </w:t>
      </w:r>
      <w:r w:rsidR="00C27B01" w:rsidRPr="009759D1">
        <w:rPr>
          <w:sz w:val="24"/>
          <w:szCs w:val="24"/>
        </w:rPr>
        <w:t xml:space="preserve">and data that can be treated as continuous (Blunch, 2013). The five point </w:t>
      </w:r>
      <w:r w:rsidR="00C27B45">
        <w:rPr>
          <w:sz w:val="24"/>
          <w:szCs w:val="24"/>
        </w:rPr>
        <w:t>L</w:t>
      </w:r>
      <w:r w:rsidR="00C27B01" w:rsidRPr="009759D1">
        <w:rPr>
          <w:sz w:val="24"/>
          <w:szCs w:val="24"/>
        </w:rPr>
        <w:t xml:space="preserve">ikert scale used meets the requirements for continuous data (Nachtigall, Kroehne, Funke and Steyer, 2003) and tests of skewness and kurtosis showed that all variables, other than three, were within acceptable limits of normality (Tabachnick and Fidell, 2013). </w:t>
      </w:r>
      <w:r w:rsidR="00AE65CD">
        <w:rPr>
          <w:sz w:val="24"/>
          <w:szCs w:val="24"/>
        </w:rPr>
        <w:t xml:space="preserve"> </w:t>
      </w:r>
      <w:r w:rsidR="00C27B01" w:rsidRPr="009759D1">
        <w:rPr>
          <w:sz w:val="24"/>
          <w:szCs w:val="24"/>
        </w:rPr>
        <w:t>The maximum likelihood method wit</w:t>
      </w:r>
      <w:r w:rsidR="00B463F7" w:rsidRPr="009759D1">
        <w:rPr>
          <w:sz w:val="24"/>
          <w:szCs w:val="24"/>
        </w:rPr>
        <w:t>hin AMOS</w:t>
      </w:r>
      <w:r w:rsidR="00C27B01" w:rsidRPr="009759D1">
        <w:rPr>
          <w:sz w:val="24"/>
          <w:szCs w:val="24"/>
        </w:rPr>
        <w:t xml:space="preserve"> has the advantage of being able to manage missing data through estimation of the means and intercepts. This option allows the maintenance of an appropriate sample size which would be reduced if</w:t>
      </w:r>
      <w:r w:rsidR="00B463F7" w:rsidRPr="009759D1">
        <w:rPr>
          <w:sz w:val="24"/>
          <w:szCs w:val="24"/>
        </w:rPr>
        <w:t xml:space="preserve"> each case with missing data were</w:t>
      </w:r>
      <w:r w:rsidR="00C27B01" w:rsidRPr="009759D1">
        <w:rPr>
          <w:sz w:val="24"/>
          <w:szCs w:val="24"/>
        </w:rPr>
        <w:t xml:space="preserve"> excluded.</w:t>
      </w:r>
    </w:p>
    <w:p w:rsidR="00AE65CD" w:rsidRPr="009759D1" w:rsidRDefault="00AE65CD" w:rsidP="009759D1">
      <w:pPr>
        <w:spacing w:after="0" w:line="480" w:lineRule="auto"/>
        <w:rPr>
          <w:sz w:val="24"/>
          <w:szCs w:val="24"/>
        </w:rPr>
      </w:pPr>
    </w:p>
    <w:p w:rsidR="00070A13" w:rsidRDefault="001435D3" w:rsidP="009759D1">
      <w:pPr>
        <w:spacing w:after="0" w:line="480" w:lineRule="auto"/>
        <w:rPr>
          <w:sz w:val="24"/>
          <w:szCs w:val="24"/>
        </w:rPr>
      </w:pPr>
      <w:r>
        <w:rPr>
          <w:sz w:val="24"/>
          <w:szCs w:val="24"/>
        </w:rPr>
        <w:t>Table 4</w:t>
      </w:r>
      <w:r w:rsidR="00C01C0B" w:rsidRPr="009759D1">
        <w:rPr>
          <w:sz w:val="24"/>
          <w:szCs w:val="24"/>
        </w:rPr>
        <w:t xml:space="preserve"> </w:t>
      </w:r>
      <w:r w:rsidR="00070A13" w:rsidRPr="009759D1">
        <w:rPr>
          <w:sz w:val="24"/>
          <w:szCs w:val="24"/>
        </w:rPr>
        <w:t xml:space="preserve">summarises the results of the </w:t>
      </w:r>
      <w:r w:rsidR="00373058">
        <w:rPr>
          <w:sz w:val="24"/>
          <w:szCs w:val="24"/>
        </w:rPr>
        <w:t xml:space="preserve">possible </w:t>
      </w:r>
      <w:r w:rsidR="00070A13" w:rsidRPr="009759D1">
        <w:rPr>
          <w:sz w:val="24"/>
          <w:szCs w:val="24"/>
        </w:rPr>
        <w:t xml:space="preserve">models explored using </w:t>
      </w:r>
      <w:r w:rsidR="00C433BE" w:rsidRPr="009759D1">
        <w:rPr>
          <w:sz w:val="24"/>
          <w:szCs w:val="24"/>
        </w:rPr>
        <w:t>maximum</w:t>
      </w:r>
      <w:r w:rsidR="00070A13" w:rsidRPr="009759D1">
        <w:rPr>
          <w:sz w:val="24"/>
          <w:szCs w:val="24"/>
        </w:rPr>
        <w:t xml:space="preserve"> li</w:t>
      </w:r>
      <w:r w:rsidR="00B463F7" w:rsidRPr="009759D1">
        <w:rPr>
          <w:sz w:val="24"/>
          <w:szCs w:val="24"/>
        </w:rPr>
        <w:t xml:space="preserve">kelihood. The measures of fit chosen recognise that </w:t>
      </w:r>
      <w:r w:rsidR="00E34B35" w:rsidRPr="009759D1">
        <w:rPr>
          <w:sz w:val="24"/>
          <w:szCs w:val="24"/>
        </w:rPr>
        <w:t>models are only approximations and that perfect fit is</w:t>
      </w:r>
      <w:r w:rsidR="00B463F7" w:rsidRPr="009759D1">
        <w:rPr>
          <w:sz w:val="24"/>
          <w:szCs w:val="24"/>
        </w:rPr>
        <w:t>, therefore,</w:t>
      </w:r>
      <w:r w:rsidR="00E34B35" w:rsidRPr="009759D1">
        <w:rPr>
          <w:sz w:val="24"/>
          <w:szCs w:val="24"/>
        </w:rPr>
        <w:t xml:space="preserve"> highly unlikely (Hox and Bechger, 1999). The CFI (comparative fit index) is a </w:t>
      </w:r>
      <w:r w:rsidR="00C433BE" w:rsidRPr="009759D1">
        <w:rPr>
          <w:sz w:val="24"/>
          <w:szCs w:val="24"/>
        </w:rPr>
        <w:t>relative</w:t>
      </w:r>
      <w:r w:rsidR="00E34B35" w:rsidRPr="009759D1">
        <w:rPr>
          <w:sz w:val="24"/>
          <w:szCs w:val="24"/>
        </w:rPr>
        <w:t xml:space="preserve"> measure of fit assessing where the model is placed between the saturated model (max</w:t>
      </w:r>
      <w:r w:rsidR="00C433BE" w:rsidRPr="009759D1">
        <w:rPr>
          <w:sz w:val="24"/>
          <w:szCs w:val="24"/>
        </w:rPr>
        <w:t>imum fit) and the independence m</w:t>
      </w:r>
      <w:r w:rsidR="00E34B35" w:rsidRPr="009759D1">
        <w:rPr>
          <w:sz w:val="24"/>
          <w:szCs w:val="24"/>
        </w:rPr>
        <w:t>odel (maximum c</w:t>
      </w:r>
      <w:r w:rsidR="00C433BE" w:rsidRPr="009759D1">
        <w:rPr>
          <w:sz w:val="24"/>
          <w:szCs w:val="24"/>
        </w:rPr>
        <w:t>o</w:t>
      </w:r>
      <w:r w:rsidR="00E34B35" w:rsidRPr="009759D1">
        <w:rPr>
          <w:sz w:val="24"/>
          <w:szCs w:val="24"/>
        </w:rPr>
        <w:t>nstraints</w:t>
      </w:r>
      <w:r w:rsidR="00B463F7" w:rsidRPr="009759D1">
        <w:rPr>
          <w:sz w:val="24"/>
          <w:szCs w:val="24"/>
        </w:rPr>
        <w:t>) as well as taking in</w:t>
      </w:r>
      <w:r w:rsidR="00C433BE" w:rsidRPr="009759D1">
        <w:rPr>
          <w:sz w:val="24"/>
          <w:szCs w:val="24"/>
        </w:rPr>
        <w:t xml:space="preserve">to </w:t>
      </w:r>
      <w:r w:rsidR="00C433BE" w:rsidRPr="009759D1">
        <w:rPr>
          <w:sz w:val="24"/>
          <w:szCs w:val="24"/>
        </w:rPr>
        <w:lastRenderedPageBreak/>
        <w:t>account the degrees of freedom (Blunch, 2013). A model with good fit will have a CFI greater than 0.9. The RMSEA (root mean square error of approximation) is a ‘badness’ of fit measure which also allows for a measure of model parsimony. An RMSEA score of 0.</w:t>
      </w:r>
      <w:r w:rsidR="00C4500E" w:rsidRPr="009759D1">
        <w:rPr>
          <w:sz w:val="24"/>
          <w:szCs w:val="24"/>
        </w:rPr>
        <w:t>0</w:t>
      </w:r>
      <w:r w:rsidR="00C433BE" w:rsidRPr="009759D1">
        <w:rPr>
          <w:sz w:val="24"/>
          <w:szCs w:val="24"/>
        </w:rPr>
        <w:t xml:space="preserve">5 and below </w:t>
      </w:r>
      <w:r w:rsidR="00C4500E" w:rsidRPr="009759D1">
        <w:rPr>
          <w:sz w:val="24"/>
          <w:szCs w:val="24"/>
        </w:rPr>
        <w:t xml:space="preserve">is </w:t>
      </w:r>
      <w:r w:rsidR="00C433BE" w:rsidRPr="009759D1">
        <w:rPr>
          <w:sz w:val="24"/>
          <w:szCs w:val="24"/>
        </w:rPr>
        <w:t>considered a good fit and above 0.1 should be rejected (Mueller and Hancock,</w:t>
      </w:r>
      <w:r w:rsidR="00C4500E" w:rsidRPr="009759D1">
        <w:rPr>
          <w:sz w:val="24"/>
          <w:szCs w:val="24"/>
        </w:rPr>
        <w:t xml:space="preserve"> 2008</w:t>
      </w:r>
      <w:r w:rsidR="00C433BE" w:rsidRPr="009759D1">
        <w:rPr>
          <w:sz w:val="24"/>
          <w:szCs w:val="24"/>
        </w:rPr>
        <w:t>).</w:t>
      </w:r>
    </w:p>
    <w:p w:rsidR="001435D3" w:rsidRDefault="001435D3" w:rsidP="009759D1">
      <w:pPr>
        <w:spacing w:after="0" w:line="480" w:lineRule="auto"/>
        <w:rPr>
          <w:sz w:val="24"/>
          <w:szCs w:val="24"/>
        </w:rPr>
      </w:pPr>
    </w:p>
    <w:p w:rsidR="001435D3" w:rsidRDefault="001435D3" w:rsidP="009759D1">
      <w:pPr>
        <w:spacing w:after="0" w:line="480" w:lineRule="auto"/>
        <w:rPr>
          <w:sz w:val="24"/>
          <w:szCs w:val="24"/>
        </w:rPr>
      </w:pPr>
      <w:r>
        <w:rPr>
          <w:sz w:val="24"/>
          <w:szCs w:val="24"/>
        </w:rPr>
        <w:t>TABLE 4 ABOUT HERE</w:t>
      </w:r>
    </w:p>
    <w:p w:rsidR="005212CA" w:rsidRPr="009759D1" w:rsidRDefault="005212CA" w:rsidP="009759D1">
      <w:pPr>
        <w:spacing w:after="0" w:line="480" w:lineRule="auto"/>
        <w:rPr>
          <w:sz w:val="24"/>
          <w:szCs w:val="24"/>
        </w:rPr>
      </w:pPr>
    </w:p>
    <w:p w:rsidR="00AE65CD" w:rsidRDefault="00284AD4" w:rsidP="009759D1">
      <w:pPr>
        <w:spacing w:after="0" w:line="480" w:lineRule="auto"/>
        <w:outlineLvl w:val="4"/>
        <w:rPr>
          <w:sz w:val="24"/>
          <w:szCs w:val="24"/>
        </w:rPr>
      </w:pPr>
      <w:r w:rsidRPr="009759D1">
        <w:rPr>
          <w:rFonts w:eastAsia="Times New Roman" w:cstheme="minorHAnsi"/>
          <w:bCs/>
          <w:sz w:val="24"/>
          <w:szCs w:val="24"/>
        </w:rPr>
        <w:t>The process began with one factor (absorptive capacity) and all the remaining items (after removal of those with negative wording).   Reduction in the items based on the regression weights and square multiple correlations led to a revised model but with little improvement in fit</w:t>
      </w:r>
      <w:r w:rsidR="00373058">
        <w:rPr>
          <w:rFonts w:eastAsia="Times New Roman" w:cstheme="minorHAnsi"/>
          <w:bCs/>
          <w:sz w:val="24"/>
          <w:szCs w:val="24"/>
        </w:rPr>
        <w:t xml:space="preserve"> (</w:t>
      </w:r>
      <w:r w:rsidR="001435D3">
        <w:rPr>
          <w:rFonts w:eastAsia="Times New Roman" w:cstheme="minorHAnsi"/>
          <w:bCs/>
          <w:sz w:val="24"/>
          <w:szCs w:val="24"/>
        </w:rPr>
        <w:t xml:space="preserve">see </w:t>
      </w:r>
      <w:r w:rsidR="00373058">
        <w:rPr>
          <w:rFonts w:eastAsia="Times New Roman" w:cstheme="minorHAnsi"/>
          <w:bCs/>
          <w:sz w:val="24"/>
          <w:szCs w:val="24"/>
        </w:rPr>
        <w:t>Appendix 4)</w:t>
      </w:r>
      <w:r w:rsidRPr="009759D1">
        <w:rPr>
          <w:rFonts w:eastAsia="Times New Roman" w:cstheme="minorHAnsi"/>
          <w:bCs/>
          <w:sz w:val="24"/>
          <w:szCs w:val="24"/>
        </w:rPr>
        <w:t>. Next</w:t>
      </w:r>
      <w:r w:rsidR="00F33031">
        <w:rPr>
          <w:rFonts w:eastAsia="Times New Roman" w:cstheme="minorHAnsi"/>
          <w:bCs/>
          <w:sz w:val="24"/>
          <w:szCs w:val="24"/>
        </w:rPr>
        <w:t>,</w:t>
      </w:r>
      <w:r w:rsidRPr="009759D1">
        <w:rPr>
          <w:rFonts w:eastAsia="Times New Roman" w:cstheme="minorHAnsi"/>
          <w:bCs/>
          <w:sz w:val="24"/>
          <w:szCs w:val="24"/>
        </w:rPr>
        <w:t xml:space="preserve"> the four factor model was explored and a similar process of item removal followed. The estimated correlations between the four factors confirmed the need to explore a two factor model with </w:t>
      </w:r>
      <w:r w:rsidR="0057497D" w:rsidRPr="009759D1">
        <w:rPr>
          <w:rFonts w:eastAsia="Times New Roman" w:cstheme="minorHAnsi"/>
          <w:bCs/>
          <w:sz w:val="24"/>
          <w:szCs w:val="24"/>
        </w:rPr>
        <w:t>significantly</w:t>
      </w:r>
      <w:r w:rsidRPr="009759D1">
        <w:rPr>
          <w:rFonts w:eastAsia="Times New Roman" w:cstheme="minorHAnsi"/>
          <w:bCs/>
          <w:sz w:val="24"/>
          <w:szCs w:val="24"/>
        </w:rPr>
        <w:t xml:space="preserve"> h</w:t>
      </w:r>
      <w:r w:rsidR="0057497D" w:rsidRPr="009759D1">
        <w:rPr>
          <w:rFonts w:eastAsia="Times New Roman" w:cstheme="minorHAnsi"/>
          <w:bCs/>
          <w:sz w:val="24"/>
          <w:szCs w:val="24"/>
        </w:rPr>
        <w:t>i</w:t>
      </w:r>
      <w:r w:rsidRPr="009759D1">
        <w:rPr>
          <w:rFonts w:eastAsia="Times New Roman" w:cstheme="minorHAnsi"/>
          <w:bCs/>
          <w:sz w:val="24"/>
          <w:szCs w:val="24"/>
        </w:rPr>
        <w:t>g</w:t>
      </w:r>
      <w:r w:rsidR="0057497D" w:rsidRPr="009759D1">
        <w:rPr>
          <w:rFonts w:eastAsia="Times New Roman" w:cstheme="minorHAnsi"/>
          <w:bCs/>
          <w:sz w:val="24"/>
          <w:szCs w:val="24"/>
        </w:rPr>
        <w:t>h</w:t>
      </w:r>
      <w:r w:rsidRPr="009759D1">
        <w:rPr>
          <w:rFonts w:eastAsia="Times New Roman" w:cstheme="minorHAnsi"/>
          <w:bCs/>
          <w:sz w:val="24"/>
          <w:szCs w:val="24"/>
        </w:rPr>
        <w:t xml:space="preserve">er </w:t>
      </w:r>
      <w:r w:rsidR="0057497D" w:rsidRPr="009759D1">
        <w:rPr>
          <w:rFonts w:eastAsia="Times New Roman" w:cstheme="minorHAnsi"/>
          <w:bCs/>
          <w:sz w:val="24"/>
          <w:szCs w:val="24"/>
        </w:rPr>
        <w:t xml:space="preserve">correlations between the three factors, exploitation, assimilation and transformation (all above 0.78) and lower correlations between these and acquisition (all below 0.37). </w:t>
      </w:r>
      <w:r w:rsidR="001E3DCB" w:rsidRPr="009759D1">
        <w:rPr>
          <w:sz w:val="24"/>
          <w:szCs w:val="24"/>
        </w:rPr>
        <w:t>Although all correlations are significant (to be expected if they are components of the single concept absorptive capacity)</w:t>
      </w:r>
      <w:r w:rsidR="00373058">
        <w:rPr>
          <w:sz w:val="24"/>
          <w:szCs w:val="24"/>
        </w:rPr>
        <w:t>,</w:t>
      </w:r>
      <w:r w:rsidR="001E3DCB" w:rsidRPr="009759D1">
        <w:rPr>
          <w:sz w:val="24"/>
          <w:szCs w:val="24"/>
        </w:rPr>
        <w:t xml:space="preserve"> the correlations give some indication that ‘acquisition’ is a separate component whereas the other three may combine to a </w:t>
      </w:r>
      <w:r w:rsidR="0057497D" w:rsidRPr="009759D1">
        <w:rPr>
          <w:sz w:val="24"/>
          <w:szCs w:val="24"/>
        </w:rPr>
        <w:t xml:space="preserve">related but separate </w:t>
      </w:r>
      <w:r w:rsidR="001E3DCB" w:rsidRPr="009759D1">
        <w:rPr>
          <w:sz w:val="24"/>
          <w:szCs w:val="24"/>
        </w:rPr>
        <w:t>concept</w:t>
      </w:r>
      <w:r w:rsidR="00373058">
        <w:rPr>
          <w:sz w:val="24"/>
          <w:szCs w:val="24"/>
        </w:rPr>
        <w:t xml:space="preserve"> (</w:t>
      </w:r>
      <w:r w:rsidR="001435D3">
        <w:rPr>
          <w:sz w:val="24"/>
          <w:szCs w:val="24"/>
        </w:rPr>
        <w:t xml:space="preserve">see </w:t>
      </w:r>
      <w:r w:rsidR="00373058">
        <w:rPr>
          <w:sz w:val="24"/>
          <w:szCs w:val="24"/>
        </w:rPr>
        <w:t>Appendix 5)</w:t>
      </w:r>
      <w:r w:rsidR="001E3DCB" w:rsidRPr="009759D1">
        <w:rPr>
          <w:sz w:val="24"/>
          <w:szCs w:val="24"/>
        </w:rPr>
        <w:t>.</w:t>
      </w:r>
    </w:p>
    <w:p w:rsidR="001435D3" w:rsidRPr="009759D1" w:rsidRDefault="001435D3" w:rsidP="009759D1">
      <w:pPr>
        <w:spacing w:after="0" w:line="480" w:lineRule="auto"/>
        <w:outlineLvl w:val="4"/>
        <w:rPr>
          <w:sz w:val="24"/>
          <w:szCs w:val="24"/>
        </w:rPr>
      </w:pPr>
    </w:p>
    <w:p w:rsidR="0036367F" w:rsidRDefault="001E3DCB" w:rsidP="009759D1">
      <w:pPr>
        <w:spacing w:after="0" w:line="480" w:lineRule="auto"/>
        <w:rPr>
          <w:sz w:val="24"/>
          <w:szCs w:val="24"/>
        </w:rPr>
      </w:pPr>
      <w:r w:rsidRPr="009759D1">
        <w:rPr>
          <w:sz w:val="24"/>
          <w:szCs w:val="24"/>
        </w:rPr>
        <w:t>This</w:t>
      </w:r>
      <w:r w:rsidR="0057497D" w:rsidRPr="009759D1">
        <w:rPr>
          <w:sz w:val="24"/>
          <w:szCs w:val="24"/>
        </w:rPr>
        <w:t xml:space="preserve"> further confirmed</w:t>
      </w:r>
      <w:r w:rsidRPr="009759D1">
        <w:rPr>
          <w:sz w:val="24"/>
          <w:szCs w:val="24"/>
        </w:rPr>
        <w:t xml:space="preserve"> the findings from the </w:t>
      </w:r>
      <w:r w:rsidR="0057497D" w:rsidRPr="009759D1">
        <w:rPr>
          <w:sz w:val="24"/>
          <w:szCs w:val="24"/>
        </w:rPr>
        <w:t xml:space="preserve">exploratory </w:t>
      </w:r>
      <w:r w:rsidRPr="009759D1">
        <w:rPr>
          <w:sz w:val="24"/>
          <w:szCs w:val="24"/>
        </w:rPr>
        <w:t>factor analysis and suggest</w:t>
      </w:r>
      <w:r w:rsidR="0057497D" w:rsidRPr="009759D1">
        <w:rPr>
          <w:sz w:val="24"/>
          <w:szCs w:val="24"/>
        </w:rPr>
        <w:t>ed</w:t>
      </w:r>
      <w:r w:rsidRPr="009759D1">
        <w:rPr>
          <w:sz w:val="24"/>
          <w:szCs w:val="24"/>
        </w:rPr>
        <w:t xml:space="preserve"> trial of a two factor model.</w:t>
      </w:r>
      <w:r w:rsidR="00B463F7" w:rsidRPr="009759D1">
        <w:rPr>
          <w:sz w:val="24"/>
          <w:szCs w:val="24"/>
        </w:rPr>
        <w:t xml:space="preserve">  </w:t>
      </w:r>
      <w:r w:rsidR="0057497D" w:rsidRPr="009759D1">
        <w:rPr>
          <w:rFonts w:eastAsia="Times New Roman" w:cstheme="minorHAnsi"/>
          <w:bCs/>
          <w:sz w:val="24"/>
          <w:szCs w:val="24"/>
        </w:rPr>
        <w:t>T</w:t>
      </w:r>
      <w:r w:rsidR="00284AD4" w:rsidRPr="009759D1">
        <w:rPr>
          <w:rFonts w:eastAsia="Times New Roman" w:cstheme="minorHAnsi"/>
          <w:bCs/>
          <w:sz w:val="24"/>
          <w:szCs w:val="24"/>
        </w:rPr>
        <w:t>he hypothesised two factor model was</w:t>
      </w:r>
      <w:r w:rsidR="0057497D" w:rsidRPr="009759D1">
        <w:rPr>
          <w:rFonts w:eastAsia="Times New Roman" w:cstheme="minorHAnsi"/>
          <w:bCs/>
          <w:sz w:val="24"/>
          <w:szCs w:val="24"/>
        </w:rPr>
        <w:t xml:space="preserve"> tested and</w:t>
      </w:r>
      <w:r w:rsidR="00373058">
        <w:rPr>
          <w:rFonts w:eastAsia="Times New Roman" w:cstheme="minorHAnsi"/>
          <w:bCs/>
          <w:sz w:val="24"/>
          <w:szCs w:val="24"/>
        </w:rPr>
        <w:t>,</w:t>
      </w:r>
      <w:r w:rsidR="0057497D" w:rsidRPr="009759D1">
        <w:rPr>
          <w:rFonts w:eastAsia="Times New Roman" w:cstheme="minorHAnsi"/>
          <w:bCs/>
          <w:sz w:val="24"/>
          <w:szCs w:val="24"/>
        </w:rPr>
        <w:t xml:space="preserve"> w</w:t>
      </w:r>
      <w:r w:rsidR="00284AD4" w:rsidRPr="009759D1">
        <w:rPr>
          <w:rFonts w:eastAsia="Times New Roman" w:cstheme="minorHAnsi"/>
          <w:bCs/>
          <w:sz w:val="24"/>
          <w:szCs w:val="24"/>
        </w:rPr>
        <w:t>ith item reduction</w:t>
      </w:r>
      <w:r w:rsidR="00373058">
        <w:rPr>
          <w:rFonts w:eastAsia="Times New Roman" w:cstheme="minorHAnsi"/>
          <w:bCs/>
          <w:sz w:val="24"/>
          <w:szCs w:val="24"/>
        </w:rPr>
        <w:t>,</w:t>
      </w:r>
      <w:r w:rsidR="00284AD4" w:rsidRPr="009759D1">
        <w:rPr>
          <w:rFonts w:eastAsia="Times New Roman" w:cstheme="minorHAnsi"/>
          <w:bCs/>
          <w:sz w:val="24"/>
          <w:szCs w:val="24"/>
        </w:rPr>
        <w:t xml:space="preserve"> the best fitting model had fifteen items </w:t>
      </w:r>
      <w:r w:rsidR="0057497D" w:rsidRPr="009759D1">
        <w:rPr>
          <w:rFonts w:eastAsia="Times New Roman" w:cstheme="minorHAnsi"/>
          <w:bCs/>
          <w:sz w:val="24"/>
          <w:szCs w:val="24"/>
        </w:rPr>
        <w:t>which</w:t>
      </w:r>
      <w:r w:rsidR="00284AD4" w:rsidRPr="009759D1">
        <w:rPr>
          <w:rFonts w:eastAsia="Times New Roman" w:cstheme="minorHAnsi"/>
          <w:bCs/>
          <w:sz w:val="24"/>
          <w:szCs w:val="24"/>
        </w:rPr>
        <w:t xml:space="preserve"> loaded significantly on the two factors</w:t>
      </w:r>
      <w:r w:rsidR="00373058">
        <w:rPr>
          <w:rFonts w:eastAsia="Times New Roman" w:cstheme="minorHAnsi"/>
          <w:bCs/>
          <w:sz w:val="24"/>
          <w:szCs w:val="24"/>
        </w:rPr>
        <w:t xml:space="preserve"> (see Table 3 and Appendix 6</w:t>
      </w:r>
      <w:r w:rsidR="0014603D" w:rsidRPr="009759D1">
        <w:rPr>
          <w:rFonts w:eastAsia="Times New Roman" w:cstheme="minorHAnsi"/>
          <w:bCs/>
          <w:sz w:val="24"/>
          <w:szCs w:val="24"/>
        </w:rPr>
        <w:t>)</w:t>
      </w:r>
      <w:r w:rsidR="00284AD4" w:rsidRPr="009759D1">
        <w:rPr>
          <w:rFonts w:eastAsia="Times New Roman" w:cstheme="minorHAnsi"/>
          <w:bCs/>
          <w:sz w:val="24"/>
          <w:szCs w:val="24"/>
        </w:rPr>
        <w:t>. Further item reduction did not improve the model fit</w:t>
      </w:r>
      <w:r w:rsidR="00284AD4" w:rsidRPr="009759D1">
        <w:rPr>
          <w:rFonts w:eastAsia="Times New Roman" w:cs="Times New Roman"/>
          <w:bCs/>
          <w:sz w:val="24"/>
          <w:szCs w:val="24"/>
        </w:rPr>
        <w:t xml:space="preserve">. </w:t>
      </w:r>
      <w:r w:rsidR="0036367F" w:rsidRPr="009759D1">
        <w:rPr>
          <w:rFonts w:eastAsia="Times New Roman" w:cs="Times New Roman"/>
          <w:bCs/>
          <w:sz w:val="24"/>
          <w:szCs w:val="24"/>
        </w:rPr>
        <w:lastRenderedPageBreak/>
        <w:t xml:space="preserve">Although the CFI is not at the level of ‘good fit (0.95) it is close to an acceptable 0.90 and the RMSEA </w:t>
      </w:r>
      <w:r w:rsidR="0014603D" w:rsidRPr="009759D1">
        <w:rPr>
          <w:rFonts w:eastAsia="Times New Roman" w:cs="Times New Roman"/>
          <w:bCs/>
          <w:sz w:val="24"/>
          <w:szCs w:val="24"/>
        </w:rPr>
        <w:t>measure</w:t>
      </w:r>
      <w:r w:rsidR="0036367F" w:rsidRPr="009759D1">
        <w:rPr>
          <w:rFonts w:eastAsia="Times New Roman" w:cs="Times New Roman"/>
          <w:bCs/>
          <w:sz w:val="24"/>
          <w:szCs w:val="24"/>
        </w:rPr>
        <w:t xml:space="preserve"> is below the reject level of 0.1 although not at a good fit level of 0.</w:t>
      </w:r>
      <w:r w:rsidR="00084BC2">
        <w:rPr>
          <w:rFonts w:eastAsia="Times New Roman" w:cs="Times New Roman"/>
          <w:bCs/>
          <w:sz w:val="24"/>
          <w:szCs w:val="24"/>
        </w:rPr>
        <w:t>0</w:t>
      </w:r>
      <w:r w:rsidR="0036367F" w:rsidRPr="009759D1">
        <w:rPr>
          <w:rFonts w:eastAsia="Times New Roman" w:cs="Times New Roman"/>
          <w:bCs/>
          <w:sz w:val="24"/>
          <w:szCs w:val="24"/>
        </w:rPr>
        <w:t>5.</w:t>
      </w:r>
      <w:r w:rsidR="0036367F" w:rsidRPr="009759D1">
        <w:rPr>
          <w:sz w:val="24"/>
          <w:szCs w:val="24"/>
        </w:rPr>
        <w:t xml:space="preserve"> Using SPSS to check the resulting items in the scale for reliability gives Cronbach’s alpha of 0.887 which suggests </w:t>
      </w:r>
      <w:r w:rsidR="0014603D" w:rsidRPr="009759D1">
        <w:rPr>
          <w:sz w:val="24"/>
          <w:szCs w:val="24"/>
        </w:rPr>
        <w:t xml:space="preserve">acceptable </w:t>
      </w:r>
      <w:r w:rsidR="0036367F" w:rsidRPr="009759D1">
        <w:rPr>
          <w:sz w:val="24"/>
          <w:szCs w:val="24"/>
        </w:rPr>
        <w:t>reliability. The value of the scale is</w:t>
      </w:r>
      <w:r w:rsidR="00B463F7" w:rsidRPr="009759D1">
        <w:rPr>
          <w:sz w:val="24"/>
          <w:szCs w:val="24"/>
        </w:rPr>
        <w:t>,</w:t>
      </w:r>
      <w:r w:rsidR="0036367F" w:rsidRPr="009759D1">
        <w:rPr>
          <w:sz w:val="24"/>
          <w:szCs w:val="24"/>
        </w:rPr>
        <w:t xml:space="preserve"> therefore</w:t>
      </w:r>
      <w:r w:rsidR="00B463F7" w:rsidRPr="009759D1">
        <w:rPr>
          <w:sz w:val="24"/>
          <w:szCs w:val="24"/>
        </w:rPr>
        <w:t>,</w:t>
      </w:r>
      <w:r w:rsidR="0036367F" w:rsidRPr="009759D1">
        <w:rPr>
          <w:sz w:val="24"/>
          <w:szCs w:val="24"/>
        </w:rPr>
        <w:t xml:space="preserve"> worth pursuing</w:t>
      </w:r>
      <w:r w:rsidR="00B463F7" w:rsidRPr="009759D1">
        <w:rPr>
          <w:sz w:val="24"/>
          <w:szCs w:val="24"/>
        </w:rPr>
        <w:t>;</w:t>
      </w:r>
      <w:r w:rsidR="00373058">
        <w:rPr>
          <w:sz w:val="24"/>
          <w:szCs w:val="24"/>
        </w:rPr>
        <w:t xml:space="preserve"> </w:t>
      </w:r>
      <w:r w:rsidR="0036367F" w:rsidRPr="009759D1">
        <w:rPr>
          <w:sz w:val="24"/>
          <w:szCs w:val="24"/>
        </w:rPr>
        <w:t>although far from perfect</w:t>
      </w:r>
      <w:r w:rsidR="003506ED" w:rsidRPr="009759D1">
        <w:rPr>
          <w:sz w:val="24"/>
          <w:szCs w:val="24"/>
        </w:rPr>
        <w:t>,</w:t>
      </w:r>
      <w:r w:rsidR="0036367F" w:rsidRPr="009759D1">
        <w:rPr>
          <w:sz w:val="24"/>
          <w:szCs w:val="24"/>
        </w:rPr>
        <w:t xml:space="preserve"> it appears to have some potential for assessing the absorptive </w:t>
      </w:r>
      <w:r w:rsidR="0014603D" w:rsidRPr="009759D1">
        <w:rPr>
          <w:sz w:val="24"/>
          <w:szCs w:val="24"/>
        </w:rPr>
        <w:t>capacity</w:t>
      </w:r>
      <w:r w:rsidR="0036367F" w:rsidRPr="009759D1">
        <w:rPr>
          <w:sz w:val="24"/>
          <w:szCs w:val="24"/>
        </w:rPr>
        <w:t xml:space="preserve"> </w:t>
      </w:r>
      <w:r w:rsidR="0014603D" w:rsidRPr="009759D1">
        <w:rPr>
          <w:sz w:val="24"/>
          <w:szCs w:val="24"/>
        </w:rPr>
        <w:t>construct</w:t>
      </w:r>
      <w:r w:rsidR="003506ED" w:rsidRPr="009759D1">
        <w:rPr>
          <w:sz w:val="24"/>
          <w:szCs w:val="24"/>
        </w:rPr>
        <w:t xml:space="preserve"> in hotels</w:t>
      </w:r>
      <w:r w:rsidR="0036367F" w:rsidRPr="009759D1">
        <w:rPr>
          <w:sz w:val="24"/>
          <w:szCs w:val="24"/>
        </w:rPr>
        <w:t>.</w:t>
      </w:r>
    </w:p>
    <w:p w:rsidR="001435D3" w:rsidRDefault="001435D3" w:rsidP="009759D1">
      <w:pPr>
        <w:spacing w:after="0" w:line="480" w:lineRule="auto"/>
        <w:rPr>
          <w:sz w:val="24"/>
          <w:szCs w:val="24"/>
        </w:rPr>
      </w:pPr>
    </w:p>
    <w:p w:rsidR="001435D3" w:rsidRDefault="001435D3" w:rsidP="009759D1">
      <w:pPr>
        <w:spacing w:after="0" w:line="480" w:lineRule="auto"/>
        <w:rPr>
          <w:sz w:val="24"/>
          <w:szCs w:val="24"/>
        </w:rPr>
      </w:pPr>
      <w:r>
        <w:rPr>
          <w:sz w:val="24"/>
          <w:szCs w:val="24"/>
        </w:rPr>
        <w:t>TABLE 5 ABOUT HERE</w:t>
      </w:r>
    </w:p>
    <w:p w:rsidR="001E3DCB" w:rsidRDefault="001E3DCB" w:rsidP="003F70B9"/>
    <w:p w:rsidR="00E924A7" w:rsidRDefault="00C01C0B" w:rsidP="009759D1">
      <w:pPr>
        <w:spacing w:after="0" w:line="480" w:lineRule="auto"/>
        <w:rPr>
          <w:sz w:val="24"/>
          <w:szCs w:val="24"/>
        </w:rPr>
      </w:pPr>
      <w:r w:rsidRPr="009759D1">
        <w:rPr>
          <w:sz w:val="24"/>
          <w:szCs w:val="24"/>
        </w:rPr>
        <w:t>A consideration of each item shows that the factor ‘a</w:t>
      </w:r>
      <w:r w:rsidR="00AF70DA" w:rsidRPr="009759D1">
        <w:rPr>
          <w:sz w:val="24"/>
          <w:szCs w:val="24"/>
        </w:rPr>
        <w:t>cquire</w:t>
      </w:r>
      <w:r w:rsidRPr="009759D1">
        <w:rPr>
          <w:sz w:val="24"/>
          <w:szCs w:val="24"/>
        </w:rPr>
        <w:t>’</w:t>
      </w:r>
      <w:r w:rsidR="00AF70DA" w:rsidRPr="009759D1">
        <w:rPr>
          <w:sz w:val="24"/>
          <w:szCs w:val="24"/>
        </w:rPr>
        <w:t xml:space="preserve"> is </w:t>
      </w:r>
      <w:r w:rsidR="00E924A7">
        <w:rPr>
          <w:sz w:val="24"/>
          <w:szCs w:val="24"/>
        </w:rPr>
        <w:t xml:space="preserve">comprised of items that emphasise knowledge acquisition via personal relationships (an issue identified by others in different contexts e.g.  Inkpen and </w:t>
      </w:r>
      <w:r w:rsidR="00E924A7" w:rsidRPr="00E924A7">
        <w:rPr>
          <w:sz w:val="24"/>
          <w:szCs w:val="24"/>
        </w:rPr>
        <w:t>Tsang</w:t>
      </w:r>
      <w:r w:rsidR="00E924A7">
        <w:rPr>
          <w:sz w:val="24"/>
          <w:szCs w:val="24"/>
        </w:rPr>
        <w:t>, 2005; Thomas, 2012).  In this light, it is appropriate to re-conceptualise absorptive capacity in a manner that separates the acquisition of knowledge from its use.  This will be undertaken following a discussion of the value of the refined instrument and its limitations.</w:t>
      </w:r>
    </w:p>
    <w:p w:rsidR="002A2096" w:rsidRDefault="002A2096" w:rsidP="009759D1">
      <w:pPr>
        <w:spacing w:after="0" w:line="480" w:lineRule="auto"/>
        <w:rPr>
          <w:sz w:val="24"/>
          <w:szCs w:val="24"/>
        </w:rPr>
      </w:pPr>
    </w:p>
    <w:p w:rsidR="00885029" w:rsidRPr="009759D1" w:rsidRDefault="0057497D" w:rsidP="009759D1">
      <w:pPr>
        <w:spacing w:after="0" w:line="480" w:lineRule="auto"/>
        <w:rPr>
          <w:sz w:val="24"/>
          <w:szCs w:val="24"/>
        </w:rPr>
      </w:pPr>
      <w:r w:rsidRPr="009759D1">
        <w:rPr>
          <w:sz w:val="24"/>
          <w:szCs w:val="24"/>
        </w:rPr>
        <w:t>Although the</w:t>
      </w:r>
      <w:r w:rsidR="009D2F28" w:rsidRPr="009759D1">
        <w:rPr>
          <w:sz w:val="24"/>
          <w:szCs w:val="24"/>
        </w:rPr>
        <w:t xml:space="preserve"> </w:t>
      </w:r>
      <w:r w:rsidR="002A2096">
        <w:rPr>
          <w:sz w:val="24"/>
          <w:szCs w:val="24"/>
        </w:rPr>
        <w:t xml:space="preserve">revised </w:t>
      </w:r>
      <w:r w:rsidR="009D2F28" w:rsidRPr="009759D1">
        <w:rPr>
          <w:sz w:val="24"/>
          <w:szCs w:val="24"/>
        </w:rPr>
        <w:t>s</w:t>
      </w:r>
      <w:r w:rsidRPr="009759D1">
        <w:rPr>
          <w:sz w:val="24"/>
          <w:szCs w:val="24"/>
        </w:rPr>
        <w:t>c</w:t>
      </w:r>
      <w:r w:rsidR="009D2F28" w:rsidRPr="009759D1">
        <w:rPr>
          <w:sz w:val="24"/>
          <w:szCs w:val="24"/>
        </w:rPr>
        <w:t>a</w:t>
      </w:r>
      <w:r w:rsidRPr="009759D1">
        <w:rPr>
          <w:sz w:val="24"/>
          <w:szCs w:val="24"/>
        </w:rPr>
        <w:t>l</w:t>
      </w:r>
      <w:r w:rsidR="009D2F28" w:rsidRPr="009759D1">
        <w:rPr>
          <w:sz w:val="24"/>
          <w:szCs w:val="24"/>
        </w:rPr>
        <w:t>e</w:t>
      </w:r>
      <w:r w:rsidRPr="009759D1">
        <w:rPr>
          <w:sz w:val="24"/>
          <w:szCs w:val="24"/>
        </w:rPr>
        <w:t xml:space="preserve"> has an acceptable measure of reliability (Cronbach’s alpha) </w:t>
      </w:r>
      <w:r w:rsidR="00885029" w:rsidRPr="009759D1">
        <w:rPr>
          <w:sz w:val="24"/>
          <w:szCs w:val="24"/>
        </w:rPr>
        <w:t xml:space="preserve">exploration through SEM confirmatory factor analysis has shown that </w:t>
      </w:r>
      <w:r w:rsidR="0063153A" w:rsidRPr="009759D1">
        <w:rPr>
          <w:sz w:val="24"/>
          <w:szCs w:val="24"/>
        </w:rPr>
        <w:t xml:space="preserve">it is far from a perfect fit with </w:t>
      </w:r>
      <w:r w:rsidR="004317B4" w:rsidRPr="009759D1">
        <w:rPr>
          <w:sz w:val="24"/>
          <w:szCs w:val="24"/>
        </w:rPr>
        <w:t>t</w:t>
      </w:r>
      <w:r w:rsidR="0063153A" w:rsidRPr="009759D1">
        <w:rPr>
          <w:sz w:val="24"/>
          <w:szCs w:val="24"/>
        </w:rPr>
        <w:t>he data. In assessing the criterion validity of the final fifteen item scale</w:t>
      </w:r>
      <w:r w:rsidR="003506ED" w:rsidRPr="009759D1">
        <w:rPr>
          <w:sz w:val="24"/>
          <w:szCs w:val="24"/>
        </w:rPr>
        <w:t>,</w:t>
      </w:r>
      <w:r w:rsidR="0063153A" w:rsidRPr="009759D1">
        <w:rPr>
          <w:sz w:val="24"/>
          <w:szCs w:val="24"/>
        </w:rPr>
        <w:t xml:space="preserve"> two summated measures were created using the mean score of the items related </w:t>
      </w:r>
      <w:r w:rsidR="002A2096">
        <w:rPr>
          <w:sz w:val="24"/>
          <w:szCs w:val="24"/>
        </w:rPr>
        <w:t>to ‘u</w:t>
      </w:r>
      <w:r w:rsidR="0063153A" w:rsidRPr="009759D1">
        <w:rPr>
          <w:sz w:val="24"/>
          <w:szCs w:val="24"/>
        </w:rPr>
        <w:t>se’ and the s</w:t>
      </w:r>
      <w:r w:rsidR="002A2096">
        <w:rPr>
          <w:sz w:val="24"/>
          <w:szCs w:val="24"/>
        </w:rPr>
        <w:t>ame for those indicating ‘acquire</w:t>
      </w:r>
      <w:r w:rsidR="0063153A" w:rsidRPr="009759D1">
        <w:rPr>
          <w:sz w:val="24"/>
          <w:szCs w:val="24"/>
        </w:rPr>
        <w:t>’. These scores were then correlated against the more dire</w:t>
      </w:r>
      <w:r w:rsidR="004317B4" w:rsidRPr="009759D1">
        <w:rPr>
          <w:sz w:val="24"/>
          <w:szCs w:val="24"/>
        </w:rPr>
        <w:t>ct measures asked in the survey. These were</w:t>
      </w:r>
      <w:r w:rsidR="0063153A" w:rsidRPr="009759D1">
        <w:rPr>
          <w:sz w:val="24"/>
          <w:szCs w:val="24"/>
        </w:rPr>
        <w:t xml:space="preserve"> </w:t>
      </w:r>
      <w:r w:rsidR="004317B4" w:rsidRPr="009759D1">
        <w:rPr>
          <w:sz w:val="24"/>
          <w:szCs w:val="24"/>
        </w:rPr>
        <w:t>‘</w:t>
      </w:r>
      <w:r w:rsidR="002A2096">
        <w:rPr>
          <w:sz w:val="24"/>
          <w:szCs w:val="24"/>
        </w:rPr>
        <w:t>H</w:t>
      </w:r>
      <w:r w:rsidR="0063153A" w:rsidRPr="009759D1">
        <w:rPr>
          <w:sz w:val="24"/>
          <w:szCs w:val="24"/>
        </w:rPr>
        <w:t>ow many organisations does your organisation learn from</w:t>
      </w:r>
      <w:r w:rsidR="002A2096">
        <w:rPr>
          <w:sz w:val="24"/>
          <w:szCs w:val="24"/>
        </w:rPr>
        <w:t>?</w:t>
      </w:r>
      <w:r w:rsidR="0063153A" w:rsidRPr="009759D1">
        <w:rPr>
          <w:sz w:val="24"/>
          <w:szCs w:val="24"/>
        </w:rPr>
        <w:t xml:space="preserve">’; </w:t>
      </w:r>
      <w:r w:rsidR="004317B4" w:rsidRPr="009759D1">
        <w:rPr>
          <w:sz w:val="24"/>
          <w:szCs w:val="24"/>
        </w:rPr>
        <w:t>‘</w:t>
      </w:r>
      <w:r w:rsidR="002A2096">
        <w:rPr>
          <w:sz w:val="24"/>
          <w:szCs w:val="24"/>
        </w:rPr>
        <w:t>H</w:t>
      </w:r>
      <w:r w:rsidR="0063153A" w:rsidRPr="009759D1">
        <w:rPr>
          <w:sz w:val="24"/>
          <w:szCs w:val="24"/>
        </w:rPr>
        <w:t>ow do you rate your organisation’s ability to acquire and assimilate knowledge</w:t>
      </w:r>
      <w:r w:rsidR="002A2096">
        <w:rPr>
          <w:sz w:val="24"/>
          <w:szCs w:val="24"/>
        </w:rPr>
        <w:t>?</w:t>
      </w:r>
      <w:r w:rsidR="004317B4" w:rsidRPr="009759D1">
        <w:rPr>
          <w:sz w:val="24"/>
          <w:szCs w:val="24"/>
        </w:rPr>
        <w:t>’</w:t>
      </w:r>
      <w:r w:rsidR="002A2096">
        <w:rPr>
          <w:sz w:val="24"/>
          <w:szCs w:val="24"/>
        </w:rPr>
        <w:t xml:space="preserve"> (potential) and ‘H</w:t>
      </w:r>
      <w:r w:rsidR="0063153A" w:rsidRPr="009759D1">
        <w:rPr>
          <w:sz w:val="24"/>
          <w:szCs w:val="24"/>
        </w:rPr>
        <w:t xml:space="preserve">ow do you rate your firm’s ability to transform and </w:t>
      </w:r>
      <w:r w:rsidR="0063153A" w:rsidRPr="009759D1">
        <w:rPr>
          <w:sz w:val="24"/>
          <w:szCs w:val="24"/>
        </w:rPr>
        <w:lastRenderedPageBreak/>
        <w:t>exploit knowledge</w:t>
      </w:r>
      <w:r w:rsidR="002A2096">
        <w:rPr>
          <w:sz w:val="24"/>
          <w:szCs w:val="24"/>
        </w:rPr>
        <w:t>?</w:t>
      </w:r>
      <w:r w:rsidR="0063153A" w:rsidRPr="009759D1">
        <w:rPr>
          <w:sz w:val="24"/>
          <w:szCs w:val="24"/>
        </w:rPr>
        <w:t>’</w:t>
      </w:r>
      <w:r w:rsidR="004317B4" w:rsidRPr="009759D1">
        <w:rPr>
          <w:sz w:val="24"/>
          <w:szCs w:val="24"/>
        </w:rPr>
        <w:t xml:space="preserve"> (realised</w:t>
      </w:r>
      <w:r w:rsidR="0063153A" w:rsidRPr="009759D1">
        <w:rPr>
          <w:sz w:val="24"/>
          <w:szCs w:val="24"/>
        </w:rPr>
        <w:t>). The results of these correl</w:t>
      </w:r>
      <w:r w:rsidR="001435D3">
        <w:rPr>
          <w:sz w:val="24"/>
          <w:szCs w:val="24"/>
        </w:rPr>
        <w:t>ations are given in Table 6</w:t>
      </w:r>
      <w:r w:rsidR="003506ED" w:rsidRPr="009759D1">
        <w:rPr>
          <w:sz w:val="24"/>
          <w:szCs w:val="24"/>
        </w:rPr>
        <w:t xml:space="preserve">. </w:t>
      </w:r>
      <w:r w:rsidR="002A2096">
        <w:rPr>
          <w:sz w:val="24"/>
          <w:szCs w:val="24"/>
        </w:rPr>
        <w:t xml:space="preserve"> </w:t>
      </w:r>
      <w:r w:rsidR="003506ED" w:rsidRPr="009759D1">
        <w:rPr>
          <w:sz w:val="24"/>
          <w:szCs w:val="24"/>
        </w:rPr>
        <w:t>A</w:t>
      </w:r>
      <w:r w:rsidR="0063153A" w:rsidRPr="009759D1">
        <w:rPr>
          <w:sz w:val="24"/>
          <w:szCs w:val="24"/>
        </w:rPr>
        <w:t>gain</w:t>
      </w:r>
      <w:r w:rsidR="003506ED" w:rsidRPr="009759D1">
        <w:rPr>
          <w:sz w:val="24"/>
          <w:szCs w:val="24"/>
        </w:rPr>
        <w:t>,</w:t>
      </w:r>
      <w:r w:rsidR="0063153A" w:rsidRPr="009759D1">
        <w:rPr>
          <w:sz w:val="24"/>
          <w:szCs w:val="24"/>
        </w:rPr>
        <w:t xml:space="preserve"> </w:t>
      </w:r>
      <w:r w:rsidR="002A2096">
        <w:rPr>
          <w:sz w:val="24"/>
          <w:szCs w:val="24"/>
        </w:rPr>
        <w:t>we can see that ‘acquire</w:t>
      </w:r>
      <w:r w:rsidR="0063153A" w:rsidRPr="009759D1">
        <w:rPr>
          <w:sz w:val="24"/>
          <w:szCs w:val="24"/>
        </w:rPr>
        <w:t xml:space="preserve">’ is </w:t>
      </w:r>
      <w:r w:rsidR="004317B4" w:rsidRPr="009759D1">
        <w:rPr>
          <w:sz w:val="24"/>
          <w:szCs w:val="24"/>
        </w:rPr>
        <w:t>connected</w:t>
      </w:r>
      <w:r w:rsidR="0063153A" w:rsidRPr="009759D1">
        <w:rPr>
          <w:sz w:val="24"/>
          <w:szCs w:val="24"/>
        </w:rPr>
        <w:t xml:space="preserve"> with external organisations and less </w:t>
      </w:r>
      <w:r w:rsidR="002A2096">
        <w:rPr>
          <w:sz w:val="24"/>
          <w:szCs w:val="24"/>
        </w:rPr>
        <w:t>with the firm’s internal abilities</w:t>
      </w:r>
      <w:r w:rsidR="0063153A" w:rsidRPr="009759D1">
        <w:rPr>
          <w:sz w:val="24"/>
          <w:szCs w:val="24"/>
        </w:rPr>
        <w:t xml:space="preserve">. ‘Use’ correlates well with the more direct question </w:t>
      </w:r>
      <w:r w:rsidR="004317B4" w:rsidRPr="009759D1">
        <w:rPr>
          <w:sz w:val="24"/>
          <w:szCs w:val="24"/>
        </w:rPr>
        <w:t>responses</w:t>
      </w:r>
      <w:r w:rsidR="0063153A" w:rsidRPr="009759D1">
        <w:rPr>
          <w:sz w:val="24"/>
          <w:szCs w:val="24"/>
        </w:rPr>
        <w:t xml:space="preserve"> in both the potential and realised absorptive capacity realms. There is also a significant </w:t>
      </w:r>
      <w:r w:rsidR="004317B4" w:rsidRPr="009759D1">
        <w:rPr>
          <w:sz w:val="24"/>
          <w:szCs w:val="24"/>
        </w:rPr>
        <w:t>correlation</w:t>
      </w:r>
      <w:r w:rsidR="00F27099">
        <w:rPr>
          <w:sz w:val="24"/>
          <w:szCs w:val="24"/>
        </w:rPr>
        <w:t xml:space="preserve"> between ‘acquire</w:t>
      </w:r>
      <w:r w:rsidR="0063153A" w:rsidRPr="009759D1">
        <w:rPr>
          <w:sz w:val="24"/>
          <w:szCs w:val="24"/>
        </w:rPr>
        <w:t xml:space="preserve">’ and ‘use’. There is some evidence for </w:t>
      </w:r>
      <w:r w:rsidR="004317B4" w:rsidRPr="009759D1">
        <w:rPr>
          <w:sz w:val="24"/>
          <w:szCs w:val="24"/>
        </w:rPr>
        <w:t>c</w:t>
      </w:r>
      <w:r w:rsidR="002A2096">
        <w:rPr>
          <w:sz w:val="24"/>
          <w:szCs w:val="24"/>
        </w:rPr>
        <w:t xml:space="preserve">riterion validity </w:t>
      </w:r>
      <w:r w:rsidR="0063153A" w:rsidRPr="009759D1">
        <w:rPr>
          <w:sz w:val="24"/>
          <w:szCs w:val="24"/>
        </w:rPr>
        <w:t>and fu</w:t>
      </w:r>
      <w:r w:rsidR="004317B4" w:rsidRPr="009759D1">
        <w:rPr>
          <w:sz w:val="24"/>
          <w:szCs w:val="24"/>
        </w:rPr>
        <w:t>r</w:t>
      </w:r>
      <w:r w:rsidR="0063153A" w:rsidRPr="009759D1">
        <w:rPr>
          <w:sz w:val="24"/>
          <w:szCs w:val="24"/>
        </w:rPr>
        <w:t>ther evidence of the appropriateness of the two fa</w:t>
      </w:r>
      <w:r w:rsidR="004317B4" w:rsidRPr="009759D1">
        <w:rPr>
          <w:sz w:val="24"/>
          <w:szCs w:val="24"/>
        </w:rPr>
        <w:t>c</w:t>
      </w:r>
      <w:r w:rsidR="0063153A" w:rsidRPr="009759D1">
        <w:rPr>
          <w:sz w:val="24"/>
          <w:szCs w:val="24"/>
        </w:rPr>
        <w:t>tors.</w:t>
      </w:r>
    </w:p>
    <w:p w:rsidR="003506ED" w:rsidRDefault="003506ED" w:rsidP="003506ED"/>
    <w:p w:rsidR="00AE65CD" w:rsidRDefault="001435D3" w:rsidP="002A2096">
      <w:pPr>
        <w:pStyle w:val="ListParagraph"/>
        <w:spacing w:after="0" w:line="480" w:lineRule="auto"/>
        <w:ind w:left="0"/>
        <w:rPr>
          <w:sz w:val="24"/>
          <w:szCs w:val="24"/>
        </w:rPr>
      </w:pPr>
      <w:r>
        <w:rPr>
          <w:sz w:val="24"/>
          <w:szCs w:val="24"/>
        </w:rPr>
        <w:t>TABLE 6</w:t>
      </w:r>
      <w:r w:rsidR="00AE65CD">
        <w:rPr>
          <w:sz w:val="24"/>
          <w:szCs w:val="24"/>
        </w:rPr>
        <w:t xml:space="preserve"> ABOUT HERE</w:t>
      </w:r>
    </w:p>
    <w:p w:rsidR="00AE65CD" w:rsidRDefault="00AE65CD" w:rsidP="002A2096">
      <w:pPr>
        <w:pStyle w:val="ListParagraph"/>
        <w:spacing w:after="0" w:line="480" w:lineRule="auto"/>
        <w:ind w:left="0"/>
        <w:rPr>
          <w:sz w:val="24"/>
          <w:szCs w:val="24"/>
        </w:rPr>
      </w:pPr>
    </w:p>
    <w:p w:rsidR="002A2096" w:rsidRDefault="002A2096" w:rsidP="002A2096">
      <w:pPr>
        <w:pStyle w:val="ListParagraph"/>
        <w:spacing w:after="0" w:line="480" w:lineRule="auto"/>
        <w:ind w:left="0"/>
        <w:rPr>
          <w:sz w:val="24"/>
          <w:szCs w:val="24"/>
        </w:rPr>
      </w:pPr>
      <w:r>
        <w:rPr>
          <w:sz w:val="24"/>
          <w:szCs w:val="24"/>
        </w:rPr>
        <w:t>The data were examined</w:t>
      </w:r>
      <w:r w:rsidRPr="009759D1">
        <w:rPr>
          <w:sz w:val="24"/>
          <w:szCs w:val="24"/>
        </w:rPr>
        <w:t xml:space="preserve"> further</w:t>
      </w:r>
      <w:r>
        <w:rPr>
          <w:sz w:val="24"/>
          <w:szCs w:val="24"/>
        </w:rPr>
        <w:t xml:space="preserve"> using</w:t>
      </w:r>
      <w:r w:rsidRPr="002A2096">
        <w:rPr>
          <w:sz w:val="24"/>
          <w:szCs w:val="24"/>
        </w:rPr>
        <w:t xml:space="preserve"> </w:t>
      </w:r>
      <w:r w:rsidRPr="009759D1">
        <w:rPr>
          <w:sz w:val="24"/>
          <w:szCs w:val="24"/>
        </w:rPr>
        <w:t>the summat</w:t>
      </w:r>
      <w:r>
        <w:rPr>
          <w:sz w:val="24"/>
          <w:szCs w:val="24"/>
        </w:rPr>
        <w:t>ed scales of ‘acquire</w:t>
      </w:r>
      <w:r w:rsidRPr="009759D1">
        <w:rPr>
          <w:sz w:val="24"/>
          <w:szCs w:val="24"/>
        </w:rPr>
        <w:t>’ and ‘use</w:t>
      </w:r>
      <w:r>
        <w:rPr>
          <w:sz w:val="24"/>
          <w:szCs w:val="24"/>
        </w:rPr>
        <w:t>’</w:t>
      </w:r>
      <w:r w:rsidRPr="009759D1">
        <w:rPr>
          <w:sz w:val="24"/>
          <w:szCs w:val="24"/>
        </w:rPr>
        <w:t>.</w:t>
      </w:r>
      <w:r>
        <w:rPr>
          <w:sz w:val="24"/>
          <w:szCs w:val="24"/>
        </w:rPr>
        <w:t xml:space="preserve"> </w:t>
      </w:r>
      <w:r w:rsidRPr="009759D1">
        <w:rPr>
          <w:sz w:val="24"/>
          <w:szCs w:val="24"/>
        </w:rPr>
        <w:t xml:space="preserve"> Anova analysis showed no significant differences</w:t>
      </w:r>
      <w:r>
        <w:rPr>
          <w:sz w:val="24"/>
          <w:szCs w:val="24"/>
        </w:rPr>
        <w:t xml:space="preserve"> in the ‘acquire</w:t>
      </w:r>
      <w:r w:rsidRPr="009759D1">
        <w:rPr>
          <w:sz w:val="24"/>
          <w:szCs w:val="24"/>
        </w:rPr>
        <w:t xml:space="preserve">’ score dependent on type of business, age of business, role of respondent or size of business. This was similar for the ‘use’ score although the number of bedrooms (size of the business) did appear to have some impact (Levene statistic 0.023). </w:t>
      </w:r>
      <w:r w:rsidR="00F33031">
        <w:rPr>
          <w:sz w:val="24"/>
          <w:szCs w:val="24"/>
        </w:rPr>
        <w:t xml:space="preserve"> </w:t>
      </w:r>
    </w:p>
    <w:p w:rsidR="005212CA" w:rsidRPr="009759D1" w:rsidRDefault="005212CA" w:rsidP="002A2096">
      <w:pPr>
        <w:pStyle w:val="ListParagraph"/>
        <w:spacing w:after="0" w:line="480" w:lineRule="auto"/>
        <w:ind w:left="0"/>
        <w:rPr>
          <w:sz w:val="24"/>
          <w:szCs w:val="24"/>
        </w:rPr>
      </w:pPr>
    </w:p>
    <w:p w:rsidR="002A2096" w:rsidRPr="00004E56" w:rsidRDefault="002A2096" w:rsidP="002A2096">
      <w:pPr>
        <w:spacing w:after="0" w:line="480" w:lineRule="auto"/>
        <w:rPr>
          <w:b/>
          <w:sz w:val="24"/>
          <w:szCs w:val="24"/>
        </w:rPr>
      </w:pPr>
      <w:r w:rsidRPr="00004E56">
        <w:rPr>
          <w:b/>
          <w:sz w:val="24"/>
          <w:szCs w:val="24"/>
        </w:rPr>
        <w:t xml:space="preserve">5.0 </w:t>
      </w:r>
      <w:r w:rsidRPr="00004E56">
        <w:rPr>
          <w:b/>
          <w:sz w:val="24"/>
          <w:szCs w:val="24"/>
          <w:u w:val="single"/>
        </w:rPr>
        <w:t>C</w:t>
      </w:r>
      <w:r w:rsidR="001464C0">
        <w:rPr>
          <w:b/>
          <w:sz w:val="24"/>
          <w:szCs w:val="24"/>
          <w:u w:val="single"/>
        </w:rPr>
        <w:t>ONCLUSIONS AND IMPLICATIONS</w:t>
      </w:r>
    </w:p>
    <w:p w:rsidR="002A2096" w:rsidRDefault="002A2096" w:rsidP="002A2096">
      <w:pPr>
        <w:spacing w:after="0" w:line="480" w:lineRule="auto"/>
        <w:rPr>
          <w:sz w:val="24"/>
          <w:szCs w:val="24"/>
        </w:rPr>
      </w:pPr>
      <w:r>
        <w:rPr>
          <w:sz w:val="24"/>
          <w:szCs w:val="24"/>
        </w:rPr>
        <w:t xml:space="preserve">The data analysed for this paper </w:t>
      </w:r>
      <w:r w:rsidR="00A46BCF" w:rsidRPr="009759D1">
        <w:rPr>
          <w:sz w:val="24"/>
          <w:szCs w:val="24"/>
        </w:rPr>
        <w:t xml:space="preserve">do not confirm the reliability of the scales </w:t>
      </w:r>
      <w:r>
        <w:rPr>
          <w:sz w:val="24"/>
          <w:szCs w:val="24"/>
        </w:rPr>
        <w:t xml:space="preserve">developed </w:t>
      </w:r>
      <w:r w:rsidR="004317B4" w:rsidRPr="009759D1">
        <w:rPr>
          <w:sz w:val="24"/>
          <w:szCs w:val="24"/>
        </w:rPr>
        <w:t>by previous researchers using similar items (</w:t>
      </w:r>
      <w:r w:rsidR="00A46BCF" w:rsidRPr="009759D1">
        <w:rPr>
          <w:sz w:val="24"/>
          <w:szCs w:val="24"/>
        </w:rPr>
        <w:t xml:space="preserve">ie </w:t>
      </w:r>
      <w:r w:rsidR="004317B4" w:rsidRPr="009759D1">
        <w:rPr>
          <w:sz w:val="24"/>
          <w:szCs w:val="24"/>
        </w:rPr>
        <w:t>Camison and Fores, 2010; Delmas, Hoffman and Kuss, 2011; Jimenez-Barriouevo, Garcia-Morales and Molina, 2011; and Flatten, Engelen, Zahra and Brettel, 2011)</w:t>
      </w:r>
      <w:r w:rsidR="00A46BCF" w:rsidRPr="009759D1">
        <w:rPr>
          <w:sz w:val="24"/>
          <w:szCs w:val="24"/>
        </w:rPr>
        <w:t xml:space="preserve">. </w:t>
      </w:r>
      <w:r w:rsidR="004317B4" w:rsidRPr="009759D1">
        <w:rPr>
          <w:sz w:val="24"/>
          <w:szCs w:val="24"/>
        </w:rPr>
        <w:t xml:space="preserve"> </w:t>
      </w:r>
      <w:r w:rsidR="003506ED" w:rsidRPr="009759D1">
        <w:rPr>
          <w:sz w:val="24"/>
          <w:szCs w:val="24"/>
        </w:rPr>
        <w:t>Neither do</w:t>
      </w:r>
      <w:r w:rsidR="00A46BCF" w:rsidRPr="009759D1">
        <w:rPr>
          <w:sz w:val="24"/>
          <w:szCs w:val="24"/>
        </w:rPr>
        <w:t xml:space="preserve"> the data reaffirm Zahra and George’s (2002) four hypothesised components of absorptive capacity or indeed the existence of a delineation between potential and realised</w:t>
      </w:r>
      <w:r>
        <w:rPr>
          <w:sz w:val="24"/>
          <w:szCs w:val="24"/>
        </w:rPr>
        <w:t xml:space="preserve"> absorptive capacity</w:t>
      </w:r>
      <w:r w:rsidR="00A46BCF" w:rsidRPr="009759D1">
        <w:rPr>
          <w:sz w:val="24"/>
          <w:szCs w:val="24"/>
        </w:rPr>
        <w:t xml:space="preserve">. It seems, therefore, that absorptive capacity needs to be </w:t>
      </w:r>
      <w:r>
        <w:rPr>
          <w:sz w:val="24"/>
          <w:szCs w:val="24"/>
        </w:rPr>
        <w:t>re-assessed and</w:t>
      </w:r>
      <w:r w:rsidR="00A46BCF" w:rsidRPr="009759D1">
        <w:rPr>
          <w:sz w:val="24"/>
          <w:szCs w:val="24"/>
        </w:rPr>
        <w:t xml:space="preserve"> conceptualised differently if it is to have application</w:t>
      </w:r>
      <w:r>
        <w:rPr>
          <w:sz w:val="24"/>
          <w:szCs w:val="24"/>
        </w:rPr>
        <w:t xml:space="preserve"> in tourism</w:t>
      </w:r>
      <w:r w:rsidR="00A46BCF" w:rsidRPr="009759D1">
        <w:rPr>
          <w:sz w:val="24"/>
          <w:szCs w:val="24"/>
        </w:rPr>
        <w:t>.</w:t>
      </w:r>
      <w:r w:rsidR="00556B68">
        <w:rPr>
          <w:sz w:val="24"/>
          <w:szCs w:val="24"/>
        </w:rPr>
        <w:t xml:space="preserve">  </w:t>
      </w:r>
      <w:r>
        <w:rPr>
          <w:sz w:val="24"/>
          <w:szCs w:val="24"/>
        </w:rPr>
        <w:t>Figure 2 below provides a re-conceptualisation</w:t>
      </w:r>
      <w:r w:rsidR="006F49B3">
        <w:rPr>
          <w:sz w:val="24"/>
          <w:szCs w:val="24"/>
        </w:rPr>
        <w:t xml:space="preserve"> </w:t>
      </w:r>
      <w:r>
        <w:rPr>
          <w:sz w:val="24"/>
          <w:szCs w:val="24"/>
        </w:rPr>
        <w:t xml:space="preserve">of absorptive capacity drawing on </w:t>
      </w:r>
      <w:r>
        <w:rPr>
          <w:sz w:val="24"/>
          <w:szCs w:val="24"/>
        </w:rPr>
        <w:lastRenderedPageBreak/>
        <w:t xml:space="preserve">the research reported in this paper and other recent contributions relating to aspects of innovation among tourism enterprises. </w:t>
      </w:r>
    </w:p>
    <w:p w:rsidR="002A2096" w:rsidRDefault="002A2096" w:rsidP="002A2096">
      <w:pPr>
        <w:spacing w:after="0" w:line="480" w:lineRule="auto"/>
        <w:rPr>
          <w:sz w:val="24"/>
          <w:szCs w:val="24"/>
        </w:rPr>
      </w:pPr>
    </w:p>
    <w:p w:rsidR="002A2096" w:rsidRDefault="002A2096" w:rsidP="002A2096">
      <w:pPr>
        <w:spacing w:after="0" w:line="480" w:lineRule="auto"/>
        <w:rPr>
          <w:sz w:val="24"/>
          <w:szCs w:val="24"/>
        </w:rPr>
      </w:pPr>
      <w:r>
        <w:rPr>
          <w:sz w:val="24"/>
          <w:szCs w:val="24"/>
        </w:rPr>
        <w:t>FIGURE 2 HERE</w:t>
      </w:r>
    </w:p>
    <w:p w:rsidR="002A2096" w:rsidRDefault="002A2096" w:rsidP="002A2096">
      <w:pPr>
        <w:spacing w:after="0" w:line="480" w:lineRule="auto"/>
        <w:rPr>
          <w:sz w:val="24"/>
          <w:szCs w:val="24"/>
        </w:rPr>
      </w:pPr>
    </w:p>
    <w:p w:rsidR="006F49B3" w:rsidRDefault="006F49B3" w:rsidP="002A2096">
      <w:pPr>
        <w:spacing w:after="0" w:line="480" w:lineRule="auto"/>
        <w:rPr>
          <w:sz w:val="24"/>
          <w:szCs w:val="24"/>
        </w:rPr>
      </w:pPr>
      <w:r>
        <w:rPr>
          <w:sz w:val="24"/>
          <w:szCs w:val="24"/>
        </w:rPr>
        <w:t>The model dispenses with the notions of potential and realised absorptive capacity and simplifies its components to acquisition and use. It retains the role of experience (as has been discussed, several studies in tourism have highlighted its importance in varying contexts) and the need for mechanisms of social integration to ensure that knowledge is used effectively. ‘</w:t>
      </w:r>
      <w:r w:rsidR="00084BC2">
        <w:rPr>
          <w:sz w:val="24"/>
          <w:szCs w:val="24"/>
        </w:rPr>
        <w:t>T</w:t>
      </w:r>
      <w:r>
        <w:rPr>
          <w:sz w:val="24"/>
          <w:szCs w:val="24"/>
        </w:rPr>
        <w:t xml:space="preserve">riggers of </w:t>
      </w:r>
      <w:r w:rsidR="005212CA">
        <w:rPr>
          <w:sz w:val="24"/>
          <w:szCs w:val="24"/>
        </w:rPr>
        <w:t>activation’ are re-theorised as</w:t>
      </w:r>
      <w:r>
        <w:rPr>
          <w:sz w:val="24"/>
          <w:szCs w:val="24"/>
        </w:rPr>
        <w:t xml:space="preserve"> making a potentially positive contribution to </w:t>
      </w:r>
      <w:r w:rsidR="00D139DF">
        <w:rPr>
          <w:sz w:val="24"/>
          <w:szCs w:val="24"/>
        </w:rPr>
        <w:t xml:space="preserve">the </w:t>
      </w:r>
      <w:r>
        <w:rPr>
          <w:sz w:val="24"/>
          <w:szCs w:val="24"/>
        </w:rPr>
        <w:t xml:space="preserve">use of knowledge rather than its acquisition. </w:t>
      </w:r>
      <w:r w:rsidR="00D7213E">
        <w:rPr>
          <w:sz w:val="24"/>
          <w:szCs w:val="24"/>
        </w:rPr>
        <w:t xml:space="preserve"> </w:t>
      </w:r>
      <w:r>
        <w:rPr>
          <w:sz w:val="24"/>
          <w:szCs w:val="24"/>
        </w:rPr>
        <w:t>If, as this and other studies discussed in the literature review suggest, the most valuable sources of knowledge are relational, it is likely that they emerge from established networks.  These sources of knowledge are emphasised in the model.  The intensity of use of this acquired knowledge will be conditioned by the circumstances facing the firm (the activation triggers).</w:t>
      </w:r>
    </w:p>
    <w:p w:rsidR="00206E14" w:rsidRDefault="00206E14" w:rsidP="002A2096">
      <w:pPr>
        <w:spacing w:after="0" w:line="480" w:lineRule="auto"/>
        <w:rPr>
          <w:sz w:val="24"/>
          <w:szCs w:val="24"/>
        </w:rPr>
      </w:pPr>
    </w:p>
    <w:p w:rsidR="0058651D" w:rsidRDefault="00516BD6" w:rsidP="002A2096">
      <w:pPr>
        <w:spacing w:after="0" w:line="480" w:lineRule="auto"/>
        <w:rPr>
          <w:sz w:val="24"/>
          <w:szCs w:val="24"/>
        </w:rPr>
      </w:pPr>
      <w:r>
        <w:rPr>
          <w:sz w:val="24"/>
          <w:szCs w:val="24"/>
        </w:rPr>
        <w:t>The</w:t>
      </w:r>
      <w:r w:rsidR="0058651D">
        <w:rPr>
          <w:sz w:val="24"/>
          <w:szCs w:val="24"/>
        </w:rPr>
        <w:t>re are</w:t>
      </w:r>
      <w:r>
        <w:rPr>
          <w:sz w:val="24"/>
          <w:szCs w:val="24"/>
        </w:rPr>
        <w:t xml:space="preserve"> </w:t>
      </w:r>
      <w:r w:rsidR="00B30030">
        <w:rPr>
          <w:sz w:val="24"/>
          <w:szCs w:val="24"/>
        </w:rPr>
        <w:t xml:space="preserve">potentially important </w:t>
      </w:r>
      <w:r>
        <w:rPr>
          <w:sz w:val="24"/>
          <w:szCs w:val="24"/>
        </w:rPr>
        <w:t>practical implications for policy-makers seeking to enhance the innovative behaviour of tourism businesses</w:t>
      </w:r>
      <w:r w:rsidR="0058651D">
        <w:rPr>
          <w:sz w:val="24"/>
          <w:szCs w:val="24"/>
        </w:rPr>
        <w:t xml:space="preserve"> arising from this study</w:t>
      </w:r>
      <w:r>
        <w:rPr>
          <w:sz w:val="24"/>
          <w:szCs w:val="24"/>
        </w:rPr>
        <w:t xml:space="preserve">.  </w:t>
      </w:r>
      <w:r w:rsidR="0058651D">
        <w:rPr>
          <w:sz w:val="24"/>
          <w:szCs w:val="24"/>
        </w:rPr>
        <w:t>A</w:t>
      </w:r>
      <w:r w:rsidR="00747309">
        <w:rPr>
          <w:sz w:val="24"/>
          <w:szCs w:val="24"/>
        </w:rPr>
        <w:t xml:space="preserve">lthough </w:t>
      </w:r>
      <w:r>
        <w:rPr>
          <w:sz w:val="24"/>
          <w:szCs w:val="24"/>
        </w:rPr>
        <w:t xml:space="preserve">the results </w:t>
      </w:r>
      <w:r w:rsidR="00747309">
        <w:rPr>
          <w:sz w:val="24"/>
          <w:szCs w:val="24"/>
        </w:rPr>
        <w:t xml:space="preserve">confirm the importance of business </w:t>
      </w:r>
      <w:r w:rsidR="0058651D">
        <w:rPr>
          <w:sz w:val="24"/>
          <w:szCs w:val="24"/>
        </w:rPr>
        <w:t>relationships</w:t>
      </w:r>
      <w:r w:rsidR="00747309">
        <w:rPr>
          <w:sz w:val="24"/>
          <w:szCs w:val="24"/>
        </w:rPr>
        <w:t xml:space="preserve"> </w:t>
      </w:r>
      <w:r w:rsidR="0058651D">
        <w:rPr>
          <w:sz w:val="24"/>
          <w:szCs w:val="24"/>
        </w:rPr>
        <w:t xml:space="preserve">for knowledge acquisition, </w:t>
      </w:r>
      <w:r w:rsidR="00747309">
        <w:rPr>
          <w:sz w:val="24"/>
          <w:szCs w:val="24"/>
        </w:rPr>
        <w:t xml:space="preserve">they also show that simply </w:t>
      </w:r>
      <w:r w:rsidR="00B61080">
        <w:rPr>
          <w:sz w:val="24"/>
          <w:szCs w:val="24"/>
        </w:rPr>
        <w:t xml:space="preserve">developing and </w:t>
      </w:r>
      <w:r w:rsidR="00D7213E">
        <w:rPr>
          <w:sz w:val="24"/>
          <w:szCs w:val="24"/>
        </w:rPr>
        <w:t>promoting business networks within destinations</w:t>
      </w:r>
      <w:r w:rsidR="0058651D">
        <w:rPr>
          <w:sz w:val="24"/>
          <w:szCs w:val="24"/>
        </w:rPr>
        <w:t>,</w:t>
      </w:r>
      <w:r w:rsidR="00D7213E">
        <w:rPr>
          <w:sz w:val="24"/>
          <w:szCs w:val="24"/>
        </w:rPr>
        <w:t xml:space="preserve"> or </w:t>
      </w:r>
      <w:r w:rsidR="00747309">
        <w:rPr>
          <w:sz w:val="24"/>
          <w:szCs w:val="24"/>
        </w:rPr>
        <w:t>even on a broader spatial scale</w:t>
      </w:r>
      <w:r w:rsidR="0058651D">
        <w:rPr>
          <w:sz w:val="24"/>
          <w:szCs w:val="24"/>
        </w:rPr>
        <w:t>,</w:t>
      </w:r>
      <w:r w:rsidR="00747309">
        <w:rPr>
          <w:sz w:val="24"/>
          <w:szCs w:val="24"/>
        </w:rPr>
        <w:t xml:space="preserve"> will not</w:t>
      </w:r>
      <w:r w:rsidR="00D7213E">
        <w:rPr>
          <w:sz w:val="24"/>
          <w:szCs w:val="24"/>
        </w:rPr>
        <w:t xml:space="preserve"> </w:t>
      </w:r>
      <w:r w:rsidR="0058651D">
        <w:rPr>
          <w:sz w:val="24"/>
          <w:szCs w:val="24"/>
        </w:rPr>
        <w:t xml:space="preserve">necessarily </w:t>
      </w:r>
      <w:r w:rsidR="00D7213E">
        <w:rPr>
          <w:sz w:val="24"/>
          <w:szCs w:val="24"/>
        </w:rPr>
        <w:t xml:space="preserve">lead to innovation.  </w:t>
      </w:r>
      <w:r w:rsidR="0058651D">
        <w:rPr>
          <w:sz w:val="24"/>
          <w:szCs w:val="24"/>
        </w:rPr>
        <w:t>To encourag</w:t>
      </w:r>
      <w:r w:rsidR="00B30030">
        <w:rPr>
          <w:sz w:val="24"/>
          <w:szCs w:val="24"/>
        </w:rPr>
        <w:t>e innovative behaviour</w:t>
      </w:r>
      <w:r w:rsidR="0058651D">
        <w:rPr>
          <w:sz w:val="24"/>
          <w:szCs w:val="24"/>
        </w:rPr>
        <w:t xml:space="preserve">, policy-makers may need to </w:t>
      </w:r>
      <w:r w:rsidR="00B61080">
        <w:rPr>
          <w:sz w:val="24"/>
          <w:szCs w:val="24"/>
        </w:rPr>
        <w:t xml:space="preserve">extend their </w:t>
      </w:r>
      <w:r w:rsidR="00A67B5A">
        <w:rPr>
          <w:sz w:val="24"/>
          <w:szCs w:val="24"/>
        </w:rPr>
        <w:t>reach</w:t>
      </w:r>
      <w:r w:rsidR="0058651D">
        <w:rPr>
          <w:sz w:val="24"/>
          <w:szCs w:val="24"/>
        </w:rPr>
        <w:t xml:space="preserve"> </w:t>
      </w:r>
      <w:r w:rsidR="00B61080">
        <w:rPr>
          <w:sz w:val="24"/>
          <w:szCs w:val="24"/>
        </w:rPr>
        <w:t xml:space="preserve">to </w:t>
      </w:r>
      <w:r w:rsidR="0058651D">
        <w:rPr>
          <w:sz w:val="24"/>
          <w:szCs w:val="24"/>
        </w:rPr>
        <w:t xml:space="preserve">the </w:t>
      </w:r>
      <w:r w:rsidR="00C27B45">
        <w:rPr>
          <w:sz w:val="24"/>
          <w:szCs w:val="24"/>
        </w:rPr>
        <w:t>activation</w:t>
      </w:r>
      <w:r w:rsidR="0058651D">
        <w:rPr>
          <w:sz w:val="24"/>
          <w:szCs w:val="24"/>
        </w:rPr>
        <w:t xml:space="preserve"> triggers that </w:t>
      </w:r>
      <w:r w:rsidR="00B61080">
        <w:rPr>
          <w:sz w:val="24"/>
          <w:szCs w:val="24"/>
        </w:rPr>
        <w:t xml:space="preserve">prompt organisational utilisation of external </w:t>
      </w:r>
      <w:r w:rsidR="00C27B45">
        <w:rPr>
          <w:sz w:val="24"/>
          <w:szCs w:val="24"/>
        </w:rPr>
        <w:t>knowledge</w:t>
      </w:r>
      <w:r w:rsidR="00B61080">
        <w:rPr>
          <w:sz w:val="24"/>
          <w:szCs w:val="24"/>
        </w:rPr>
        <w:t xml:space="preserve"> rather than simply expanding opportunities for acquisition.  This</w:t>
      </w:r>
      <w:r w:rsidR="00B30030">
        <w:rPr>
          <w:sz w:val="24"/>
          <w:szCs w:val="24"/>
        </w:rPr>
        <w:t xml:space="preserve"> is</w:t>
      </w:r>
      <w:r w:rsidR="00B61080">
        <w:rPr>
          <w:sz w:val="24"/>
          <w:szCs w:val="24"/>
        </w:rPr>
        <w:t xml:space="preserve"> challenging because </w:t>
      </w:r>
      <w:r w:rsidR="00B30030">
        <w:rPr>
          <w:sz w:val="24"/>
          <w:szCs w:val="24"/>
        </w:rPr>
        <w:t xml:space="preserve">the policy tools available, </w:t>
      </w:r>
      <w:r w:rsidR="00B30030">
        <w:rPr>
          <w:sz w:val="24"/>
          <w:szCs w:val="24"/>
        </w:rPr>
        <w:lastRenderedPageBreak/>
        <w:t xml:space="preserve">especially at the level of the destination, are limited and there are few, if any, precedents. To that extent, it suggests a </w:t>
      </w:r>
      <w:r w:rsidR="00A67B5A">
        <w:rPr>
          <w:sz w:val="24"/>
          <w:szCs w:val="24"/>
        </w:rPr>
        <w:t xml:space="preserve">high </w:t>
      </w:r>
      <w:r w:rsidR="00B30030">
        <w:rPr>
          <w:sz w:val="24"/>
          <w:szCs w:val="24"/>
        </w:rPr>
        <w:t xml:space="preserve">degree of ‘policy imagination’ </w:t>
      </w:r>
      <w:r w:rsidR="00A67B5A">
        <w:rPr>
          <w:sz w:val="24"/>
          <w:szCs w:val="24"/>
        </w:rPr>
        <w:t>is required, preceded by appropriate research</w:t>
      </w:r>
      <w:r w:rsidR="00B30030">
        <w:rPr>
          <w:sz w:val="24"/>
          <w:szCs w:val="24"/>
        </w:rPr>
        <w:t xml:space="preserve">.  Policy interventions to support social integration within organisations, perhaps arising from training or knowledge exchange activities, would also </w:t>
      </w:r>
      <w:r w:rsidR="00A67B5A">
        <w:rPr>
          <w:sz w:val="24"/>
          <w:szCs w:val="24"/>
        </w:rPr>
        <w:t>require</w:t>
      </w:r>
      <w:r w:rsidR="00B30030">
        <w:rPr>
          <w:sz w:val="24"/>
          <w:szCs w:val="24"/>
        </w:rPr>
        <w:t xml:space="preserve"> strategies to engage businesses</w:t>
      </w:r>
      <w:r w:rsidR="00A67B5A">
        <w:rPr>
          <w:sz w:val="24"/>
          <w:szCs w:val="24"/>
        </w:rPr>
        <w:t xml:space="preserve"> that have proved somewhat elusive to date.</w:t>
      </w:r>
      <w:r w:rsidR="00B30030">
        <w:rPr>
          <w:sz w:val="24"/>
          <w:szCs w:val="24"/>
        </w:rPr>
        <w:t xml:space="preserve">  </w:t>
      </w:r>
    </w:p>
    <w:p w:rsidR="00516BD6" w:rsidRDefault="00516BD6" w:rsidP="002A2096">
      <w:pPr>
        <w:spacing w:after="0" w:line="480" w:lineRule="auto"/>
        <w:rPr>
          <w:sz w:val="24"/>
          <w:szCs w:val="24"/>
        </w:rPr>
      </w:pPr>
    </w:p>
    <w:p w:rsidR="006F49B3" w:rsidRDefault="00206E14" w:rsidP="002A2096">
      <w:pPr>
        <w:spacing w:after="0" w:line="480" w:lineRule="auto"/>
        <w:rPr>
          <w:sz w:val="24"/>
          <w:szCs w:val="24"/>
        </w:rPr>
      </w:pPr>
      <w:r>
        <w:rPr>
          <w:sz w:val="24"/>
          <w:szCs w:val="24"/>
        </w:rPr>
        <w:t>This study inevitably suffers from limitations.  The sample size</w:t>
      </w:r>
      <w:r w:rsidR="00B30030">
        <w:rPr>
          <w:sz w:val="24"/>
          <w:szCs w:val="24"/>
        </w:rPr>
        <w:t xml:space="preserve"> enables robust statistical analysis but</w:t>
      </w:r>
      <w:r>
        <w:rPr>
          <w:sz w:val="24"/>
          <w:szCs w:val="24"/>
        </w:rPr>
        <w:t xml:space="preserve"> cautions against exaggerated claims.  Replication would increase the confidence with which </w:t>
      </w:r>
      <w:r w:rsidR="00556B68">
        <w:rPr>
          <w:sz w:val="24"/>
          <w:szCs w:val="24"/>
        </w:rPr>
        <w:t>observations</w:t>
      </w:r>
      <w:r>
        <w:rPr>
          <w:sz w:val="24"/>
          <w:szCs w:val="24"/>
        </w:rPr>
        <w:t xml:space="preserve"> might be made and </w:t>
      </w:r>
      <w:r w:rsidR="00D139DF">
        <w:rPr>
          <w:sz w:val="24"/>
          <w:szCs w:val="24"/>
        </w:rPr>
        <w:t xml:space="preserve">perhaps </w:t>
      </w:r>
      <w:r>
        <w:rPr>
          <w:sz w:val="24"/>
          <w:szCs w:val="24"/>
        </w:rPr>
        <w:t xml:space="preserve">enable more finely grained analysis, </w:t>
      </w:r>
      <w:r w:rsidR="001464C0">
        <w:rPr>
          <w:sz w:val="24"/>
          <w:szCs w:val="24"/>
        </w:rPr>
        <w:t xml:space="preserve">notably </w:t>
      </w:r>
      <w:r>
        <w:rPr>
          <w:sz w:val="24"/>
          <w:szCs w:val="24"/>
        </w:rPr>
        <w:t xml:space="preserve">taking into account contrasting ownership arrangements.  That the study was undertaken </w:t>
      </w:r>
      <w:r w:rsidR="001464C0">
        <w:rPr>
          <w:sz w:val="24"/>
          <w:szCs w:val="24"/>
        </w:rPr>
        <w:t xml:space="preserve">exclusively </w:t>
      </w:r>
      <w:r>
        <w:rPr>
          <w:sz w:val="24"/>
          <w:szCs w:val="24"/>
        </w:rPr>
        <w:t>with B</w:t>
      </w:r>
      <w:r w:rsidR="001464C0">
        <w:rPr>
          <w:sz w:val="24"/>
          <w:szCs w:val="24"/>
        </w:rPr>
        <w:t>ritish hotels</w:t>
      </w:r>
      <w:r>
        <w:rPr>
          <w:sz w:val="24"/>
          <w:szCs w:val="24"/>
        </w:rPr>
        <w:t xml:space="preserve"> also militates against making</w:t>
      </w:r>
      <w:r w:rsidR="001464C0">
        <w:rPr>
          <w:sz w:val="24"/>
          <w:szCs w:val="24"/>
        </w:rPr>
        <w:t xml:space="preserve"> </w:t>
      </w:r>
      <w:r>
        <w:rPr>
          <w:sz w:val="24"/>
          <w:szCs w:val="24"/>
        </w:rPr>
        <w:t>claims</w:t>
      </w:r>
      <w:r w:rsidR="001464C0">
        <w:rPr>
          <w:sz w:val="24"/>
          <w:szCs w:val="24"/>
        </w:rPr>
        <w:t xml:space="preserve"> that are overstated.</w:t>
      </w:r>
      <w:r>
        <w:rPr>
          <w:sz w:val="24"/>
          <w:szCs w:val="24"/>
        </w:rPr>
        <w:t xml:space="preserve">  An international comparative study would enable </w:t>
      </w:r>
      <w:r w:rsidR="001464C0">
        <w:rPr>
          <w:sz w:val="24"/>
          <w:szCs w:val="24"/>
        </w:rPr>
        <w:t xml:space="preserve">greater scrutiny of the </w:t>
      </w:r>
      <w:r w:rsidR="00D139DF">
        <w:rPr>
          <w:sz w:val="24"/>
          <w:szCs w:val="24"/>
        </w:rPr>
        <w:t>theoretical observations</w:t>
      </w:r>
      <w:r>
        <w:rPr>
          <w:sz w:val="24"/>
          <w:szCs w:val="24"/>
        </w:rPr>
        <w:t xml:space="preserve"> </w:t>
      </w:r>
      <w:r w:rsidR="001464C0">
        <w:rPr>
          <w:sz w:val="24"/>
          <w:szCs w:val="24"/>
        </w:rPr>
        <w:t xml:space="preserve">made here and lead to more easily generalizable findings. </w:t>
      </w:r>
    </w:p>
    <w:p w:rsidR="002E10B5" w:rsidRDefault="006F49B3" w:rsidP="002A2096">
      <w:pPr>
        <w:spacing w:after="0" w:line="480" w:lineRule="auto"/>
        <w:rPr>
          <w:sz w:val="24"/>
          <w:szCs w:val="24"/>
        </w:rPr>
      </w:pPr>
      <w:r>
        <w:rPr>
          <w:sz w:val="24"/>
          <w:szCs w:val="24"/>
        </w:rPr>
        <w:t xml:space="preserve">The implications for future research of the foregoing analysis are twofold.  Firstly, a similar survey </w:t>
      </w:r>
      <w:r w:rsidR="003C3158">
        <w:rPr>
          <w:sz w:val="24"/>
          <w:szCs w:val="24"/>
        </w:rPr>
        <w:t xml:space="preserve">should be undertaken using the items identified above.  Such </w:t>
      </w:r>
      <w:r w:rsidR="002E10B5">
        <w:rPr>
          <w:sz w:val="24"/>
          <w:szCs w:val="24"/>
        </w:rPr>
        <w:t xml:space="preserve">studies would ideally </w:t>
      </w:r>
      <w:r w:rsidR="003C3158">
        <w:rPr>
          <w:sz w:val="24"/>
          <w:szCs w:val="24"/>
        </w:rPr>
        <w:t>be conducted internationally and encompass several sectors.  That way, temporal, spatial and sectoral comparisons could be made relative to absorptive capacity. This would result in more meaningful discussions of levels of absorptive capacity than is possible at the moment.  Secondly,</w:t>
      </w:r>
      <w:r w:rsidR="002E10B5">
        <w:rPr>
          <w:sz w:val="24"/>
          <w:szCs w:val="24"/>
        </w:rPr>
        <w:t xml:space="preserve"> as t</w:t>
      </w:r>
      <w:r w:rsidR="003C3158">
        <w:rPr>
          <w:sz w:val="24"/>
          <w:szCs w:val="24"/>
        </w:rPr>
        <w:t>he findings of this project suggest that ‘assimilation’, ‘transformation’ and ‘exploitation’ are conceptually inadequate for capturing the way knowledge is converted into innovation in tourism enterprises</w:t>
      </w:r>
      <w:r w:rsidR="002E10B5">
        <w:rPr>
          <w:sz w:val="24"/>
          <w:szCs w:val="24"/>
        </w:rPr>
        <w:t>, an alternative and complimentary approach might be beneficial.</w:t>
      </w:r>
      <w:r w:rsidR="003C3158">
        <w:rPr>
          <w:sz w:val="24"/>
          <w:szCs w:val="24"/>
        </w:rPr>
        <w:t xml:space="preserve">  </w:t>
      </w:r>
      <w:r w:rsidR="001435D3">
        <w:rPr>
          <w:sz w:val="24"/>
          <w:szCs w:val="24"/>
        </w:rPr>
        <w:t xml:space="preserve">Thus, </w:t>
      </w:r>
      <w:r w:rsidR="002E10B5">
        <w:rPr>
          <w:sz w:val="24"/>
          <w:szCs w:val="24"/>
        </w:rPr>
        <w:t xml:space="preserve">undertaking detailed qualitative case studies examining the complexity of the processes </w:t>
      </w:r>
      <w:r w:rsidR="00D139DF">
        <w:rPr>
          <w:sz w:val="24"/>
          <w:szCs w:val="24"/>
        </w:rPr>
        <w:t>for</w:t>
      </w:r>
      <w:r w:rsidR="002E10B5">
        <w:rPr>
          <w:sz w:val="24"/>
          <w:szCs w:val="24"/>
        </w:rPr>
        <w:t xml:space="preserve"> converting knowledge to innovation is advocated.  Following such </w:t>
      </w:r>
      <w:r w:rsidR="002E10B5">
        <w:rPr>
          <w:sz w:val="24"/>
          <w:szCs w:val="24"/>
        </w:rPr>
        <w:lastRenderedPageBreak/>
        <w:t>research, it may then be possible to re-theorise more fully that element of absorptive capacity and devise a mechanism for its measurement.</w:t>
      </w:r>
    </w:p>
    <w:p w:rsidR="00885029" w:rsidRDefault="00885029" w:rsidP="002A2096">
      <w:pPr>
        <w:spacing w:after="0" w:line="480" w:lineRule="auto"/>
        <w:rPr>
          <w:sz w:val="24"/>
          <w:szCs w:val="24"/>
        </w:rPr>
      </w:pPr>
    </w:p>
    <w:p w:rsidR="007254C0" w:rsidRDefault="007254C0" w:rsidP="009D1ACB">
      <w:pPr>
        <w:pStyle w:val="ListParagraph"/>
      </w:pPr>
    </w:p>
    <w:p w:rsidR="004E10DA" w:rsidRPr="00004E56" w:rsidRDefault="004E10DA" w:rsidP="00004E56">
      <w:pPr>
        <w:pStyle w:val="ListParagraph"/>
        <w:numPr>
          <w:ilvl w:val="0"/>
          <w:numId w:val="6"/>
        </w:numPr>
        <w:rPr>
          <w:b/>
          <w:u w:val="single"/>
        </w:rPr>
      </w:pPr>
      <w:r w:rsidRPr="00004E56">
        <w:rPr>
          <w:b/>
          <w:u w:val="single"/>
        </w:rPr>
        <w:t>R</w:t>
      </w:r>
      <w:r w:rsidR="001464C0">
        <w:rPr>
          <w:b/>
          <w:u w:val="single"/>
        </w:rPr>
        <w:t>EFERENCES</w:t>
      </w:r>
    </w:p>
    <w:p w:rsidR="006B611D" w:rsidRPr="00D41CE5" w:rsidRDefault="006B611D" w:rsidP="006B611D">
      <w:pPr>
        <w:pStyle w:val="ListParagraph"/>
        <w:ind w:left="360"/>
        <w:rPr>
          <w:u w:val="single"/>
        </w:rPr>
      </w:pPr>
    </w:p>
    <w:p w:rsidR="004E10DA" w:rsidRDefault="004E10DA">
      <w:r>
        <w:t>Alvesson, M. and Spicer, A (2012)</w:t>
      </w:r>
      <w:r w:rsidR="00814416">
        <w:t>.</w:t>
      </w:r>
      <w:r>
        <w:t xml:space="preserve"> A stupidity-based theory of organisations.  </w:t>
      </w:r>
      <w:r w:rsidRPr="007630DD">
        <w:rPr>
          <w:b/>
        </w:rPr>
        <w:t>Journal of Management Studies</w:t>
      </w:r>
      <w:r>
        <w:t>, 49(7):  1194 – 1220.</w:t>
      </w:r>
    </w:p>
    <w:p w:rsidR="00A26E1A" w:rsidRDefault="00A26E1A" w:rsidP="00A26E1A">
      <w:r>
        <w:t xml:space="preserve">Armstrong. J.S., and Overton, T.S. (1977). Estimating nonresponse bias in mail surveys. </w:t>
      </w:r>
      <w:r w:rsidRPr="00A26E1A">
        <w:rPr>
          <w:b/>
        </w:rPr>
        <w:t>Journal of Marketing Research</w:t>
      </w:r>
      <w:r>
        <w:t>, 14: 396-402.</w:t>
      </w:r>
    </w:p>
    <w:p w:rsidR="00E31562" w:rsidRDefault="00E31562">
      <w:r>
        <w:t xml:space="preserve">Arta, M. and Acob, J. (2003). Innovation in the tourism sector: results from a pilot study in the Balearic Islands. </w:t>
      </w:r>
      <w:r w:rsidRPr="00E31562">
        <w:rPr>
          <w:b/>
        </w:rPr>
        <w:t>Tourism Economics</w:t>
      </w:r>
      <w:r>
        <w:t>, 9(3): 279-295.</w:t>
      </w:r>
    </w:p>
    <w:p w:rsidR="00F76D69" w:rsidRPr="00F76D69" w:rsidRDefault="00F76D69">
      <w:r>
        <w:t xml:space="preserve">Blunch, N.J. (2013). </w:t>
      </w:r>
      <w:r>
        <w:rPr>
          <w:b/>
        </w:rPr>
        <w:t>Introduction to Structural Equation Modelling Using IBM Statistics and AMOS. 2</w:t>
      </w:r>
      <w:r w:rsidRPr="00F76D69">
        <w:rPr>
          <w:b/>
          <w:vertAlign w:val="superscript"/>
        </w:rPr>
        <w:t>nd</w:t>
      </w:r>
      <w:r>
        <w:rPr>
          <w:b/>
        </w:rPr>
        <w:t xml:space="preserve"> Edition.</w:t>
      </w:r>
      <w:r>
        <w:t xml:space="preserve"> London: Sage</w:t>
      </w:r>
    </w:p>
    <w:p w:rsidR="00EB3CC0" w:rsidRDefault="00EB3CC0">
      <w:r>
        <w:t xml:space="preserve">Carlborg,P., Kindstrom, D. and kowalkowski, C. (2013). The evolution of service innovation research: a critical review and </w:t>
      </w:r>
      <w:r w:rsidR="00C04951">
        <w:t>synthesis</w:t>
      </w:r>
      <w:r>
        <w:t xml:space="preserve">. </w:t>
      </w:r>
      <w:r w:rsidRPr="00880AD1">
        <w:rPr>
          <w:b/>
        </w:rPr>
        <w:t>The Service Industries Journal</w:t>
      </w:r>
      <w:r>
        <w:t xml:space="preserve"> (published online in advance of publication).</w:t>
      </w:r>
    </w:p>
    <w:p w:rsidR="00171253" w:rsidRDefault="00171253">
      <w:r>
        <w:t xml:space="preserve">Carlisle, S., Kunc, M. Jones, E., and Tiffin, S. (2013). Supporting innovation for tourism development through multi-stakeholder approaches: Experiences from Africa. </w:t>
      </w:r>
      <w:r w:rsidRPr="00171253">
        <w:rPr>
          <w:b/>
        </w:rPr>
        <w:t>Tourism Management</w:t>
      </w:r>
      <w:r>
        <w:t>, 35: 59-69.</w:t>
      </w:r>
    </w:p>
    <w:p w:rsidR="00E24E01" w:rsidRDefault="00E24E01">
      <w:r>
        <w:t xml:space="preserve">Camison, C. and Monfort-Mir, V.M. (2011). </w:t>
      </w:r>
      <w:r w:rsidR="000C1B7C">
        <w:t xml:space="preserve">Measuring innovation in tourism from the Schumpeterian and the dynamic-capabilities perspectives. </w:t>
      </w:r>
      <w:r>
        <w:rPr>
          <w:b/>
        </w:rPr>
        <w:t xml:space="preserve">Tourism Management, </w:t>
      </w:r>
      <w:r w:rsidR="002F23A6">
        <w:t>33(4): 776-789.</w:t>
      </w:r>
    </w:p>
    <w:p w:rsidR="00E35D08" w:rsidRPr="008E68E5" w:rsidRDefault="00E35D08">
      <w:r w:rsidRPr="008E68E5">
        <w:t>Camis</w:t>
      </w:r>
      <w:r w:rsidR="008E68E5" w:rsidRPr="008E68E5">
        <w:t>ó</w:t>
      </w:r>
      <w:r w:rsidRPr="008E68E5">
        <w:t>n, C and For</w:t>
      </w:r>
      <w:r w:rsidR="008E68E5" w:rsidRPr="008E68E5">
        <w:t>é</w:t>
      </w:r>
      <w:r w:rsidRPr="008E68E5">
        <w:t>s,</w:t>
      </w:r>
      <w:r>
        <w:t xml:space="preserve"> B. (2010). Knowledge absorptive capacity</w:t>
      </w:r>
      <w:r w:rsidR="008E68E5">
        <w:t xml:space="preserve">: New insights for its conceptualisation and measurement. </w:t>
      </w:r>
      <w:r w:rsidR="008E68E5">
        <w:rPr>
          <w:b/>
        </w:rPr>
        <w:t xml:space="preserve">Journal of Business Research, </w:t>
      </w:r>
      <w:r w:rsidR="008E68E5">
        <w:t>63: 707-715.</w:t>
      </w:r>
    </w:p>
    <w:p w:rsidR="00DB7A8B" w:rsidRDefault="00DB7A8B">
      <w:r>
        <w:t xml:space="preserve">Cohen, W.M. and Levinthal, D.A. (1990). Absorptive capacity: A new perspective on learning and innovation. </w:t>
      </w:r>
      <w:r w:rsidRPr="00DB7A8B">
        <w:rPr>
          <w:b/>
        </w:rPr>
        <w:t>Administrative Science Quarterly</w:t>
      </w:r>
      <w:r>
        <w:t>, 35(1): 128-152.</w:t>
      </w:r>
    </w:p>
    <w:p w:rsidR="006E5818" w:rsidRPr="006E5818" w:rsidRDefault="006E5818">
      <w:r>
        <w:t xml:space="preserve">Cooper, C. (2006). Knowledge management and tourism. </w:t>
      </w:r>
      <w:r w:rsidRPr="006E5818">
        <w:rPr>
          <w:b/>
        </w:rPr>
        <w:t>Annal</w:t>
      </w:r>
      <w:r>
        <w:rPr>
          <w:b/>
        </w:rPr>
        <w:t>s of T</w:t>
      </w:r>
      <w:r w:rsidRPr="006E5818">
        <w:rPr>
          <w:b/>
        </w:rPr>
        <w:t xml:space="preserve">ourism Research, </w:t>
      </w:r>
      <w:r>
        <w:t>33(1): 47-64.</w:t>
      </w:r>
    </w:p>
    <w:p w:rsidR="00DB7A8B" w:rsidRDefault="00DB7A8B">
      <w:r>
        <w:t xml:space="preserve">Chen, W-J. (2011). Innovation in hotel services: Culture and personality. </w:t>
      </w:r>
      <w:r w:rsidRPr="00FF334D">
        <w:rPr>
          <w:b/>
        </w:rPr>
        <w:t>International Journal of Hospitality Management</w:t>
      </w:r>
      <w:r>
        <w:rPr>
          <w:b/>
        </w:rPr>
        <w:t xml:space="preserve">, </w:t>
      </w:r>
      <w:r w:rsidRPr="00FF334D">
        <w:t>30: 64-72.</w:t>
      </w:r>
    </w:p>
    <w:p w:rsidR="00575CA5" w:rsidRDefault="00575CA5">
      <w:r>
        <w:t xml:space="preserve">Decelle, X (2004) </w:t>
      </w:r>
      <w:r w:rsidRPr="00C43508">
        <w:rPr>
          <w:b/>
        </w:rPr>
        <w:t>A conceptual and dynamic approach to innovation in tourism</w:t>
      </w:r>
      <w:r>
        <w:t xml:space="preserve">. Paris: Organisation for Economic Co-operation and Development (OECD). </w:t>
      </w:r>
    </w:p>
    <w:p w:rsidR="00CE0DC5" w:rsidRDefault="00CE0DC5">
      <w:r>
        <w:t xml:space="preserve">Dwyer, L. and Edwards, D. (2009). Tourism product and service innovation to avoid ‘strategic drift’. </w:t>
      </w:r>
      <w:r w:rsidRPr="00CE0DC5">
        <w:rPr>
          <w:b/>
        </w:rPr>
        <w:t>International Journal of Tourism Research</w:t>
      </w:r>
      <w:r>
        <w:t>, 11: 321-335.</w:t>
      </w:r>
    </w:p>
    <w:p w:rsidR="00DE7B45" w:rsidRDefault="00DE7B45">
      <w:r>
        <w:lastRenderedPageBreak/>
        <w:t xml:space="preserve">Easterby-Smith, M., Antonacopoulou, E. and Ferdinand, J. (2008). Absorptive capacity: A process perspective. </w:t>
      </w:r>
      <w:r w:rsidRPr="00DE7B45">
        <w:rPr>
          <w:b/>
        </w:rPr>
        <w:t>Management Learning</w:t>
      </w:r>
      <w:r>
        <w:t>, 39(5): 483-501.</w:t>
      </w:r>
    </w:p>
    <w:p w:rsidR="006566FE" w:rsidRDefault="006566FE">
      <w:r>
        <w:t xml:space="preserve">Escribano, a., Fosfuri, A., and Tribo, J.A. (2009). Managing external flows: The moderating role of absorptive capacity. </w:t>
      </w:r>
      <w:r>
        <w:rPr>
          <w:b/>
        </w:rPr>
        <w:t>Research Policy</w:t>
      </w:r>
      <w:r>
        <w:t>, 39: 96-105.</w:t>
      </w:r>
    </w:p>
    <w:p w:rsidR="00536D23" w:rsidRPr="006566FE" w:rsidRDefault="00536D23">
      <w:r w:rsidRPr="00536D23">
        <w:t xml:space="preserve">Feldman, M. S. (2000). Organizational routines as source of continuous change. </w:t>
      </w:r>
      <w:r w:rsidRPr="00536D23">
        <w:rPr>
          <w:b/>
        </w:rPr>
        <w:t>Organization Science</w:t>
      </w:r>
      <w:r w:rsidRPr="00536D23">
        <w:t>, 11(6):611-629.</w:t>
      </w:r>
    </w:p>
    <w:p w:rsidR="008E68E5" w:rsidRDefault="008E68E5" w:rsidP="008E68E5">
      <w:r>
        <w:t xml:space="preserve">Flatten, T.C., Engelen, A., Zahra, S.A., and Brettel, M. (2011) </w:t>
      </w:r>
      <w:r w:rsidRPr="008E68E5">
        <w:t>A measure of absorptive capacity: Scale development</w:t>
      </w:r>
      <w:r>
        <w:t xml:space="preserve"> </w:t>
      </w:r>
      <w:r w:rsidRPr="008E68E5">
        <w:t>and validation</w:t>
      </w:r>
      <w:r>
        <w:t>.</w:t>
      </w:r>
      <w:r>
        <w:rPr>
          <w:b/>
        </w:rPr>
        <w:t xml:space="preserve"> </w:t>
      </w:r>
      <w:r w:rsidRPr="008E68E5">
        <w:rPr>
          <w:b/>
        </w:rPr>
        <w:t>European Management Journal</w:t>
      </w:r>
      <w:r>
        <w:t>,</w:t>
      </w:r>
      <w:r w:rsidRPr="008E68E5">
        <w:t xml:space="preserve"> 29</w:t>
      </w:r>
      <w:r>
        <w:t>:</w:t>
      </w:r>
      <w:r w:rsidRPr="008E68E5">
        <w:t xml:space="preserve"> 98– 116</w:t>
      </w:r>
    </w:p>
    <w:p w:rsidR="00E7176F" w:rsidRDefault="00E7176F">
      <w:r>
        <w:t xml:space="preserve">Fogg, H. (2012). Tracing the links between absorptive capacity, university knowledge exchange and competitive advantage </w:t>
      </w:r>
      <w:r w:rsidR="00351978">
        <w:t xml:space="preserve">in SMEs. </w:t>
      </w:r>
      <w:r w:rsidR="00351978" w:rsidRPr="00351978">
        <w:rPr>
          <w:b/>
        </w:rPr>
        <w:t>International Journal of Entrepreneurship and Innovation</w:t>
      </w:r>
      <w:r w:rsidR="00351978">
        <w:t>, 13(1): 35-44.</w:t>
      </w:r>
    </w:p>
    <w:p w:rsidR="00DF0CDC" w:rsidRDefault="00DF0CDC">
      <w:r>
        <w:t xml:space="preserve">Fosfuri, A. and Tribo, J.A. (2008). Exploring the antecedents of potential absorptive capacity and its impact on innovation performance. </w:t>
      </w:r>
      <w:r w:rsidRPr="00DF0CDC">
        <w:rPr>
          <w:b/>
        </w:rPr>
        <w:t>Omega</w:t>
      </w:r>
      <w:r>
        <w:t xml:space="preserve">, 36: 173-187. </w:t>
      </w:r>
    </w:p>
    <w:p w:rsidR="00EB44E2" w:rsidRDefault="00EB44E2">
      <w:r w:rsidRPr="00EB44E2">
        <w:t xml:space="preserve">Foss, N. J., &amp; Lindenberg, S. M. (2013). Micro-foundations for strategy: A goal-framing perspective on the drivers of value creation. </w:t>
      </w:r>
      <w:r w:rsidRPr="00EB44E2">
        <w:rPr>
          <w:b/>
        </w:rPr>
        <w:t>Academy of Management Perspectives</w:t>
      </w:r>
      <w:r w:rsidRPr="00EB44E2">
        <w:t>, 27(2): 85-102.</w:t>
      </w:r>
    </w:p>
    <w:p w:rsidR="00EB44E2" w:rsidRDefault="00EB44E2">
      <w:r w:rsidRPr="00EB44E2">
        <w:t xml:space="preserve">Garvin, D. A., &amp; Levesque, L. C. (2008). The multiunit enterprise. </w:t>
      </w:r>
      <w:r w:rsidRPr="00EB44E2">
        <w:rPr>
          <w:b/>
        </w:rPr>
        <w:t>Harvard Business Review</w:t>
      </w:r>
      <w:r w:rsidRPr="00EB44E2">
        <w:t>, June, 106-117.</w:t>
      </w:r>
    </w:p>
    <w:p w:rsidR="000C1B7C" w:rsidRDefault="000C1B7C">
      <w:r>
        <w:t xml:space="preserve">Gallego, J., Rubalcaba, L. and Suarez, C. (2013). Knowledge for innovation in Europe: The role of external knowledge on firms’ </w:t>
      </w:r>
      <w:r w:rsidR="005D763B">
        <w:t xml:space="preserve">co-operation strategies.  </w:t>
      </w:r>
      <w:r w:rsidR="005D763B" w:rsidRPr="005D763B">
        <w:rPr>
          <w:b/>
        </w:rPr>
        <w:t>Journal of Business Research</w:t>
      </w:r>
      <w:r w:rsidR="005D763B">
        <w:t>, 66: 2034 – 2041.</w:t>
      </w:r>
    </w:p>
    <w:p w:rsidR="00CD37EC" w:rsidRDefault="00CD37EC">
      <w:r>
        <w:t xml:space="preserve">Gebauer, H., Worch, H. and Truffer, B. (2012). Absorptive capacity, learning processes and combinative capabilities as determinants of strategic innovation. </w:t>
      </w:r>
      <w:r w:rsidRPr="00CD37EC">
        <w:rPr>
          <w:b/>
        </w:rPr>
        <w:t>European Management Journal</w:t>
      </w:r>
      <w:r>
        <w:t>, 30: 57-73.</w:t>
      </w:r>
    </w:p>
    <w:p w:rsidR="00EB44E2" w:rsidRDefault="00EB44E2">
      <w:r w:rsidRPr="00EB44E2">
        <w:t xml:space="preserve">Gersick, C.J., &amp;J. R. Hackman. (1990). Habitual routines in task performing groups. </w:t>
      </w:r>
      <w:r w:rsidRPr="00EB44E2">
        <w:rPr>
          <w:b/>
        </w:rPr>
        <w:t>Organizational Behavior Human Decision Processes</w:t>
      </w:r>
      <w:r w:rsidRPr="00EB44E2">
        <w:t xml:space="preserve">, 47:65-97. </w:t>
      </w:r>
    </w:p>
    <w:p w:rsidR="006B611D" w:rsidRDefault="006B611D">
      <w:r>
        <w:t xml:space="preserve">Guisado-Gonzalez, M., Guisado-Tato, M. </w:t>
      </w:r>
      <w:r w:rsidR="002F23A6">
        <w:t>and Sandoval-Perez, P. (201</w:t>
      </w:r>
      <w:r w:rsidR="005C30C1">
        <w:t>3</w:t>
      </w:r>
      <w:r w:rsidR="002F23A6">
        <w:t>) Te</w:t>
      </w:r>
      <w:r>
        <w:t xml:space="preserve">chnological determinants of innovation performance in Spanish hospitality companies: An analysis of the co-existance of innovation strategies. </w:t>
      </w:r>
      <w:r w:rsidRPr="006B611D">
        <w:rPr>
          <w:b/>
        </w:rPr>
        <w:t>The Service Industries Journal</w:t>
      </w:r>
      <w:r w:rsidR="002F23A6">
        <w:t xml:space="preserve">, </w:t>
      </w:r>
      <w:r w:rsidR="005C30C1">
        <w:t>33(6): 580-593.</w:t>
      </w:r>
    </w:p>
    <w:p w:rsidR="00F016B3" w:rsidRPr="00FF334D" w:rsidRDefault="00F016B3">
      <w:r>
        <w:t xml:space="preserve">Hall, C.M. (2009). Innovation and tourism policy in Australia and New Zealand: never the twain shall meet? </w:t>
      </w:r>
      <w:r w:rsidRPr="00F016B3">
        <w:rPr>
          <w:b/>
        </w:rPr>
        <w:t>Journal of Policy Research</w:t>
      </w:r>
      <w:r>
        <w:rPr>
          <w:b/>
        </w:rPr>
        <w:t xml:space="preserve"> in Tourism, L</w:t>
      </w:r>
      <w:r w:rsidRPr="00F016B3">
        <w:rPr>
          <w:b/>
        </w:rPr>
        <w:t>eisure and Events</w:t>
      </w:r>
      <w:r>
        <w:t>, 1(1): 2-18.</w:t>
      </w:r>
    </w:p>
    <w:p w:rsidR="00575CA5" w:rsidRDefault="007630DD">
      <w:r>
        <w:t xml:space="preserve">Hall, C.M. and Williams, A. M. (2008). </w:t>
      </w:r>
      <w:r w:rsidRPr="007630DD">
        <w:rPr>
          <w:b/>
        </w:rPr>
        <w:t>Tourism and innovation</w:t>
      </w:r>
      <w:r>
        <w:t xml:space="preserve">.  London: Routledge. </w:t>
      </w:r>
    </w:p>
    <w:p w:rsidR="00DE7B45" w:rsidRDefault="00DE7B45">
      <w:r>
        <w:t>Hall, Y.S., Kim,</w:t>
      </w:r>
      <w:r w:rsidR="000C1B7C">
        <w:t xml:space="preserve"> B., Lee, H. and Kim, Y-G. (2013</w:t>
      </w:r>
      <w:r>
        <w:t>). The effects of individual motivations and social capital on employees</w:t>
      </w:r>
      <w:r w:rsidR="000C1B7C">
        <w:t>’</w:t>
      </w:r>
      <w:r>
        <w:t xml:space="preserve"> tacit and explicit knowledge sharing intentions. </w:t>
      </w:r>
      <w:r w:rsidRPr="00DE7B45">
        <w:rPr>
          <w:b/>
        </w:rPr>
        <w:t>International Journal of Information Management</w:t>
      </w:r>
      <w:r>
        <w:t xml:space="preserve">, </w:t>
      </w:r>
      <w:r w:rsidR="000C1B7C">
        <w:t>33(2): 356-366.</w:t>
      </w:r>
    </w:p>
    <w:p w:rsidR="00EB44E2" w:rsidRDefault="00EB44E2">
      <w:r w:rsidRPr="00EB44E2">
        <w:lastRenderedPageBreak/>
        <w:t xml:space="preserve">Hansen, M.T. (2002). Knowledge Networks: Explaining Effective Knowledge Sharing in Multiunit Companies. </w:t>
      </w:r>
      <w:r w:rsidRPr="00EB44E2">
        <w:rPr>
          <w:b/>
        </w:rPr>
        <w:t>Organization Science</w:t>
      </w:r>
      <w:r w:rsidRPr="00EB44E2">
        <w:t>, 13(3): 232-248.</w:t>
      </w:r>
    </w:p>
    <w:p w:rsidR="000907F9" w:rsidRDefault="000907F9">
      <w:r>
        <w:t xml:space="preserve">Harris, R., McAdam, R., McCausland, I. and Reid, R. (2013). Knowledge management as a source of innovation and competitive advantage for SMEs in peripheral regions. </w:t>
      </w:r>
      <w:r w:rsidRPr="000907F9">
        <w:rPr>
          <w:b/>
        </w:rPr>
        <w:t>International Journal of Entrepreneurship and Innovation,</w:t>
      </w:r>
      <w:r>
        <w:rPr>
          <w:b/>
        </w:rPr>
        <w:t xml:space="preserve"> </w:t>
      </w:r>
      <w:r w:rsidRPr="000907F9">
        <w:t>14(1): 49 – 61.</w:t>
      </w:r>
    </w:p>
    <w:p w:rsidR="00605E30" w:rsidRDefault="00605E30">
      <w:r>
        <w:t>Hashi, I. and Stojcic, N. (2013). The impact of innovation activities on firm performance using a multi-</w:t>
      </w:r>
      <w:r w:rsidR="00C4641D">
        <w:t xml:space="preserve">stage model: Evidence from the Community Innovation Survey 4. </w:t>
      </w:r>
      <w:r w:rsidR="00C4641D" w:rsidRPr="00C4641D">
        <w:rPr>
          <w:b/>
        </w:rPr>
        <w:t>Research Policy</w:t>
      </w:r>
      <w:r w:rsidR="00C4641D">
        <w:t>, 42: 353-366.</w:t>
      </w:r>
    </w:p>
    <w:p w:rsidR="00EB44E2" w:rsidRDefault="00EB44E2">
      <w:r w:rsidRPr="00EB44E2">
        <w:t xml:space="preserve">Helfat, C. E. &amp; Winter, S.G., (2011). Untangling dynamic and operational capabilities: strategy for the (N)ever-changing world. </w:t>
      </w:r>
      <w:r w:rsidRPr="00EB44E2">
        <w:rPr>
          <w:b/>
        </w:rPr>
        <w:t>Strategic Management Journal</w:t>
      </w:r>
      <w:r w:rsidRPr="00EB44E2">
        <w:t xml:space="preserve">, 32: 1243-1250. </w:t>
      </w:r>
    </w:p>
    <w:p w:rsidR="00E24E01" w:rsidRDefault="00E24E01" w:rsidP="00E24E01">
      <w:r>
        <w:t xml:space="preserve">Hertog, P M Gallouj, F. and Segers, J. (2011). Measuring innovation in a ‘low tech’ service industry: the case of the Dutch hospitality industry.  </w:t>
      </w:r>
      <w:r w:rsidRPr="00E24E01">
        <w:rPr>
          <w:b/>
        </w:rPr>
        <w:t>The Service Industries Journal,</w:t>
      </w:r>
      <w:r>
        <w:t xml:space="preserve"> 31(9): 1429-1449.</w:t>
      </w:r>
    </w:p>
    <w:p w:rsidR="00EB44E2" w:rsidRDefault="00EB44E2" w:rsidP="00E24E01">
      <w:r w:rsidRPr="00EB44E2">
        <w:t xml:space="preserve">Hine, D., Parker, R., Pregelj, L. &amp; Verreynne, M. (2013). Deconstructing and reconstructing the capability hierarchy. </w:t>
      </w:r>
      <w:r w:rsidRPr="00EB44E2">
        <w:rPr>
          <w:b/>
        </w:rPr>
        <w:t>Industry Corporation Change</w:t>
      </w:r>
      <w:r w:rsidRPr="00EB44E2">
        <w:t xml:space="preserve">, doi: 10.1093/icc/dtt046 </w:t>
      </w:r>
    </w:p>
    <w:p w:rsidR="00E7176F" w:rsidRPr="00E24E01" w:rsidRDefault="00E7176F" w:rsidP="00E24E01">
      <w:r>
        <w:t xml:space="preserve">Hjalager, A-M. (2002). Repairing innovation defectiveness in tourism. </w:t>
      </w:r>
      <w:r w:rsidRPr="00E01EFB">
        <w:rPr>
          <w:b/>
        </w:rPr>
        <w:t>Tourism Management</w:t>
      </w:r>
      <w:r>
        <w:t xml:space="preserve">, 23: 465-474. </w:t>
      </w:r>
    </w:p>
    <w:p w:rsidR="00E24E01" w:rsidRDefault="00E24E01" w:rsidP="00E24E01">
      <w:r>
        <w:t xml:space="preserve">Hjalager, A-M. (2010). A review of innovation research in tourism. </w:t>
      </w:r>
      <w:r w:rsidRPr="00E01EFB">
        <w:rPr>
          <w:b/>
        </w:rPr>
        <w:t>Tourism Management</w:t>
      </w:r>
      <w:r>
        <w:t>, 31: 1 – 12.</w:t>
      </w:r>
    </w:p>
    <w:p w:rsidR="00CD37EC" w:rsidRDefault="00E31562">
      <w:r>
        <w:t xml:space="preserve">Hjalager, A-M., and Flagestad, A. (2012) Innovations in well-being tourism in the Nordic countries. </w:t>
      </w:r>
      <w:r>
        <w:rPr>
          <w:b/>
        </w:rPr>
        <w:t>Current I</w:t>
      </w:r>
      <w:r w:rsidRPr="00E31562">
        <w:rPr>
          <w:b/>
        </w:rPr>
        <w:t>ssues in Tourism</w:t>
      </w:r>
      <w:r>
        <w:t>, 15(8): 725-740.</w:t>
      </w:r>
    </w:p>
    <w:p w:rsidR="005D763B" w:rsidRDefault="005D763B">
      <w:r>
        <w:t xml:space="preserve">Hogan, S.J. and Coote, L.V. (2013) Organisational culture, innovation, and performance: A test of Schein’s model. </w:t>
      </w:r>
      <w:r w:rsidRPr="005D763B">
        <w:rPr>
          <w:b/>
        </w:rPr>
        <w:t>Journal of Business Research</w:t>
      </w:r>
      <w:r>
        <w:t xml:space="preserve"> (published online)</w:t>
      </w:r>
    </w:p>
    <w:p w:rsidR="00B0542E" w:rsidRDefault="00B0542E">
      <w:r>
        <w:t xml:space="preserve">Hox, J.J., and Bechger, T.M. (1999). An introduction to structural equation modelling. </w:t>
      </w:r>
      <w:r>
        <w:rPr>
          <w:b/>
        </w:rPr>
        <w:t>Family Science Review</w:t>
      </w:r>
      <w:r>
        <w:t>. 11: 354-373.</w:t>
      </w:r>
    </w:p>
    <w:p w:rsidR="00E924A7" w:rsidRPr="00B0542E" w:rsidRDefault="00E924A7" w:rsidP="00E924A7">
      <w:r>
        <w:t xml:space="preserve">Inkpen, A. C., &amp; Tsang, E. W. K. (2005). Social capital, networks and knowledge transfer. </w:t>
      </w:r>
      <w:r w:rsidRPr="00E924A7">
        <w:rPr>
          <w:b/>
        </w:rPr>
        <w:t>Academy of Management Review</w:t>
      </w:r>
      <w:r>
        <w:t>, 30(1), 146-165.</w:t>
      </w:r>
    </w:p>
    <w:p w:rsidR="00CD37EC" w:rsidRDefault="00CD37EC">
      <w:r>
        <w:t xml:space="preserve">Jansen, J.J., van den Bosch, F.A.J. and Volberda, H.W. (2005). Managing potential and realized absorptive capacity: How do organizational antecedents matter? </w:t>
      </w:r>
      <w:r w:rsidRPr="00CD37EC">
        <w:rPr>
          <w:b/>
        </w:rPr>
        <w:t>Research in Management</w:t>
      </w:r>
      <w:r>
        <w:rPr>
          <w:b/>
        </w:rPr>
        <w:t xml:space="preserve">, </w:t>
      </w:r>
      <w:r>
        <w:t>ERIM Report Series: 2005-025-STR, April.</w:t>
      </w:r>
    </w:p>
    <w:p w:rsidR="00F1602F" w:rsidRDefault="00F1602F">
      <w:r>
        <w:t xml:space="preserve">Jimenez-Barrionuevo, M.M., Garcia-Morales, V.J. and Molina, L.M. (2011) Validation of an instrument to measure absorptive capacity. </w:t>
      </w:r>
      <w:r w:rsidRPr="00F1602F">
        <w:rPr>
          <w:b/>
        </w:rPr>
        <w:t>Technovation</w:t>
      </w:r>
      <w:r>
        <w:t>, 31: 190-202.</w:t>
      </w:r>
    </w:p>
    <w:p w:rsidR="00607869" w:rsidRDefault="00607869" w:rsidP="00607869">
      <w:r>
        <w:t xml:space="preserve">Jaworski B.J., and  Kohli A.K. (1993). Market orientation - Antecedents and consequences. </w:t>
      </w:r>
      <w:r w:rsidRPr="00607869">
        <w:rPr>
          <w:b/>
        </w:rPr>
        <w:t>Journal Of Marketing</w:t>
      </w:r>
      <w:r>
        <w:rPr>
          <w:b/>
        </w:rPr>
        <w:t xml:space="preserve">, </w:t>
      </w:r>
      <w:r>
        <w:t>57(3): 53-70</w:t>
      </w:r>
      <w:r w:rsidR="00EB44E2">
        <w:t>.</w:t>
      </w:r>
    </w:p>
    <w:p w:rsidR="00EB44E2" w:rsidRPr="00CD37EC" w:rsidRDefault="00EB44E2" w:rsidP="00607869">
      <w:r w:rsidRPr="00EB44E2">
        <w:t xml:space="preserve">Katkalo, V. S., Pitelis, C. N., &amp; Teece, D. J. (2010). Introduction: On the nature and scope of dynamic capabilities. </w:t>
      </w:r>
      <w:r w:rsidRPr="00EB44E2">
        <w:rPr>
          <w:b/>
        </w:rPr>
        <w:t>Industrial and Corporate Change</w:t>
      </w:r>
      <w:r w:rsidRPr="00EB44E2">
        <w:t>, 19 (4): 1175-1186.</w:t>
      </w:r>
    </w:p>
    <w:p w:rsidR="00210569" w:rsidRDefault="00210569">
      <w:r w:rsidRPr="00210569">
        <w:lastRenderedPageBreak/>
        <w:t>Keegan,</w:t>
      </w:r>
      <w:r>
        <w:t xml:space="preserve"> S.N., and</w:t>
      </w:r>
      <w:r w:rsidRPr="00210569">
        <w:t xml:space="preserve"> Lucas,</w:t>
      </w:r>
      <w:r>
        <w:t xml:space="preserve"> R. (2005).</w:t>
      </w:r>
      <w:r w:rsidRPr="00210569">
        <w:t xml:space="preserve"> Hospitality to hostility: dealing with low response rates in postal surveys, </w:t>
      </w:r>
      <w:r w:rsidRPr="00210569">
        <w:rPr>
          <w:b/>
        </w:rPr>
        <w:t>International Journal of Hospitality Management</w:t>
      </w:r>
      <w:r w:rsidRPr="00210569">
        <w:t>, 24</w:t>
      </w:r>
      <w:r>
        <w:t xml:space="preserve"> (</w:t>
      </w:r>
      <w:r w:rsidRPr="00210569">
        <w:t>2</w:t>
      </w:r>
      <w:r>
        <w:t xml:space="preserve">): </w:t>
      </w:r>
      <w:r w:rsidRPr="00210569">
        <w:t>157-169</w:t>
      </w:r>
    </w:p>
    <w:p w:rsidR="00EB44E2" w:rsidRDefault="005D763B">
      <w:r>
        <w:t xml:space="preserve">King, B.E., Breen, J. and Whitelaw, P.A. (2012). Hungry for growth? Small and medium-sized tourism enterprise (SMTE) business ambitions, knowledge acquisition and industry engagement. </w:t>
      </w:r>
      <w:r w:rsidRPr="005D763B">
        <w:rPr>
          <w:b/>
        </w:rPr>
        <w:t>International Journal of Tourism Research,</w:t>
      </w:r>
      <w:r>
        <w:t xml:space="preserve"> (published online)</w:t>
      </w:r>
    </w:p>
    <w:p w:rsidR="00D73E60" w:rsidRDefault="00D73E60">
      <w:r>
        <w:t xml:space="preserve">Kostopoulos, K., Papalexandris, A., Papachroni, M. and Ioannou, G. (2011). Absorptive capacity, innovation, and financial performance.  </w:t>
      </w:r>
      <w:r w:rsidRPr="00D73E60">
        <w:rPr>
          <w:b/>
        </w:rPr>
        <w:t>Journal of Business Research</w:t>
      </w:r>
      <w:r>
        <w:t xml:space="preserve">, 64: 1335-1343. </w:t>
      </w:r>
    </w:p>
    <w:p w:rsidR="00E24E01" w:rsidRDefault="00E24E01">
      <w:r>
        <w:t xml:space="preserve">Krizaj, D. Brodnik, A. and Bukovec, B. (2012). A tool for measurement of innovation newness and adoption in tourism firms.  </w:t>
      </w:r>
      <w:r>
        <w:rPr>
          <w:b/>
        </w:rPr>
        <w:t>International Journal of Tourism Research</w:t>
      </w:r>
      <w:r>
        <w:t xml:space="preserve">, </w:t>
      </w:r>
      <w:r w:rsidR="005D763B">
        <w:t>published online.</w:t>
      </w:r>
    </w:p>
    <w:p w:rsidR="0078771F" w:rsidRDefault="0078771F">
      <w:r>
        <w:t xml:space="preserve">Lane, P.J., Koka, B.R. and Pathak, S (2006).  The reification of absorptive capacity: A critical review and rejuvenation of the construct. </w:t>
      </w:r>
      <w:r w:rsidRPr="0078771F">
        <w:rPr>
          <w:b/>
        </w:rPr>
        <w:t>Academy of Management Review</w:t>
      </w:r>
      <w:r>
        <w:t>, 31(4): 833-863.</w:t>
      </w:r>
    </w:p>
    <w:p w:rsidR="00DE7B45" w:rsidRDefault="00DE7B45">
      <w:r>
        <w:t xml:space="preserve">Lichtenthaler, U. and Lichtenthaler, E. (2009). A capability-based framework for open innovation: Complementing absorptive capacity. </w:t>
      </w:r>
      <w:r w:rsidRPr="00DE7B45">
        <w:rPr>
          <w:b/>
        </w:rPr>
        <w:t>Journal of Management Studies</w:t>
      </w:r>
      <w:r>
        <w:t>, 46(8): 1315-1338.</w:t>
      </w:r>
    </w:p>
    <w:p w:rsidR="00D73E60" w:rsidRDefault="00D73E60">
      <w:r>
        <w:t xml:space="preserve">Mei, X.Y., Arcodia, C. and Ruhanen, L. (2012). Towards tourism innovation: A critical review of public policies at the national level.  </w:t>
      </w:r>
      <w:r w:rsidRPr="00D73E60">
        <w:rPr>
          <w:b/>
        </w:rPr>
        <w:t>Tourism Management Perspectives</w:t>
      </w:r>
      <w:r>
        <w:t>, 4: 92-105.</w:t>
      </w:r>
    </w:p>
    <w:p w:rsidR="00B0542E" w:rsidRDefault="00B0542E">
      <w:r>
        <w:t xml:space="preserve">Mueller, R.O., and Hancock, G.R. (2008). Best practices in structural equation modelling. In Osborne, J. (ed.) </w:t>
      </w:r>
      <w:r>
        <w:rPr>
          <w:b/>
        </w:rPr>
        <w:t>Best Practices in Quantitaive Methods</w:t>
      </w:r>
      <w:r>
        <w:t>. Sage.  Chapter 32: 488-508</w:t>
      </w:r>
    </w:p>
    <w:p w:rsidR="00F76D69" w:rsidRPr="00F76D69" w:rsidRDefault="00F76D69">
      <w:r>
        <w:t xml:space="preserve">Nachtigall, C.,  Kroehne, U., Funke, F., and Steyer, R. (2003). (Why) Should we use SEM? Pros and cons of structural equation modelling. </w:t>
      </w:r>
      <w:r>
        <w:rPr>
          <w:b/>
        </w:rPr>
        <w:t>Methods of Psychological Research Online</w:t>
      </w:r>
      <w:r>
        <w:t>. 8(2): 1-22</w:t>
      </w:r>
    </w:p>
    <w:p w:rsidR="009E4D14" w:rsidRDefault="009E4D14">
      <w:r>
        <w:t xml:space="preserve">Nicolau, J.L. and Santa-Maria, M.J. (2012). The effect of innovation on hotel market value. </w:t>
      </w:r>
      <w:r w:rsidRPr="009E4D14">
        <w:rPr>
          <w:b/>
        </w:rPr>
        <w:t>International Journal of Hospitality Management</w:t>
      </w:r>
      <w:r>
        <w:t>, In press.</w:t>
      </w:r>
    </w:p>
    <w:p w:rsidR="005D763B" w:rsidRDefault="005D763B">
      <w:r>
        <w:t xml:space="preserve">Nieves, J. and Haller, S. (2014) Building dynamic capabilities through knowledge resources. </w:t>
      </w:r>
      <w:r w:rsidRPr="005D763B">
        <w:rPr>
          <w:b/>
        </w:rPr>
        <w:t>Tourism Management</w:t>
      </w:r>
      <w:r>
        <w:t>, 40: 224 – 232.</w:t>
      </w:r>
    </w:p>
    <w:p w:rsidR="00E31562" w:rsidRDefault="00E31562">
      <w:r>
        <w:t xml:space="preserve">Orfila-Sintes, F., Crespi-Cladera, R. Martinez-Ros, E. (2005). Innovation activity in the hotel industry: Evidence from the Balearic Islands. </w:t>
      </w:r>
      <w:r w:rsidRPr="00171253">
        <w:rPr>
          <w:b/>
        </w:rPr>
        <w:t>Tourism Management</w:t>
      </w:r>
      <w:r w:rsidR="00171253">
        <w:t>, 26: 851-865.</w:t>
      </w:r>
    </w:p>
    <w:p w:rsidR="00CE0DC5" w:rsidRDefault="00CE0DC5">
      <w:r>
        <w:t xml:space="preserve">Ottenbacher, M.C. (2007). Innovation management in the hospitality industry: Different strategies for achieving success.  </w:t>
      </w:r>
      <w:r w:rsidRPr="009E4D14">
        <w:rPr>
          <w:b/>
        </w:rPr>
        <w:t>Journal of Hospitality and Tourism Research</w:t>
      </w:r>
      <w:r>
        <w:t>, 31(4): 431-454.</w:t>
      </w:r>
    </w:p>
    <w:p w:rsidR="009E4D14" w:rsidRDefault="009E4D14">
      <w:r>
        <w:t xml:space="preserve">Paget, E., Dimanche, f. and Mounet, J-P. (2010). A tourism innovation case: An actor-network approach.  </w:t>
      </w:r>
      <w:r w:rsidRPr="009E4D14">
        <w:rPr>
          <w:b/>
        </w:rPr>
        <w:t>Annals of Tourism Research</w:t>
      </w:r>
      <w:r>
        <w:t>, 37(3): 828-847.</w:t>
      </w:r>
    </w:p>
    <w:p w:rsidR="005D763B" w:rsidRDefault="005D763B">
      <w:r>
        <w:t xml:space="preserve">Reich, B.H., Gemino, A. and Sauer, C. (2013) How knowledge management impacts performance in projects: An empirical study.  </w:t>
      </w:r>
      <w:r w:rsidRPr="004F3F16">
        <w:rPr>
          <w:b/>
        </w:rPr>
        <w:t>International Journal of Project Management</w:t>
      </w:r>
      <w:r>
        <w:t>. Published online.</w:t>
      </w:r>
    </w:p>
    <w:p w:rsidR="003D7E65" w:rsidRDefault="003D7E65">
      <w:r>
        <w:t xml:space="preserve">Roberts, N., Galluch, P.S., Dinger, M. and Grover, V. (2012). Absorptive capacity and information systems research. </w:t>
      </w:r>
      <w:r w:rsidRPr="003D7E65">
        <w:rPr>
          <w:b/>
        </w:rPr>
        <w:t>MIS Quarterly</w:t>
      </w:r>
      <w:r>
        <w:t>, 36(2): 625-648.</w:t>
      </w:r>
    </w:p>
    <w:p w:rsidR="00EB44E2" w:rsidRDefault="00EB44E2">
      <w:r w:rsidRPr="00EB44E2">
        <w:lastRenderedPageBreak/>
        <w:t xml:space="preserve">Salvato, C. &amp; Rerup, C. (2011). Beyond Collective Entities: Multilevel Research on Organizational Routines and Capabilities. </w:t>
      </w:r>
      <w:r w:rsidRPr="00EB44E2">
        <w:rPr>
          <w:b/>
        </w:rPr>
        <w:t>Journal of Management</w:t>
      </w:r>
      <w:r w:rsidRPr="00EB44E2">
        <w:t>. 37(2):468-490.</w:t>
      </w:r>
    </w:p>
    <w:p w:rsidR="00F153C5" w:rsidRPr="00F153C5" w:rsidRDefault="00F153C5" w:rsidP="00F153C5">
      <w:r w:rsidRPr="00F153C5">
        <w:t xml:space="preserve">Scott, N., Baggio, R., and Cooper, C (2008) </w:t>
      </w:r>
      <w:r w:rsidRPr="00F153C5">
        <w:rPr>
          <w:b/>
        </w:rPr>
        <w:t>Network analysis and tourism: From theory to practice.</w:t>
      </w:r>
      <w:r w:rsidRPr="00F153C5">
        <w:t xml:space="preserve"> Clevedon: Channel View Publications.  </w:t>
      </w:r>
    </w:p>
    <w:p w:rsidR="00B17827" w:rsidRDefault="00C92B13">
      <w:r>
        <w:t xml:space="preserve">Shaw, G. and Williams, A. </w:t>
      </w:r>
      <w:r w:rsidR="00FA59EB">
        <w:t xml:space="preserve">(2009). </w:t>
      </w:r>
      <w:r>
        <w:t xml:space="preserve">Knowledge transfer and management in tourism organisations: An emerging research agenda. </w:t>
      </w:r>
      <w:r w:rsidRPr="00C92B13">
        <w:rPr>
          <w:b/>
        </w:rPr>
        <w:t>Tourism Management</w:t>
      </w:r>
      <w:r>
        <w:t xml:space="preserve">, </w:t>
      </w:r>
      <w:r w:rsidR="00FA59EB">
        <w:t>30: 325-335.</w:t>
      </w:r>
    </w:p>
    <w:p w:rsidR="00B17827" w:rsidRDefault="00E31562">
      <w:r>
        <w:t>Sorensen, F. (2007)</w:t>
      </w:r>
      <w:r w:rsidR="00D75B28">
        <w:t>.</w:t>
      </w:r>
      <w:r>
        <w:t xml:space="preserve"> The geographies of social networks and innovation in tourism. </w:t>
      </w:r>
      <w:r w:rsidRPr="00E31562">
        <w:rPr>
          <w:b/>
        </w:rPr>
        <w:t xml:space="preserve">Tourism </w:t>
      </w:r>
      <w:r>
        <w:rPr>
          <w:b/>
        </w:rPr>
        <w:t>G</w:t>
      </w:r>
      <w:r w:rsidRPr="00E31562">
        <w:rPr>
          <w:b/>
        </w:rPr>
        <w:t>eographies,</w:t>
      </w:r>
      <w:r>
        <w:t xml:space="preserve"> 9(1): 22-48.</w:t>
      </w:r>
    </w:p>
    <w:p w:rsidR="00E7176F" w:rsidRDefault="00E7176F">
      <w:r>
        <w:t xml:space="preserve">Staber, U. (2013). </w:t>
      </w:r>
      <w:r w:rsidRPr="00E7176F">
        <w:rPr>
          <w:b/>
        </w:rPr>
        <w:t>Understanding organisations: Theories and images</w:t>
      </w:r>
      <w:r>
        <w:t>. London: Sage.</w:t>
      </w:r>
    </w:p>
    <w:p w:rsidR="00D75B28" w:rsidRDefault="00D75B28">
      <w:r>
        <w:t>Sun,</w:t>
      </w:r>
      <w:r w:rsidR="0080522F">
        <w:t xml:space="preserve"> P.Y.T. and Anderson, M.H. (2008</w:t>
      </w:r>
      <w:r>
        <w:t xml:space="preserve">). An examination of the relationship between absorptive capacity and organizational learning, and a proposed integration. </w:t>
      </w:r>
      <w:r w:rsidRPr="00D75B28">
        <w:rPr>
          <w:b/>
        </w:rPr>
        <w:t>International Journal of Management Reviews</w:t>
      </w:r>
      <w:r>
        <w:t xml:space="preserve">, </w:t>
      </w:r>
      <w:r w:rsidR="0080522F">
        <w:t>130 - 150</w:t>
      </w:r>
    </w:p>
    <w:p w:rsidR="001B11AD" w:rsidRDefault="001B11AD">
      <w:pPr>
        <w:rPr>
          <w:i/>
        </w:rPr>
      </w:pPr>
      <w:r>
        <w:t>Tejada, P. and Moreno, P. (201</w:t>
      </w:r>
      <w:r w:rsidR="00B546D0">
        <w:t>3</w:t>
      </w:r>
      <w:r>
        <w:t xml:space="preserve">). Patterns of innovation in tourism ‘small and medium-sized enterprises’.  </w:t>
      </w:r>
      <w:r w:rsidRPr="001B11AD">
        <w:rPr>
          <w:b/>
        </w:rPr>
        <w:t>The Service Industries Journal,</w:t>
      </w:r>
      <w:r>
        <w:t xml:space="preserve"> </w:t>
      </w:r>
      <w:r w:rsidR="00B546D0">
        <w:t>33(7-8): 749-758.</w:t>
      </w:r>
    </w:p>
    <w:p w:rsidR="00F76D69" w:rsidRDefault="00F76D69">
      <w:r>
        <w:t xml:space="preserve">Tabachnick , B.G., and Fidell, L.S. (2013). </w:t>
      </w:r>
      <w:r>
        <w:rPr>
          <w:b/>
        </w:rPr>
        <w:t>Using Multivariate Statistics (6</w:t>
      </w:r>
      <w:r w:rsidRPr="00F76D69">
        <w:rPr>
          <w:b/>
          <w:vertAlign w:val="superscript"/>
        </w:rPr>
        <w:t>th</w:t>
      </w:r>
      <w:r>
        <w:rPr>
          <w:b/>
        </w:rPr>
        <w:t xml:space="preserve"> Ed). </w:t>
      </w:r>
      <w:r>
        <w:t>Boston: Allyn Bacon</w:t>
      </w:r>
    </w:p>
    <w:p w:rsidR="00F1602F" w:rsidRPr="00F1602F" w:rsidRDefault="00F1602F">
      <w:r>
        <w:t xml:space="preserve">Thomas, R (2012). Business elites, universities and knowledge transfer in tourism.  </w:t>
      </w:r>
      <w:r w:rsidRPr="00F1602F">
        <w:rPr>
          <w:b/>
        </w:rPr>
        <w:t>Tourism Management</w:t>
      </w:r>
      <w:r>
        <w:t xml:space="preserve">, 33(3): 553-561. </w:t>
      </w:r>
    </w:p>
    <w:p w:rsidR="00884508" w:rsidRPr="00884508" w:rsidRDefault="00884508">
      <w:r>
        <w:t xml:space="preserve">Tseng, C-Y., Kuo, H-Y. and Chou, S-S. (2008) Configuration of innovation and performance in the service industry: evidence from the Taiwanese hotel industry. </w:t>
      </w:r>
      <w:r>
        <w:rPr>
          <w:b/>
        </w:rPr>
        <w:t>The Service I</w:t>
      </w:r>
      <w:r w:rsidRPr="00884508">
        <w:rPr>
          <w:b/>
        </w:rPr>
        <w:t>ndustries Journal</w:t>
      </w:r>
      <w:r>
        <w:t>, 28(7): 1015-1028.</w:t>
      </w:r>
    </w:p>
    <w:p w:rsidR="00D73E60" w:rsidRDefault="00CE0DC5">
      <w:r>
        <w:t>Valentina, N. and Passiante, G. (</w:t>
      </w:r>
      <w:r w:rsidR="00BC4C49">
        <w:t xml:space="preserve">2009). Impacts of absorptive capacity on value creation.  </w:t>
      </w:r>
      <w:r w:rsidR="00BC4C49" w:rsidRPr="00BC4C49">
        <w:rPr>
          <w:b/>
        </w:rPr>
        <w:t>Anatolia: An International Journal of Tourism and Hospitality Research</w:t>
      </w:r>
      <w:r w:rsidR="00BC4C49">
        <w:t>, 20(2): 269-287.</w:t>
      </w:r>
    </w:p>
    <w:p w:rsidR="00E7176F" w:rsidRDefault="00E7176F">
      <w:r>
        <w:t xml:space="preserve">Van de Ven, A.H., Polley, D.E., Garud, R. and Venkataraman, S. (2008). </w:t>
      </w:r>
      <w:r w:rsidRPr="00E7176F">
        <w:rPr>
          <w:b/>
        </w:rPr>
        <w:t>The innovation journey.</w:t>
      </w:r>
      <w:r>
        <w:t xml:space="preserve"> Oxford: Oxford University Press.</w:t>
      </w:r>
    </w:p>
    <w:p w:rsidR="00EB44E2" w:rsidRPr="00EB44E2" w:rsidRDefault="00EB44E2" w:rsidP="00EB44E2">
      <w:bookmarkStart w:id="0" w:name="_GoBack"/>
      <w:bookmarkEnd w:id="0"/>
      <w:r w:rsidRPr="00EB44E2">
        <w:t xml:space="preserve">Vasudeva, G. &amp; Anand, J. (2011). Unpacking Absorptive Capacity: A Study of Knowledge Utilization from Alliance Portfolios. </w:t>
      </w:r>
      <w:r w:rsidRPr="00EB44E2">
        <w:rPr>
          <w:b/>
        </w:rPr>
        <w:t>Academy of Management Journal</w:t>
      </w:r>
      <w:r w:rsidRPr="00EB44E2">
        <w:t>. 54(3): 611-623.</w:t>
      </w:r>
    </w:p>
    <w:p w:rsidR="00EB44E2" w:rsidRDefault="00EB44E2">
      <w:r w:rsidRPr="00EB44E2">
        <w:t xml:space="preserve">Wales, W. J., Parida, V. &amp; Patel, P, C. (2013). Too much of a good thing? Absorptive capacity, firm performance, and the moderating role of entrepreneurial orientation.  </w:t>
      </w:r>
      <w:r w:rsidRPr="00EB44E2">
        <w:rPr>
          <w:b/>
        </w:rPr>
        <w:t>Strategic Management Journal</w:t>
      </w:r>
      <w:r w:rsidRPr="00EB44E2">
        <w:t>, 34(5): 622-633.</w:t>
      </w:r>
    </w:p>
    <w:p w:rsidR="00CE0DC5" w:rsidRPr="00CE0DC5" w:rsidRDefault="00D73E60">
      <w:r>
        <w:t xml:space="preserve">Weidenfeld, A., Williams, A.M. and Butler, R.W. </w:t>
      </w:r>
      <w:r w:rsidR="002E2FB5">
        <w:t xml:space="preserve">(2009) Knowledge transfer and innovation among attractions. </w:t>
      </w:r>
      <w:r w:rsidR="002E2FB5" w:rsidRPr="002E2FB5">
        <w:rPr>
          <w:b/>
        </w:rPr>
        <w:t>Annals of Tourism Research</w:t>
      </w:r>
      <w:r w:rsidR="002E2FB5">
        <w:t>, 37(3): 604-626.</w:t>
      </w:r>
      <w:r w:rsidR="00BC4C49">
        <w:t xml:space="preserve"> </w:t>
      </w:r>
    </w:p>
    <w:p w:rsidR="00FB0F46" w:rsidRDefault="00FB0F46">
      <w:r>
        <w:t>Williams, A.M. and Shaw, G. (2011)</w:t>
      </w:r>
      <w:r w:rsidR="00FF334D">
        <w:t>.</w:t>
      </w:r>
      <w:r>
        <w:t xml:space="preserve"> Internationalization and innovation in tourism. </w:t>
      </w:r>
      <w:r>
        <w:rPr>
          <w:b/>
        </w:rPr>
        <w:t>Annals of Tourism R</w:t>
      </w:r>
      <w:r w:rsidRPr="00FB0F46">
        <w:rPr>
          <w:b/>
        </w:rPr>
        <w:t>esearch,</w:t>
      </w:r>
      <w:r>
        <w:t xml:space="preserve"> </w:t>
      </w:r>
      <w:r w:rsidR="00FF334D">
        <w:t>38(1): 27-51.</w:t>
      </w:r>
    </w:p>
    <w:p w:rsidR="00536D23" w:rsidRDefault="00536D23">
      <w:r w:rsidRPr="00536D23">
        <w:lastRenderedPageBreak/>
        <w:t xml:space="preserve">Yasemin Y. K., &amp; Andrea, M. (2013). Dynamic managerial capabilities: Configuration and orchestration of top executives' capabilities and the firm's dominant logic. </w:t>
      </w:r>
      <w:r w:rsidRPr="00536D23">
        <w:rPr>
          <w:b/>
        </w:rPr>
        <w:t>Strategic Management Journal</w:t>
      </w:r>
      <w:r w:rsidRPr="00536D23">
        <w:t>, 34(2):233-244.</w:t>
      </w:r>
    </w:p>
    <w:p w:rsidR="000362A8" w:rsidRDefault="000362A8">
      <w:r w:rsidRPr="000362A8">
        <w:t xml:space="preserve">Xiao, H and Smith, S.L.J. (2006) The use of tourism knowledge: research propositions. </w:t>
      </w:r>
      <w:r w:rsidRPr="000362A8">
        <w:rPr>
          <w:b/>
        </w:rPr>
        <w:t>Annals of Tourism Research.</w:t>
      </w:r>
      <w:r w:rsidRPr="000362A8">
        <w:t xml:space="preserve">  34 (2): 310-331.</w:t>
      </w:r>
    </w:p>
    <w:p w:rsidR="008B2DB6" w:rsidRDefault="008E68E5">
      <w:r>
        <w:t>Zah</w:t>
      </w:r>
      <w:r w:rsidR="003D7E65">
        <w:t>ra, S.A. and George, G. (2002). Absorptive capacity</w:t>
      </w:r>
      <w:r w:rsidR="0072465B">
        <w:t xml:space="preserve">: A review, reconceptualization, and extension.  </w:t>
      </w:r>
      <w:r w:rsidR="0072465B" w:rsidRPr="0072465B">
        <w:rPr>
          <w:b/>
        </w:rPr>
        <w:t>Academy of Management Review</w:t>
      </w:r>
      <w:r w:rsidR="0072465B">
        <w:t>, 27(2): 185-203.</w:t>
      </w:r>
    </w:p>
    <w:p w:rsidR="00C13A0B" w:rsidRDefault="00C13A0B"/>
    <w:p w:rsidR="0061389C" w:rsidRDefault="0061389C"/>
    <w:sectPr w:rsidR="0061389C" w:rsidSect="0088181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FCD" w:rsidRDefault="001D4FCD" w:rsidP="00906D92">
      <w:pPr>
        <w:spacing w:after="0" w:line="240" w:lineRule="auto"/>
      </w:pPr>
      <w:r>
        <w:separator/>
      </w:r>
    </w:p>
  </w:endnote>
  <w:endnote w:type="continuationSeparator" w:id="0">
    <w:p w:rsidR="001D4FCD" w:rsidRDefault="001D4FCD" w:rsidP="00906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CA" w:rsidRDefault="005212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72297"/>
      <w:docPartObj>
        <w:docPartGallery w:val="Page Numbers (Bottom of Page)"/>
        <w:docPartUnique/>
      </w:docPartObj>
    </w:sdtPr>
    <w:sdtEndPr/>
    <w:sdtContent>
      <w:p w:rsidR="005212CA" w:rsidRDefault="005212CA">
        <w:pPr>
          <w:pStyle w:val="Footer"/>
          <w:jc w:val="right"/>
        </w:pPr>
        <w:r>
          <w:fldChar w:fldCharType="begin"/>
        </w:r>
        <w:r>
          <w:instrText xml:space="preserve"> PAGE   \* MERGEFORMAT </w:instrText>
        </w:r>
        <w:r>
          <w:fldChar w:fldCharType="separate"/>
        </w:r>
        <w:r w:rsidR="009459E5">
          <w:rPr>
            <w:noProof/>
          </w:rPr>
          <w:t>28</w:t>
        </w:r>
        <w:r>
          <w:rPr>
            <w:noProof/>
          </w:rPr>
          <w:fldChar w:fldCharType="end"/>
        </w:r>
      </w:p>
    </w:sdtContent>
  </w:sdt>
  <w:p w:rsidR="005212CA" w:rsidRDefault="005212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CA" w:rsidRDefault="00521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FCD" w:rsidRDefault="001D4FCD" w:rsidP="00906D92">
      <w:pPr>
        <w:spacing w:after="0" w:line="240" w:lineRule="auto"/>
      </w:pPr>
      <w:r>
        <w:separator/>
      </w:r>
    </w:p>
  </w:footnote>
  <w:footnote w:type="continuationSeparator" w:id="0">
    <w:p w:rsidR="001D4FCD" w:rsidRDefault="001D4FCD" w:rsidP="00906D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CA" w:rsidRDefault="005212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CA" w:rsidRDefault="005212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CA" w:rsidRDefault="00521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AB5"/>
    <w:multiLevelType w:val="multilevel"/>
    <w:tmpl w:val="C1B23DF4"/>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45701DFA"/>
    <w:multiLevelType w:val="hybridMultilevel"/>
    <w:tmpl w:val="EBFA6404"/>
    <w:lvl w:ilvl="0" w:tplc="411896E8">
      <w:start w:val="8"/>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4FB6012"/>
    <w:multiLevelType w:val="multilevel"/>
    <w:tmpl w:val="BF7CA700"/>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58A8613E"/>
    <w:multiLevelType w:val="hybridMultilevel"/>
    <w:tmpl w:val="B70CC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7C7EEB"/>
    <w:multiLevelType w:val="multilevel"/>
    <w:tmpl w:val="BDBA1CAE"/>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75B31C41"/>
    <w:multiLevelType w:val="hybridMultilevel"/>
    <w:tmpl w:val="D2660CF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19"/>
    <w:rsid w:val="00004E56"/>
    <w:rsid w:val="00006DCE"/>
    <w:rsid w:val="00016811"/>
    <w:rsid w:val="00025F13"/>
    <w:rsid w:val="00031612"/>
    <w:rsid w:val="000362A8"/>
    <w:rsid w:val="00044BB9"/>
    <w:rsid w:val="0005048C"/>
    <w:rsid w:val="000555D6"/>
    <w:rsid w:val="000653F7"/>
    <w:rsid w:val="00070A13"/>
    <w:rsid w:val="00084BC2"/>
    <w:rsid w:val="000907F9"/>
    <w:rsid w:val="000A581F"/>
    <w:rsid w:val="000B2FE2"/>
    <w:rsid w:val="000B7865"/>
    <w:rsid w:val="000C1B7C"/>
    <w:rsid w:val="000E3C61"/>
    <w:rsid w:val="00102872"/>
    <w:rsid w:val="0010573D"/>
    <w:rsid w:val="001178A1"/>
    <w:rsid w:val="001215A2"/>
    <w:rsid w:val="00121EDC"/>
    <w:rsid w:val="00123CC3"/>
    <w:rsid w:val="00123E4E"/>
    <w:rsid w:val="001260AE"/>
    <w:rsid w:val="00130F2C"/>
    <w:rsid w:val="00133D10"/>
    <w:rsid w:val="00135A4E"/>
    <w:rsid w:val="001406CD"/>
    <w:rsid w:val="001435D3"/>
    <w:rsid w:val="0014603D"/>
    <w:rsid w:val="001464C0"/>
    <w:rsid w:val="00151FCC"/>
    <w:rsid w:val="001567F0"/>
    <w:rsid w:val="00156B59"/>
    <w:rsid w:val="0016638A"/>
    <w:rsid w:val="00171253"/>
    <w:rsid w:val="00182B65"/>
    <w:rsid w:val="00184575"/>
    <w:rsid w:val="00187566"/>
    <w:rsid w:val="00192701"/>
    <w:rsid w:val="0019312E"/>
    <w:rsid w:val="001A726C"/>
    <w:rsid w:val="001B0529"/>
    <w:rsid w:val="001B11AD"/>
    <w:rsid w:val="001B5686"/>
    <w:rsid w:val="001C4F71"/>
    <w:rsid w:val="001D1FDE"/>
    <w:rsid w:val="001D2FB4"/>
    <w:rsid w:val="001D4FCD"/>
    <w:rsid w:val="001D79B5"/>
    <w:rsid w:val="001E0716"/>
    <w:rsid w:val="001E102C"/>
    <w:rsid w:val="001E3DCB"/>
    <w:rsid w:val="001F58B3"/>
    <w:rsid w:val="001F7779"/>
    <w:rsid w:val="00206E14"/>
    <w:rsid w:val="00210569"/>
    <w:rsid w:val="00211DF4"/>
    <w:rsid w:val="00216695"/>
    <w:rsid w:val="0023034D"/>
    <w:rsid w:val="002333E8"/>
    <w:rsid w:val="0023579A"/>
    <w:rsid w:val="0024233C"/>
    <w:rsid w:val="00252B2C"/>
    <w:rsid w:val="002560FD"/>
    <w:rsid w:val="00256572"/>
    <w:rsid w:val="0027403A"/>
    <w:rsid w:val="00281CC2"/>
    <w:rsid w:val="00284AD4"/>
    <w:rsid w:val="00287AC2"/>
    <w:rsid w:val="0029481F"/>
    <w:rsid w:val="00294AF8"/>
    <w:rsid w:val="002A2096"/>
    <w:rsid w:val="002A391A"/>
    <w:rsid w:val="002A4862"/>
    <w:rsid w:val="002B3103"/>
    <w:rsid w:val="002B7A6E"/>
    <w:rsid w:val="002D467A"/>
    <w:rsid w:val="002E10B5"/>
    <w:rsid w:val="002E2FB5"/>
    <w:rsid w:val="002E4479"/>
    <w:rsid w:val="002F23A6"/>
    <w:rsid w:val="002F3C57"/>
    <w:rsid w:val="00305C62"/>
    <w:rsid w:val="00311047"/>
    <w:rsid w:val="003174A2"/>
    <w:rsid w:val="003270F3"/>
    <w:rsid w:val="00336591"/>
    <w:rsid w:val="00343F86"/>
    <w:rsid w:val="003506ED"/>
    <w:rsid w:val="00351978"/>
    <w:rsid w:val="00357A0E"/>
    <w:rsid w:val="0036367F"/>
    <w:rsid w:val="00373058"/>
    <w:rsid w:val="00381076"/>
    <w:rsid w:val="003812F8"/>
    <w:rsid w:val="00392697"/>
    <w:rsid w:val="0039509E"/>
    <w:rsid w:val="003966DC"/>
    <w:rsid w:val="003A7455"/>
    <w:rsid w:val="003C3158"/>
    <w:rsid w:val="003D7E65"/>
    <w:rsid w:val="003F0D70"/>
    <w:rsid w:val="003F139B"/>
    <w:rsid w:val="003F70B9"/>
    <w:rsid w:val="004129EB"/>
    <w:rsid w:val="00412F34"/>
    <w:rsid w:val="0041566B"/>
    <w:rsid w:val="00417AC1"/>
    <w:rsid w:val="00423DCB"/>
    <w:rsid w:val="004317B4"/>
    <w:rsid w:val="0044089A"/>
    <w:rsid w:val="00442F40"/>
    <w:rsid w:val="004465DE"/>
    <w:rsid w:val="004554E3"/>
    <w:rsid w:val="004570A2"/>
    <w:rsid w:val="004713DF"/>
    <w:rsid w:val="00472E28"/>
    <w:rsid w:val="00476BE7"/>
    <w:rsid w:val="00485E6C"/>
    <w:rsid w:val="00495FF2"/>
    <w:rsid w:val="004C2DF0"/>
    <w:rsid w:val="004C6CFA"/>
    <w:rsid w:val="004E0088"/>
    <w:rsid w:val="004E10DA"/>
    <w:rsid w:val="004F3F16"/>
    <w:rsid w:val="004F4AA1"/>
    <w:rsid w:val="00506D0F"/>
    <w:rsid w:val="00516BD6"/>
    <w:rsid w:val="00520B10"/>
    <w:rsid w:val="005212CA"/>
    <w:rsid w:val="00526D49"/>
    <w:rsid w:val="00536D23"/>
    <w:rsid w:val="00544E41"/>
    <w:rsid w:val="00550D3A"/>
    <w:rsid w:val="0055698E"/>
    <w:rsid w:val="00556B68"/>
    <w:rsid w:val="00561836"/>
    <w:rsid w:val="00562F95"/>
    <w:rsid w:val="0056604A"/>
    <w:rsid w:val="0057497D"/>
    <w:rsid w:val="00575CA5"/>
    <w:rsid w:val="0058138E"/>
    <w:rsid w:val="005835B5"/>
    <w:rsid w:val="0058651D"/>
    <w:rsid w:val="00594E02"/>
    <w:rsid w:val="005953A8"/>
    <w:rsid w:val="005A00E8"/>
    <w:rsid w:val="005A17C0"/>
    <w:rsid w:val="005A36CF"/>
    <w:rsid w:val="005A38AA"/>
    <w:rsid w:val="005A7966"/>
    <w:rsid w:val="005B250C"/>
    <w:rsid w:val="005B4FA3"/>
    <w:rsid w:val="005C30C1"/>
    <w:rsid w:val="005C53A2"/>
    <w:rsid w:val="005C553F"/>
    <w:rsid w:val="005C6897"/>
    <w:rsid w:val="005D2506"/>
    <w:rsid w:val="005D3398"/>
    <w:rsid w:val="005D36A9"/>
    <w:rsid w:val="005D763B"/>
    <w:rsid w:val="005E53D1"/>
    <w:rsid w:val="00605E30"/>
    <w:rsid w:val="00607869"/>
    <w:rsid w:val="0061389C"/>
    <w:rsid w:val="0063153A"/>
    <w:rsid w:val="006566FE"/>
    <w:rsid w:val="00673BAD"/>
    <w:rsid w:val="006834CE"/>
    <w:rsid w:val="006A6B15"/>
    <w:rsid w:val="006A7B01"/>
    <w:rsid w:val="006B611D"/>
    <w:rsid w:val="006E3D98"/>
    <w:rsid w:val="006E5818"/>
    <w:rsid w:val="006F0BE3"/>
    <w:rsid w:val="006F49B3"/>
    <w:rsid w:val="00710532"/>
    <w:rsid w:val="007135F8"/>
    <w:rsid w:val="0072465B"/>
    <w:rsid w:val="007254C0"/>
    <w:rsid w:val="00731386"/>
    <w:rsid w:val="007341F6"/>
    <w:rsid w:val="00735243"/>
    <w:rsid w:val="00747309"/>
    <w:rsid w:val="00747D7B"/>
    <w:rsid w:val="007519E4"/>
    <w:rsid w:val="00753FF1"/>
    <w:rsid w:val="007630DD"/>
    <w:rsid w:val="007635D7"/>
    <w:rsid w:val="00767EAC"/>
    <w:rsid w:val="0078771F"/>
    <w:rsid w:val="00787913"/>
    <w:rsid w:val="007B4116"/>
    <w:rsid w:val="007B4419"/>
    <w:rsid w:val="007B62A4"/>
    <w:rsid w:val="007B63CC"/>
    <w:rsid w:val="007D31DE"/>
    <w:rsid w:val="007E1D31"/>
    <w:rsid w:val="007E5D91"/>
    <w:rsid w:val="007F2729"/>
    <w:rsid w:val="007F3AE2"/>
    <w:rsid w:val="00804525"/>
    <w:rsid w:val="0080522F"/>
    <w:rsid w:val="0080562D"/>
    <w:rsid w:val="0081234D"/>
    <w:rsid w:val="00814416"/>
    <w:rsid w:val="00815E4E"/>
    <w:rsid w:val="00821277"/>
    <w:rsid w:val="00852161"/>
    <w:rsid w:val="00855DEB"/>
    <w:rsid w:val="00856E38"/>
    <w:rsid w:val="0087472A"/>
    <w:rsid w:val="00881354"/>
    <w:rsid w:val="00881811"/>
    <w:rsid w:val="0088267E"/>
    <w:rsid w:val="00884508"/>
    <w:rsid w:val="00885029"/>
    <w:rsid w:val="00886701"/>
    <w:rsid w:val="00896B54"/>
    <w:rsid w:val="008B2DB6"/>
    <w:rsid w:val="008C6E8C"/>
    <w:rsid w:val="008D6900"/>
    <w:rsid w:val="008D6DEA"/>
    <w:rsid w:val="008E0E3D"/>
    <w:rsid w:val="008E6314"/>
    <w:rsid w:val="008E68E5"/>
    <w:rsid w:val="008F63B6"/>
    <w:rsid w:val="00904DB9"/>
    <w:rsid w:val="009054F5"/>
    <w:rsid w:val="00906D92"/>
    <w:rsid w:val="009120AB"/>
    <w:rsid w:val="00931792"/>
    <w:rsid w:val="00933694"/>
    <w:rsid w:val="009337E3"/>
    <w:rsid w:val="00935C4F"/>
    <w:rsid w:val="009459E5"/>
    <w:rsid w:val="00946419"/>
    <w:rsid w:val="00951907"/>
    <w:rsid w:val="0095523F"/>
    <w:rsid w:val="009615DF"/>
    <w:rsid w:val="0096170A"/>
    <w:rsid w:val="00961752"/>
    <w:rsid w:val="00970CF5"/>
    <w:rsid w:val="009759D1"/>
    <w:rsid w:val="00980DF6"/>
    <w:rsid w:val="00994482"/>
    <w:rsid w:val="009A49D8"/>
    <w:rsid w:val="009C4B9B"/>
    <w:rsid w:val="009D1ACB"/>
    <w:rsid w:val="009D2F28"/>
    <w:rsid w:val="009E0ADD"/>
    <w:rsid w:val="009E216C"/>
    <w:rsid w:val="009E4D14"/>
    <w:rsid w:val="00A01307"/>
    <w:rsid w:val="00A02B39"/>
    <w:rsid w:val="00A04827"/>
    <w:rsid w:val="00A06D64"/>
    <w:rsid w:val="00A12055"/>
    <w:rsid w:val="00A26E1A"/>
    <w:rsid w:val="00A3179D"/>
    <w:rsid w:val="00A3649E"/>
    <w:rsid w:val="00A364B5"/>
    <w:rsid w:val="00A4164E"/>
    <w:rsid w:val="00A46BCF"/>
    <w:rsid w:val="00A5104F"/>
    <w:rsid w:val="00A53368"/>
    <w:rsid w:val="00A63AE5"/>
    <w:rsid w:val="00A6542B"/>
    <w:rsid w:val="00A67B5A"/>
    <w:rsid w:val="00A71683"/>
    <w:rsid w:val="00AA42EC"/>
    <w:rsid w:val="00AB73AE"/>
    <w:rsid w:val="00AC3D42"/>
    <w:rsid w:val="00AC5A5C"/>
    <w:rsid w:val="00AE184A"/>
    <w:rsid w:val="00AE65CD"/>
    <w:rsid w:val="00AF429F"/>
    <w:rsid w:val="00AF70DA"/>
    <w:rsid w:val="00B00DF5"/>
    <w:rsid w:val="00B04003"/>
    <w:rsid w:val="00B0542E"/>
    <w:rsid w:val="00B13D3D"/>
    <w:rsid w:val="00B1505E"/>
    <w:rsid w:val="00B17827"/>
    <w:rsid w:val="00B30030"/>
    <w:rsid w:val="00B338B5"/>
    <w:rsid w:val="00B463F7"/>
    <w:rsid w:val="00B53964"/>
    <w:rsid w:val="00B546D0"/>
    <w:rsid w:val="00B554E0"/>
    <w:rsid w:val="00B61047"/>
    <w:rsid w:val="00B61080"/>
    <w:rsid w:val="00B66BC0"/>
    <w:rsid w:val="00B7149D"/>
    <w:rsid w:val="00B949BA"/>
    <w:rsid w:val="00BB410B"/>
    <w:rsid w:val="00BC00FD"/>
    <w:rsid w:val="00BC4C49"/>
    <w:rsid w:val="00BC7F2C"/>
    <w:rsid w:val="00BD67E9"/>
    <w:rsid w:val="00BF3A40"/>
    <w:rsid w:val="00BF76AD"/>
    <w:rsid w:val="00C00A15"/>
    <w:rsid w:val="00C01C0B"/>
    <w:rsid w:val="00C04951"/>
    <w:rsid w:val="00C13A0B"/>
    <w:rsid w:val="00C2289D"/>
    <w:rsid w:val="00C27B01"/>
    <w:rsid w:val="00C27B45"/>
    <w:rsid w:val="00C433BE"/>
    <w:rsid w:val="00C43508"/>
    <w:rsid w:val="00C4500E"/>
    <w:rsid w:val="00C4641D"/>
    <w:rsid w:val="00C47575"/>
    <w:rsid w:val="00C50BF1"/>
    <w:rsid w:val="00C52BD3"/>
    <w:rsid w:val="00C5404B"/>
    <w:rsid w:val="00C60453"/>
    <w:rsid w:val="00C66AF4"/>
    <w:rsid w:val="00C81CFE"/>
    <w:rsid w:val="00C92B13"/>
    <w:rsid w:val="00CA68DB"/>
    <w:rsid w:val="00CB10D1"/>
    <w:rsid w:val="00CC34E3"/>
    <w:rsid w:val="00CD01A3"/>
    <w:rsid w:val="00CD20EE"/>
    <w:rsid w:val="00CD37EC"/>
    <w:rsid w:val="00CE03AB"/>
    <w:rsid w:val="00CE0DC5"/>
    <w:rsid w:val="00CE2ED7"/>
    <w:rsid w:val="00D03E89"/>
    <w:rsid w:val="00D139DF"/>
    <w:rsid w:val="00D15322"/>
    <w:rsid w:val="00D16F1A"/>
    <w:rsid w:val="00D26E51"/>
    <w:rsid w:val="00D27CCB"/>
    <w:rsid w:val="00D37666"/>
    <w:rsid w:val="00D40C6B"/>
    <w:rsid w:val="00D41CE5"/>
    <w:rsid w:val="00D7213E"/>
    <w:rsid w:val="00D73E60"/>
    <w:rsid w:val="00D75B28"/>
    <w:rsid w:val="00D8584D"/>
    <w:rsid w:val="00D91731"/>
    <w:rsid w:val="00D94E0B"/>
    <w:rsid w:val="00D967A1"/>
    <w:rsid w:val="00DA6DD6"/>
    <w:rsid w:val="00DB20F9"/>
    <w:rsid w:val="00DB7A8B"/>
    <w:rsid w:val="00DC0508"/>
    <w:rsid w:val="00DD29D6"/>
    <w:rsid w:val="00DE7B45"/>
    <w:rsid w:val="00DF0CDC"/>
    <w:rsid w:val="00DF3750"/>
    <w:rsid w:val="00E01EFB"/>
    <w:rsid w:val="00E03D74"/>
    <w:rsid w:val="00E040C4"/>
    <w:rsid w:val="00E074A5"/>
    <w:rsid w:val="00E07866"/>
    <w:rsid w:val="00E17775"/>
    <w:rsid w:val="00E239BE"/>
    <w:rsid w:val="00E24E01"/>
    <w:rsid w:val="00E31562"/>
    <w:rsid w:val="00E344C7"/>
    <w:rsid w:val="00E34B35"/>
    <w:rsid w:val="00E35D08"/>
    <w:rsid w:val="00E428CC"/>
    <w:rsid w:val="00E545DB"/>
    <w:rsid w:val="00E60BBD"/>
    <w:rsid w:val="00E65B76"/>
    <w:rsid w:val="00E7176F"/>
    <w:rsid w:val="00E759AF"/>
    <w:rsid w:val="00E924A7"/>
    <w:rsid w:val="00EB3CC0"/>
    <w:rsid w:val="00EB44E2"/>
    <w:rsid w:val="00EC2D29"/>
    <w:rsid w:val="00EC2EE2"/>
    <w:rsid w:val="00EC6863"/>
    <w:rsid w:val="00ED1BAA"/>
    <w:rsid w:val="00EE5A62"/>
    <w:rsid w:val="00F016B3"/>
    <w:rsid w:val="00F03BD6"/>
    <w:rsid w:val="00F153C5"/>
    <w:rsid w:val="00F1602F"/>
    <w:rsid w:val="00F1688C"/>
    <w:rsid w:val="00F23D99"/>
    <w:rsid w:val="00F27099"/>
    <w:rsid w:val="00F27F37"/>
    <w:rsid w:val="00F33031"/>
    <w:rsid w:val="00F36BD3"/>
    <w:rsid w:val="00F37DDE"/>
    <w:rsid w:val="00F41464"/>
    <w:rsid w:val="00F7130B"/>
    <w:rsid w:val="00F745BB"/>
    <w:rsid w:val="00F76D69"/>
    <w:rsid w:val="00F77DEB"/>
    <w:rsid w:val="00F85224"/>
    <w:rsid w:val="00F93C0D"/>
    <w:rsid w:val="00F940D5"/>
    <w:rsid w:val="00F94B1C"/>
    <w:rsid w:val="00FA59EB"/>
    <w:rsid w:val="00FB0F46"/>
    <w:rsid w:val="00FB2930"/>
    <w:rsid w:val="00FC25D6"/>
    <w:rsid w:val="00FC271A"/>
    <w:rsid w:val="00FC5290"/>
    <w:rsid w:val="00FC5A8F"/>
    <w:rsid w:val="00FD1FDE"/>
    <w:rsid w:val="00FD2DA7"/>
    <w:rsid w:val="00FD351F"/>
    <w:rsid w:val="00FD72B6"/>
    <w:rsid w:val="00FE3045"/>
    <w:rsid w:val="00FE327D"/>
    <w:rsid w:val="00FE4E55"/>
    <w:rsid w:val="00FF3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0DA"/>
    <w:pPr>
      <w:ind w:left="720"/>
      <w:contextualSpacing/>
    </w:pPr>
  </w:style>
  <w:style w:type="paragraph" w:styleId="BalloonText">
    <w:name w:val="Balloon Text"/>
    <w:basedOn w:val="Normal"/>
    <w:link w:val="BalloonTextChar"/>
    <w:uiPriority w:val="99"/>
    <w:semiHidden/>
    <w:unhideWhenUsed/>
    <w:rsid w:val="00D37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666"/>
    <w:rPr>
      <w:rFonts w:ascii="Tahoma" w:hAnsi="Tahoma" w:cs="Tahoma"/>
      <w:sz w:val="16"/>
      <w:szCs w:val="16"/>
    </w:rPr>
  </w:style>
  <w:style w:type="paragraph" w:styleId="Header">
    <w:name w:val="header"/>
    <w:basedOn w:val="Normal"/>
    <w:link w:val="HeaderChar"/>
    <w:uiPriority w:val="99"/>
    <w:semiHidden/>
    <w:unhideWhenUsed/>
    <w:rsid w:val="00906D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6D92"/>
  </w:style>
  <w:style w:type="paragraph" w:styleId="Footer">
    <w:name w:val="footer"/>
    <w:basedOn w:val="Normal"/>
    <w:link w:val="FooterChar"/>
    <w:uiPriority w:val="99"/>
    <w:unhideWhenUsed/>
    <w:rsid w:val="00906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D92"/>
  </w:style>
  <w:style w:type="character" w:styleId="Hyperlink">
    <w:name w:val="Hyperlink"/>
    <w:basedOn w:val="DefaultParagraphFont"/>
    <w:uiPriority w:val="99"/>
    <w:unhideWhenUsed/>
    <w:rsid w:val="009C4B9B"/>
    <w:rPr>
      <w:color w:val="0000FF" w:themeColor="hyperlink"/>
      <w:u w:val="single"/>
    </w:rPr>
  </w:style>
  <w:style w:type="character" w:styleId="CommentReference">
    <w:name w:val="annotation reference"/>
    <w:basedOn w:val="DefaultParagraphFont"/>
    <w:uiPriority w:val="99"/>
    <w:semiHidden/>
    <w:unhideWhenUsed/>
    <w:rsid w:val="00E35D08"/>
    <w:rPr>
      <w:sz w:val="16"/>
      <w:szCs w:val="16"/>
    </w:rPr>
  </w:style>
  <w:style w:type="paragraph" w:styleId="CommentText">
    <w:name w:val="annotation text"/>
    <w:basedOn w:val="Normal"/>
    <w:link w:val="CommentTextChar"/>
    <w:uiPriority w:val="99"/>
    <w:semiHidden/>
    <w:unhideWhenUsed/>
    <w:rsid w:val="00E35D08"/>
    <w:pPr>
      <w:spacing w:line="240" w:lineRule="auto"/>
    </w:pPr>
    <w:rPr>
      <w:sz w:val="20"/>
      <w:szCs w:val="20"/>
    </w:rPr>
  </w:style>
  <w:style w:type="character" w:customStyle="1" w:styleId="CommentTextChar">
    <w:name w:val="Comment Text Char"/>
    <w:basedOn w:val="DefaultParagraphFont"/>
    <w:link w:val="CommentText"/>
    <w:uiPriority w:val="99"/>
    <w:semiHidden/>
    <w:rsid w:val="00E35D08"/>
    <w:rPr>
      <w:sz w:val="20"/>
      <w:szCs w:val="20"/>
    </w:rPr>
  </w:style>
  <w:style w:type="paragraph" w:styleId="CommentSubject">
    <w:name w:val="annotation subject"/>
    <w:basedOn w:val="CommentText"/>
    <w:next w:val="CommentText"/>
    <w:link w:val="CommentSubjectChar"/>
    <w:uiPriority w:val="99"/>
    <w:semiHidden/>
    <w:unhideWhenUsed/>
    <w:rsid w:val="00E35D08"/>
    <w:rPr>
      <w:b/>
      <w:bCs/>
    </w:rPr>
  </w:style>
  <w:style w:type="character" w:customStyle="1" w:styleId="CommentSubjectChar">
    <w:name w:val="Comment Subject Char"/>
    <w:basedOn w:val="CommentTextChar"/>
    <w:link w:val="CommentSubject"/>
    <w:uiPriority w:val="99"/>
    <w:semiHidden/>
    <w:rsid w:val="00E35D08"/>
    <w:rPr>
      <w:b/>
      <w:bCs/>
      <w:sz w:val="20"/>
      <w:szCs w:val="20"/>
    </w:rPr>
  </w:style>
  <w:style w:type="table" w:styleId="TableGrid">
    <w:name w:val="Table Grid"/>
    <w:basedOn w:val="TableNormal"/>
    <w:uiPriority w:val="59"/>
    <w:rsid w:val="001D2FB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0DA"/>
    <w:pPr>
      <w:ind w:left="720"/>
      <w:contextualSpacing/>
    </w:pPr>
  </w:style>
  <w:style w:type="paragraph" w:styleId="BalloonText">
    <w:name w:val="Balloon Text"/>
    <w:basedOn w:val="Normal"/>
    <w:link w:val="BalloonTextChar"/>
    <w:uiPriority w:val="99"/>
    <w:semiHidden/>
    <w:unhideWhenUsed/>
    <w:rsid w:val="00D37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666"/>
    <w:rPr>
      <w:rFonts w:ascii="Tahoma" w:hAnsi="Tahoma" w:cs="Tahoma"/>
      <w:sz w:val="16"/>
      <w:szCs w:val="16"/>
    </w:rPr>
  </w:style>
  <w:style w:type="paragraph" w:styleId="Header">
    <w:name w:val="header"/>
    <w:basedOn w:val="Normal"/>
    <w:link w:val="HeaderChar"/>
    <w:uiPriority w:val="99"/>
    <w:semiHidden/>
    <w:unhideWhenUsed/>
    <w:rsid w:val="00906D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6D92"/>
  </w:style>
  <w:style w:type="paragraph" w:styleId="Footer">
    <w:name w:val="footer"/>
    <w:basedOn w:val="Normal"/>
    <w:link w:val="FooterChar"/>
    <w:uiPriority w:val="99"/>
    <w:unhideWhenUsed/>
    <w:rsid w:val="00906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D92"/>
  </w:style>
  <w:style w:type="character" w:styleId="Hyperlink">
    <w:name w:val="Hyperlink"/>
    <w:basedOn w:val="DefaultParagraphFont"/>
    <w:uiPriority w:val="99"/>
    <w:unhideWhenUsed/>
    <w:rsid w:val="009C4B9B"/>
    <w:rPr>
      <w:color w:val="0000FF" w:themeColor="hyperlink"/>
      <w:u w:val="single"/>
    </w:rPr>
  </w:style>
  <w:style w:type="character" w:styleId="CommentReference">
    <w:name w:val="annotation reference"/>
    <w:basedOn w:val="DefaultParagraphFont"/>
    <w:uiPriority w:val="99"/>
    <w:semiHidden/>
    <w:unhideWhenUsed/>
    <w:rsid w:val="00E35D08"/>
    <w:rPr>
      <w:sz w:val="16"/>
      <w:szCs w:val="16"/>
    </w:rPr>
  </w:style>
  <w:style w:type="paragraph" w:styleId="CommentText">
    <w:name w:val="annotation text"/>
    <w:basedOn w:val="Normal"/>
    <w:link w:val="CommentTextChar"/>
    <w:uiPriority w:val="99"/>
    <w:semiHidden/>
    <w:unhideWhenUsed/>
    <w:rsid w:val="00E35D08"/>
    <w:pPr>
      <w:spacing w:line="240" w:lineRule="auto"/>
    </w:pPr>
    <w:rPr>
      <w:sz w:val="20"/>
      <w:szCs w:val="20"/>
    </w:rPr>
  </w:style>
  <w:style w:type="character" w:customStyle="1" w:styleId="CommentTextChar">
    <w:name w:val="Comment Text Char"/>
    <w:basedOn w:val="DefaultParagraphFont"/>
    <w:link w:val="CommentText"/>
    <w:uiPriority w:val="99"/>
    <w:semiHidden/>
    <w:rsid w:val="00E35D08"/>
    <w:rPr>
      <w:sz w:val="20"/>
      <w:szCs w:val="20"/>
    </w:rPr>
  </w:style>
  <w:style w:type="paragraph" w:styleId="CommentSubject">
    <w:name w:val="annotation subject"/>
    <w:basedOn w:val="CommentText"/>
    <w:next w:val="CommentText"/>
    <w:link w:val="CommentSubjectChar"/>
    <w:uiPriority w:val="99"/>
    <w:semiHidden/>
    <w:unhideWhenUsed/>
    <w:rsid w:val="00E35D08"/>
    <w:rPr>
      <w:b/>
      <w:bCs/>
    </w:rPr>
  </w:style>
  <w:style w:type="character" w:customStyle="1" w:styleId="CommentSubjectChar">
    <w:name w:val="Comment Subject Char"/>
    <w:basedOn w:val="CommentTextChar"/>
    <w:link w:val="CommentSubject"/>
    <w:uiPriority w:val="99"/>
    <w:semiHidden/>
    <w:rsid w:val="00E35D08"/>
    <w:rPr>
      <w:b/>
      <w:bCs/>
      <w:sz w:val="20"/>
      <w:szCs w:val="20"/>
    </w:rPr>
  </w:style>
  <w:style w:type="table" w:styleId="TableGrid">
    <w:name w:val="Table Grid"/>
    <w:basedOn w:val="TableNormal"/>
    <w:uiPriority w:val="59"/>
    <w:rsid w:val="001D2FB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22495">
      <w:bodyDiv w:val="1"/>
      <w:marLeft w:val="0"/>
      <w:marRight w:val="0"/>
      <w:marTop w:val="0"/>
      <w:marBottom w:val="0"/>
      <w:divBdr>
        <w:top w:val="none" w:sz="0" w:space="0" w:color="auto"/>
        <w:left w:val="none" w:sz="0" w:space="0" w:color="auto"/>
        <w:bottom w:val="none" w:sz="0" w:space="0" w:color="auto"/>
        <w:right w:val="none" w:sz="0" w:space="0" w:color="auto"/>
      </w:divBdr>
    </w:div>
    <w:div w:id="438062629">
      <w:bodyDiv w:val="1"/>
      <w:marLeft w:val="0"/>
      <w:marRight w:val="0"/>
      <w:marTop w:val="0"/>
      <w:marBottom w:val="0"/>
      <w:divBdr>
        <w:top w:val="none" w:sz="0" w:space="0" w:color="auto"/>
        <w:left w:val="none" w:sz="0" w:space="0" w:color="auto"/>
        <w:bottom w:val="none" w:sz="0" w:space="0" w:color="auto"/>
        <w:right w:val="none" w:sz="0" w:space="0" w:color="auto"/>
      </w:divBdr>
      <w:divsChild>
        <w:div w:id="126748463">
          <w:marLeft w:val="0"/>
          <w:marRight w:val="0"/>
          <w:marTop w:val="0"/>
          <w:marBottom w:val="0"/>
          <w:divBdr>
            <w:top w:val="none" w:sz="0" w:space="0" w:color="auto"/>
            <w:left w:val="none" w:sz="0" w:space="0" w:color="auto"/>
            <w:bottom w:val="none" w:sz="0" w:space="0" w:color="auto"/>
            <w:right w:val="none" w:sz="0" w:space="0" w:color="auto"/>
          </w:divBdr>
          <w:divsChild>
            <w:div w:id="866262415">
              <w:marLeft w:val="0"/>
              <w:marRight w:val="0"/>
              <w:marTop w:val="0"/>
              <w:marBottom w:val="0"/>
              <w:divBdr>
                <w:top w:val="none" w:sz="0" w:space="0" w:color="auto"/>
                <w:left w:val="none" w:sz="0" w:space="0" w:color="auto"/>
                <w:bottom w:val="none" w:sz="0" w:space="0" w:color="auto"/>
                <w:right w:val="none" w:sz="0" w:space="0" w:color="auto"/>
              </w:divBdr>
              <w:divsChild>
                <w:div w:id="1242912462">
                  <w:marLeft w:val="0"/>
                  <w:marRight w:val="0"/>
                  <w:marTop w:val="0"/>
                  <w:marBottom w:val="0"/>
                  <w:divBdr>
                    <w:top w:val="none" w:sz="0" w:space="0" w:color="auto"/>
                    <w:left w:val="none" w:sz="0" w:space="0" w:color="auto"/>
                    <w:bottom w:val="none" w:sz="0" w:space="0" w:color="auto"/>
                    <w:right w:val="none" w:sz="0" w:space="0" w:color="auto"/>
                  </w:divBdr>
                  <w:divsChild>
                    <w:div w:id="1640264961">
                      <w:marLeft w:val="0"/>
                      <w:marRight w:val="0"/>
                      <w:marTop w:val="0"/>
                      <w:marBottom w:val="0"/>
                      <w:divBdr>
                        <w:top w:val="none" w:sz="0" w:space="0" w:color="auto"/>
                        <w:left w:val="none" w:sz="0" w:space="0" w:color="auto"/>
                        <w:bottom w:val="none" w:sz="0" w:space="0" w:color="auto"/>
                        <w:right w:val="none" w:sz="0" w:space="0" w:color="auto"/>
                      </w:divBdr>
                      <w:divsChild>
                        <w:div w:id="2037777384">
                          <w:marLeft w:val="0"/>
                          <w:marRight w:val="0"/>
                          <w:marTop w:val="0"/>
                          <w:marBottom w:val="0"/>
                          <w:divBdr>
                            <w:top w:val="none" w:sz="0" w:space="0" w:color="auto"/>
                            <w:left w:val="none" w:sz="0" w:space="0" w:color="auto"/>
                            <w:bottom w:val="none" w:sz="0" w:space="0" w:color="auto"/>
                            <w:right w:val="none" w:sz="0" w:space="0" w:color="auto"/>
                          </w:divBdr>
                          <w:divsChild>
                            <w:div w:id="1367415563">
                              <w:marLeft w:val="0"/>
                              <w:marRight w:val="0"/>
                              <w:marTop w:val="0"/>
                              <w:marBottom w:val="0"/>
                              <w:divBdr>
                                <w:top w:val="none" w:sz="0" w:space="0" w:color="auto"/>
                                <w:left w:val="none" w:sz="0" w:space="0" w:color="auto"/>
                                <w:bottom w:val="none" w:sz="0" w:space="0" w:color="auto"/>
                                <w:right w:val="none" w:sz="0" w:space="0" w:color="auto"/>
                              </w:divBdr>
                              <w:divsChild>
                                <w:div w:id="20800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817482">
      <w:bodyDiv w:val="1"/>
      <w:marLeft w:val="0"/>
      <w:marRight w:val="0"/>
      <w:marTop w:val="0"/>
      <w:marBottom w:val="0"/>
      <w:divBdr>
        <w:top w:val="none" w:sz="0" w:space="0" w:color="auto"/>
        <w:left w:val="none" w:sz="0" w:space="0" w:color="auto"/>
        <w:bottom w:val="none" w:sz="0" w:space="0" w:color="auto"/>
        <w:right w:val="none" w:sz="0" w:space="0" w:color="auto"/>
      </w:divBdr>
    </w:div>
    <w:div w:id="914894269">
      <w:bodyDiv w:val="1"/>
      <w:marLeft w:val="0"/>
      <w:marRight w:val="0"/>
      <w:marTop w:val="0"/>
      <w:marBottom w:val="0"/>
      <w:divBdr>
        <w:top w:val="none" w:sz="0" w:space="0" w:color="auto"/>
        <w:left w:val="none" w:sz="0" w:space="0" w:color="auto"/>
        <w:bottom w:val="none" w:sz="0" w:space="0" w:color="auto"/>
        <w:right w:val="none" w:sz="0" w:space="0" w:color="auto"/>
      </w:divBdr>
      <w:divsChild>
        <w:div w:id="620111629">
          <w:marLeft w:val="0"/>
          <w:marRight w:val="0"/>
          <w:marTop w:val="0"/>
          <w:marBottom w:val="0"/>
          <w:divBdr>
            <w:top w:val="none" w:sz="0" w:space="0" w:color="auto"/>
            <w:left w:val="none" w:sz="0" w:space="0" w:color="auto"/>
            <w:bottom w:val="none" w:sz="0" w:space="0" w:color="auto"/>
            <w:right w:val="none" w:sz="0" w:space="0" w:color="auto"/>
          </w:divBdr>
          <w:divsChild>
            <w:div w:id="850527960">
              <w:marLeft w:val="0"/>
              <w:marRight w:val="0"/>
              <w:marTop w:val="0"/>
              <w:marBottom w:val="0"/>
              <w:divBdr>
                <w:top w:val="none" w:sz="0" w:space="0" w:color="auto"/>
                <w:left w:val="none" w:sz="0" w:space="0" w:color="auto"/>
                <w:bottom w:val="none" w:sz="0" w:space="0" w:color="auto"/>
                <w:right w:val="none" w:sz="0" w:space="0" w:color="auto"/>
              </w:divBdr>
              <w:divsChild>
                <w:div w:id="306977962">
                  <w:marLeft w:val="0"/>
                  <w:marRight w:val="0"/>
                  <w:marTop w:val="0"/>
                  <w:marBottom w:val="0"/>
                  <w:divBdr>
                    <w:top w:val="none" w:sz="0" w:space="0" w:color="auto"/>
                    <w:left w:val="none" w:sz="0" w:space="0" w:color="auto"/>
                    <w:bottom w:val="none" w:sz="0" w:space="0" w:color="auto"/>
                    <w:right w:val="none" w:sz="0" w:space="0" w:color="auto"/>
                  </w:divBdr>
                  <w:divsChild>
                    <w:div w:id="2076005963">
                      <w:marLeft w:val="0"/>
                      <w:marRight w:val="0"/>
                      <w:marTop w:val="0"/>
                      <w:marBottom w:val="0"/>
                      <w:divBdr>
                        <w:top w:val="none" w:sz="0" w:space="0" w:color="auto"/>
                        <w:left w:val="none" w:sz="0" w:space="0" w:color="auto"/>
                        <w:bottom w:val="none" w:sz="0" w:space="0" w:color="auto"/>
                        <w:right w:val="none" w:sz="0" w:space="0" w:color="auto"/>
                      </w:divBdr>
                      <w:divsChild>
                        <w:div w:id="1055398937">
                          <w:marLeft w:val="0"/>
                          <w:marRight w:val="0"/>
                          <w:marTop w:val="0"/>
                          <w:marBottom w:val="0"/>
                          <w:divBdr>
                            <w:top w:val="none" w:sz="0" w:space="0" w:color="auto"/>
                            <w:left w:val="none" w:sz="0" w:space="0" w:color="auto"/>
                            <w:bottom w:val="none" w:sz="0" w:space="0" w:color="auto"/>
                            <w:right w:val="none" w:sz="0" w:space="0" w:color="auto"/>
                          </w:divBdr>
                          <w:divsChild>
                            <w:div w:id="414589919">
                              <w:marLeft w:val="0"/>
                              <w:marRight w:val="0"/>
                              <w:marTop w:val="0"/>
                              <w:marBottom w:val="0"/>
                              <w:divBdr>
                                <w:top w:val="none" w:sz="0" w:space="0" w:color="auto"/>
                                <w:left w:val="none" w:sz="0" w:space="0" w:color="auto"/>
                                <w:bottom w:val="none" w:sz="0" w:space="0" w:color="auto"/>
                                <w:right w:val="none" w:sz="0" w:space="0" w:color="auto"/>
                              </w:divBdr>
                              <w:divsChild>
                                <w:div w:id="12617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998219">
      <w:bodyDiv w:val="1"/>
      <w:marLeft w:val="0"/>
      <w:marRight w:val="0"/>
      <w:marTop w:val="0"/>
      <w:marBottom w:val="0"/>
      <w:divBdr>
        <w:top w:val="none" w:sz="0" w:space="0" w:color="auto"/>
        <w:left w:val="none" w:sz="0" w:space="0" w:color="auto"/>
        <w:bottom w:val="none" w:sz="0" w:space="0" w:color="auto"/>
        <w:right w:val="none" w:sz="0" w:space="0" w:color="auto"/>
      </w:divBdr>
    </w:div>
    <w:div w:id="1048335873">
      <w:bodyDiv w:val="1"/>
      <w:marLeft w:val="0"/>
      <w:marRight w:val="0"/>
      <w:marTop w:val="0"/>
      <w:marBottom w:val="0"/>
      <w:divBdr>
        <w:top w:val="none" w:sz="0" w:space="0" w:color="auto"/>
        <w:left w:val="none" w:sz="0" w:space="0" w:color="auto"/>
        <w:bottom w:val="none" w:sz="0" w:space="0" w:color="auto"/>
        <w:right w:val="none" w:sz="0" w:space="0" w:color="auto"/>
      </w:divBdr>
    </w:div>
    <w:div w:id="1085229839">
      <w:bodyDiv w:val="1"/>
      <w:marLeft w:val="0"/>
      <w:marRight w:val="0"/>
      <w:marTop w:val="0"/>
      <w:marBottom w:val="0"/>
      <w:divBdr>
        <w:top w:val="none" w:sz="0" w:space="0" w:color="auto"/>
        <w:left w:val="none" w:sz="0" w:space="0" w:color="auto"/>
        <w:bottom w:val="none" w:sz="0" w:space="0" w:color="auto"/>
        <w:right w:val="none" w:sz="0" w:space="0" w:color="auto"/>
      </w:divBdr>
      <w:divsChild>
        <w:div w:id="1933079268">
          <w:marLeft w:val="0"/>
          <w:marRight w:val="0"/>
          <w:marTop w:val="0"/>
          <w:marBottom w:val="0"/>
          <w:divBdr>
            <w:top w:val="none" w:sz="0" w:space="0" w:color="auto"/>
            <w:left w:val="none" w:sz="0" w:space="0" w:color="auto"/>
            <w:bottom w:val="none" w:sz="0" w:space="0" w:color="auto"/>
            <w:right w:val="none" w:sz="0" w:space="0" w:color="auto"/>
          </w:divBdr>
          <w:divsChild>
            <w:div w:id="1912042233">
              <w:marLeft w:val="0"/>
              <w:marRight w:val="0"/>
              <w:marTop w:val="0"/>
              <w:marBottom w:val="0"/>
              <w:divBdr>
                <w:top w:val="none" w:sz="0" w:space="0" w:color="auto"/>
                <w:left w:val="none" w:sz="0" w:space="0" w:color="auto"/>
                <w:bottom w:val="none" w:sz="0" w:space="0" w:color="auto"/>
                <w:right w:val="none" w:sz="0" w:space="0" w:color="auto"/>
              </w:divBdr>
              <w:divsChild>
                <w:div w:id="56361877">
                  <w:marLeft w:val="0"/>
                  <w:marRight w:val="0"/>
                  <w:marTop w:val="0"/>
                  <w:marBottom w:val="0"/>
                  <w:divBdr>
                    <w:top w:val="none" w:sz="0" w:space="0" w:color="auto"/>
                    <w:left w:val="none" w:sz="0" w:space="0" w:color="auto"/>
                    <w:bottom w:val="none" w:sz="0" w:space="0" w:color="auto"/>
                    <w:right w:val="none" w:sz="0" w:space="0" w:color="auto"/>
                  </w:divBdr>
                  <w:divsChild>
                    <w:div w:id="1661038767">
                      <w:marLeft w:val="0"/>
                      <w:marRight w:val="0"/>
                      <w:marTop w:val="0"/>
                      <w:marBottom w:val="0"/>
                      <w:divBdr>
                        <w:top w:val="none" w:sz="0" w:space="0" w:color="auto"/>
                        <w:left w:val="none" w:sz="0" w:space="0" w:color="auto"/>
                        <w:bottom w:val="none" w:sz="0" w:space="0" w:color="auto"/>
                        <w:right w:val="none" w:sz="0" w:space="0" w:color="auto"/>
                      </w:divBdr>
                      <w:divsChild>
                        <w:div w:id="939601869">
                          <w:marLeft w:val="0"/>
                          <w:marRight w:val="0"/>
                          <w:marTop w:val="0"/>
                          <w:marBottom w:val="0"/>
                          <w:divBdr>
                            <w:top w:val="none" w:sz="0" w:space="0" w:color="auto"/>
                            <w:left w:val="none" w:sz="0" w:space="0" w:color="auto"/>
                            <w:bottom w:val="none" w:sz="0" w:space="0" w:color="auto"/>
                            <w:right w:val="none" w:sz="0" w:space="0" w:color="auto"/>
                          </w:divBdr>
                          <w:divsChild>
                            <w:div w:id="368992013">
                              <w:marLeft w:val="0"/>
                              <w:marRight w:val="0"/>
                              <w:marTop w:val="0"/>
                              <w:marBottom w:val="0"/>
                              <w:divBdr>
                                <w:top w:val="none" w:sz="0" w:space="0" w:color="auto"/>
                                <w:left w:val="none" w:sz="0" w:space="0" w:color="auto"/>
                                <w:bottom w:val="none" w:sz="0" w:space="0" w:color="auto"/>
                                <w:right w:val="none" w:sz="0" w:space="0" w:color="auto"/>
                              </w:divBdr>
                            </w:div>
                            <w:div w:id="597057169">
                              <w:marLeft w:val="0"/>
                              <w:marRight w:val="0"/>
                              <w:marTop w:val="0"/>
                              <w:marBottom w:val="0"/>
                              <w:divBdr>
                                <w:top w:val="none" w:sz="0" w:space="0" w:color="auto"/>
                                <w:left w:val="none" w:sz="0" w:space="0" w:color="auto"/>
                                <w:bottom w:val="none" w:sz="0" w:space="0" w:color="auto"/>
                                <w:right w:val="none" w:sz="0" w:space="0" w:color="auto"/>
                              </w:divBdr>
                            </w:div>
                            <w:div w:id="3520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569333">
                      <w:marLeft w:val="0"/>
                      <w:marRight w:val="0"/>
                      <w:marTop w:val="0"/>
                      <w:marBottom w:val="0"/>
                      <w:divBdr>
                        <w:top w:val="none" w:sz="0" w:space="0" w:color="auto"/>
                        <w:left w:val="none" w:sz="0" w:space="0" w:color="auto"/>
                        <w:bottom w:val="none" w:sz="0" w:space="0" w:color="auto"/>
                        <w:right w:val="none" w:sz="0" w:space="0" w:color="auto"/>
                      </w:divBdr>
                      <w:divsChild>
                        <w:div w:id="529994873">
                          <w:marLeft w:val="0"/>
                          <w:marRight w:val="0"/>
                          <w:marTop w:val="0"/>
                          <w:marBottom w:val="0"/>
                          <w:divBdr>
                            <w:top w:val="none" w:sz="0" w:space="0" w:color="auto"/>
                            <w:left w:val="none" w:sz="0" w:space="0" w:color="auto"/>
                            <w:bottom w:val="none" w:sz="0" w:space="0" w:color="auto"/>
                            <w:right w:val="none" w:sz="0" w:space="0" w:color="auto"/>
                          </w:divBdr>
                        </w:div>
                        <w:div w:id="1496190578">
                          <w:marLeft w:val="0"/>
                          <w:marRight w:val="0"/>
                          <w:marTop w:val="0"/>
                          <w:marBottom w:val="0"/>
                          <w:divBdr>
                            <w:top w:val="none" w:sz="0" w:space="0" w:color="auto"/>
                            <w:left w:val="none" w:sz="0" w:space="0" w:color="auto"/>
                            <w:bottom w:val="none" w:sz="0" w:space="0" w:color="auto"/>
                            <w:right w:val="none" w:sz="0" w:space="0" w:color="auto"/>
                          </w:divBdr>
                          <w:divsChild>
                            <w:div w:id="1744255609">
                              <w:marLeft w:val="0"/>
                              <w:marRight w:val="0"/>
                              <w:marTop w:val="0"/>
                              <w:marBottom w:val="0"/>
                              <w:divBdr>
                                <w:top w:val="none" w:sz="0" w:space="0" w:color="auto"/>
                                <w:left w:val="none" w:sz="0" w:space="0" w:color="auto"/>
                                <w:bottom w:val="none" w:sz="0" w:space="0" w:color="auto"/>
                                <w:right w:val="none" w:sz="0" w:space="0" w:color="auto"/>
                              </w:divBdr>
                            </w:div>
                            <w:div w:id="505362426">
                              <w:marLeft w:val="0"/>
                              <w:marRight w:val="0"/>
                              <w:marTop w:val="0"/>
                              <w:marBottom w:val="0"/>
                              <w:divBdr>
                                <w:top w:val="none" w:sz="0" w:space="0" w:color="auto"/>
                                <w:left w:val="none" w:sz="0" w:space="0" w:color="auto"/>
                                <w:bottom w:val="none" w:sz="0" w:space="0" w:color="auto"/>
                                <w:right w:val="none" w:sz="0" w:space="0" w:color="auto"/>
                              </w:divBdr>
                              <w:divsChild>
                                <w:div w:id="1424034128">
                                  <w:marLeft w:val="0"/>
                                  <w:marRight w:val="0"/>
                                  <w:marTop w:val="0"/>
                                  <w:marBottom w:val="0"/>
                                  <w:divBdr>
                                    <w:top w:val="none" w:sz="0" w:space="0" w:color="auto"/>
                                    <w:left w:val="none" w:sz="0" w:space="0" w:color="auto"/>
                                    <w:bottom w:val="none" w:sz="0" w:space="0" w:color="auto"/>
                                    <w:right w:val="none" w:sz="0" w:space="0" w:color="auto"/>
                                  </w:divBdr>
                                </w:div>
                                <w:div w:id="996760230">
                                  <w:marLeft w:val="0"/>
                                  <w:marRight w:val="0"/>
                                  <w:marTop w:val="0"/>
                                  <w:marBottom w:val="0"/>
                                  <w:divBdr>
                                    <w:top w:val="none" w:sz="0" w:space="0" w:color="auto"/>
                                    <w:left w:val="none" w:sz="0" w:space="0" w:color="auto"/>
                                    <w:bottom w:val="none" w:sz="0" w:space="0" w:color="auto"/>
                                    <w:right w:val="none" w:sz="0" w:space="0" w:color="auto"/>
                                  </w:divBdr>
                                </w:div>
                                <w:div w:id="75826545">
                                  <w:marLeft w:val="0"/>
                                  <w:marRight w:val="0"/>
                                  <w:marTop w:val="0"/>
                                  <w:marBottom w:val="0"/>
                                  <w:divBdr>
                                    <w:top w:val="none" w:sz="0" w:space="0" w:color="auto"/>
                                    <w:left w:val="none" w:sz="0" w:space="0" w:color="auto"/>
                                    <w:bottom w:val="none" w:sz="0" w:space="0" w:color="auto"/>
                                    <w:right w:val="none" w:sz="0" w:space="0" w:color="auto"/>
                                  </w:divBdr>
                                </w:div>
                                <w:div w:id="688071269">
                                  <w:marLeft w:val="0"/>
                                  <w:marRight w:val="0"/>
                                  <w:marTop w:val="0"/>
                                  <w:marBottom w:val="0"/>
                                  <w:divBdr>
                                    <w:top w:val="none" w:sz="0" w:space="0" w:color="auto"/>
                                    <w:left w:val="none" w:sz="0" w:space="0" w:color="auto"/>
                                    <w:bottom w:val="none" w:sz="0" w:space="0" w:color="auto"/>
                                    <w:right w:val="none" w:sz="0" w:space="0" w:color="auto"/>
                                  </w:divBdr>
                                </w:div>
                              </w:divsChild>
                            </w:div>
                            <w:div w:id="1613439090">
                              <w:marLeft w:val="0"/>
                              <w:marRight w:val="0"/>
                              <w:marTop w:val="0"/>
                              <w:marBottom w:val="0"/>
                              <w:divBdr>
                                <w:top w:val="none" w:sz="0" w:space="0" w:color="auto"/>
                                <w:left w:val="none" w:sz="0" w:space="0" w:color="auto"/>
                                <w:bottom w:val="none" w:sz="0" w:space="0" w:color="auto"/>
                                <w:right w:val="none" w:sz="0" w:space="0" w:color="auto"/>
                              </w:divBdr>
                              <w:divsChild>
                                <w:div w:id="468740665">
                                  <w:marLeft w:val="0"/>
                                  <w:marRight w:val="0"/>
                                  <w:marTop w:val="0"/>
                                  <w:marBottom w:val="0"/>
                                  <w:divBdr>
                                    <w:top w:val="none" w:sz="0" w:space="0" w:color="auto"/>
                                    <w:left w:val="none" w:sz="0" w:space="0" w:color="auto"/>
                                    <w:bottom w:val="none" w:sz="0" w:space="0" w:color="auto"/>
                                    <w:right w:val="none" w:sz="0" w:space="0" w:color="auto"/>
                                  </w:divBdr>
                                </w:div>
                                <w:div w:id="18641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6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13775">
              <w:marLeft w:val="0"/>
              <w:marRight w:val="0"/>
              <w:marTop w:val="0"/>
              <w:marBottom w:val="0"/>
              <w:divBdr>
                <w:top w:val="none" w:sz="0" w:space="0" w:color="auto"/>
                <w:left w:val="none" w:sz="0" w:space="0" w:color="auto"/>
                <w:bottom w:val="none" w:sz="0" w:space="0" w:color="auto"/>
                <w:right w:val="none" w:sz="0" w:space="0" w:color="auto"/>
              </w:divBdr>
              <w:divsChild>
                <w:div w:id="1795294553">
                  <w:marLeft w:val="0"/>
                  <w:marRight w:val="0"/>
                  <w:marTop w:val="0"/>
                  <w:marBottom w:val="0"/>
                  <w:divBdr>
                    <w:top w:val="none" w:sz="0" w:space="0" w:color="auto"/>
                    <w:left w:val="none" w:sz="0" w:space="0" w:color="auto"/>
                    <w:bottom w:val="none" w:sz="0" w:space="0" w:color="auto"/>
                    <w:right w:val="none" w:sz="0" w:space="0" w:color="auto"/>
                  </w:divBdr>
                </w:div>
                <w:div w:id="609824464">
                  <w:marLeft w:val="0"/>
                  <w:marRight w:val="0"/>
                  <w:marTop w:val="0"/>
                  <w:marBottom w:val="0"/>
                  <w:divBdr>
                    <w:top w:val="none" w:sz="0" w:space="0" w:color="auto"/>
                    <w:left w:val="none" w:sz="0" w:space="0" w:color="auto"/>
                    <w:bottom w:val="none" w:sz="0" w:space="0" w:color="auto"/>
                    <w:right w:val="none" w:sz="0" w:space="0" w:color="auto"/>
                  </w:divBdr>
                </w:div>
                <w:div w:id="1281960812">
                  <w:marLeft w:val="0"/>
                  <w:marRight w:val="0"/>
                  <w:marTop w:val="0"/>
                  <w:marBottom w:val="0"/>
                  <w:divBdr>
                    <w:top w:val="none" w:sz="0" w:space="0" w:color="auto"/>
                    <w:left w:val="none" w:sz="0" w:space="0" w:color="auto"/>
                    <w:bottom w:val="none" w:sz="0" w:space="0" w:color="auto"/>
                    <w:right w:val="none" w:sz="0" w:space="0" w:color="auto"/>
                  </w:divBdr>
                </w:div>
                <w:div w:id="803278262">
                  <w:marLeft w:val="0"/>
                  <w:marRight w:val="0"/>
                  <w:marTop w:val="0"/>
                  <w:marBottom w:val="0"/>
                  <w:divBdr>
                    <w:top w:val="none" w:sz="0" w:space="0" w:color="auto"/>
                    <w:left w:val="none" w:sz="0" w:space="0" w:color="auto"/>
                    <w:bottom w:val="none" w:sz="0" w:space="0" w:color="auto"/>
                    <w:right w:val="none" w:sz="0" w:space="0" w:color="auto"/>
                  </w:divBdr>
                </w:div>
                <w:div w:id="618529045">
                  <w:marLeft w:val="0"/>
                  <w:marRight w:val="0"/>
                  <w:marTop w:val="0"/>
                  <w:marBottom w:val="0"/>
                  <w:divBdr>
                    <w:top w:val="none" w:sz="0" w:space="0" w:color="auto"/>
                    <w:left w:val="none" w:sz="0" w:space="0" w:color="auto"/>
                    <w:bottom w:val="none" w:sz="0" w:space="0" w:color="auto"/>
                    <w:right w:val="none" w:sz="0" w:space="0" w:color="auto"/>
                  </w:divBdr>
                </w:div>
                <w:div w:id="228879810">
                  <w:marLeft w:val="0"/>
                  <w:marRight w:val="0"/>
                  <w:marTop w:val="0"/>
                  <w:marBottom w:val="0"/>
                  <w:divBdr>
                    <w:top w:val="none" w:sz="0" w:space="0" w:color="auto"/>
                    <w:left w:val="none" w:sz="0" w:space="0" w:color="auto"/>
                    <w:bottom w:val="none" w:sz="0" w:space="0" w:color="auto"/>
                    <w:right w:val="none" w:sz="0" w:space="0" w:color="auto"/>
                  </w:divBdr>
                </w:div>
                <w:div w:id="1374765456">
                  <w:marLeft w:val="0"/>
                  <w:marRight w:val="0"/>
                  <w:marTop w:val="0"/>
                  <w:marBottom w:val="0"/>
                  <w:divBdr>
                    <w:top w:val="none" w:sz="0" w:space="0" w:color="auto"/>
                    <w:left w:val="none" w:sz="0" w:space="0" w:color="auto"/>
                    <w:bottom w:val="none" w:sz="0" w:space="0" w:color="auto"/>
                    <w:right w:val="none" w:sz="0" w:space="0" w:color="auto"/>
                  </w:divBdr>
                </w:div>
                <w:div w:id="1870604095">
                  <w:marLeft w:val="0"/>
                  <w:marRight w:val="0"/>
                  <w:marTop w:val="0"/>
                  <w:marBottom w:val="0"/>
                  <w:divBdr>
                    <w:top w:val="none" w:sz="0" w:space="0" w:color="auto"/>
                    <w:left w:val="none" w:sz="0" w:space="0" w:color="auto"/>
                    <w:bottom w:val="none" w:sz="0" w:space="0" w:color="auto"/>
                    <w:right w:val="none" w:sz="0" w:space="0" w:color="auto"/>
                  </w:divBdr>
                </w:div>
                <w:div w:id="145629581">
                  <w:marLeft w:val="0"/>
                  <w:marRight w:val="0"/>
                  <w:marTop w:val="0"/>
                  <w:marBottom w:val="0"/>
                  <w:divBdr>
                    <w:top w:val="none" w:sz="0" w:space="0" w:color="auto"/>
                    <w:left w:val="none" w:sz="0" w:space="0" w:color="auto"/>
                    <w:bottom w:val="none" w:sz="0" w:space="0" w:color="auto"/>
                    <w:right w:val="none" w:sz="0" w:space="0" w:color="auto"/>
                  </w:divBdr>
                </w:div>
                <w:div w:id="1197549815">
                  <w:marLeft w:val="0"/>
                  <w:marRight w:val="0"/>
                  <w:marTop w:val="0"/>
                  <w:marBottom w:val="0"/>
                  <w:divBdr>
                    <w:top w:val="none" w:sz="0" w:space="0" w:color="auto"/>
                    <w:left w:val="none" w:sz="0" w:space="0" w:color="auto"/>
                    <w:bottom w:val="none" w:sz="0" w:space="0" w:color="auto"/>
                    <w:right w:val="none" w:sz="0" w:space="0" w:color="auto"/>
                  </w:divBdr>
                </w:div>
              </w:divsChild>
            </w:div>
            <w:div w:id="5785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4416">
      <w:bodyDiv w:val="1"/>
      <w:marLeft w:val="0"/>
      <w:marRight w:val="0"/>
      <w:marTop w:val="0"/>
      <w:marBottom w:val="0"/>
      <w:divBdr>
        <w:top w:val="none" w:sz="0" w:space="0" w:color="auto"/>
        <w:left w:val="none" w:sz="0" w:space="0" w:color="auto"/>
        <w:bottom w:val="none" w:sz="0" w:space="0" w:color="auto"/>
        <w:right w:val="none" w:sz="0" w:space="0" w:color="auto"/>
      </w:divBdr>
    </w:div>
    <w:div w:id="1646664987">
      <w:bodyDiv w:val="1"/>
      <w:marLeft w:val="0"/>
      <w:marRight w:val="0"/>
      <w:marTop w:val="0"/>
      <w:marBottom w:val="0"/>
      <w:divBdr>
        <w:top w:val="none" w:sz="0" w:space="0" w:color="auto"/>
        <w:left w:val="none" w:sz="0" w:space="0" w:color="auto"/>
        <w:bottom w:val="none" w:sz="0" w:space="0" w:color="auto"/>
        <w:right w:val="none" w:sz="0" w:space="0" w:color="auto"/>
      </w:divBdr>
      <w:divsChild>
        <w:div w:id="484321952">
          <w:marLeft w:val="0"/>
          <w:marRight w:val="0"/>
          <w:marTop w:val="0"/>
          <w:marBottom w:val="0"/>
          <w:divBdr>
            <w:top w:val="none" w:sz="0" w:space="0" w:color="auto"/>
            <w:left w:val="none" w:sz="0" w:space="0" w:color="auto"/>
            <w:bottom w:val="none" w:sz="0" w:space="0" w:color="auto"/>
            <w:right w:val="none" w:sz="0" w:space="0" w:color="auto"/>
          </w:divBdr>
          <w:divsChild>
            <w:div w:id="1318800787">
              <w:marLeft w:val="0"/>
              <w:marRight w:val="0"/>
              <w:marTop w:val="0"/>
              <w:marBottom w:val="0"/>
              <w:divBdr>
                <w:top w:val="none" w:sz="0" w:space="0" w:color="auto"/>
                <w:left w:val="none" w:sz="0" w:space="0" w:color="auto"/>
                <w:bottom w:val="none" w:sz="0" w:space="0" w:color="auto"/>
                <w:right w:val="none" w:sz="0" w:space="0" w:color="auto"/>
              </w:divBdr>
              <w:divsChild>
                <w:div w:id="853111227">
                  <w:marLeft w:val="0"/>
                  <w:marRight w:val="0"/>
                  <w:marTop w:val="0"/>
                  <w:marBottom w:val="0"/>
                  <w:divBdr>
                    <w:top w:val="none" w:sz="0" w:space="0" w:color="auto"/>
                    <w:left w:val="none" w:sz="0" w:space="0" w:color="auto"/>
                    <w:bottom w:val="none" w:sz="0" w:space="0" w:color="auto"/>
                    <w:right w:val="none" w:sz="0" w:space="0" w:color="auto"/>
                  </w:divBdr>
                  <w:divsChild>
                    <w:div w:id="2003316951">
                      <w:marLeft w:val="0"/>
                      <w:marRight w:val="0"/>
                      <w:marTop w:val="0"/>
                      <w:marBottom w:val="0"/>
                      <w:divBdr>
                        <w:top w:val="none" w:sz="0" w:space="0" w:color="auto"/>
                        <w:left w:val="none" w:sz="0" w:space="0" w:color="auto"/>
                        <w:bottom w:val="none" w:sz="0" w:space="0" w:color="auto"/>
                        <w:right w:val="none" w:sz="0" w:space="0" w:color="auto"/>
                      </w:divBdr>
                      <w:divsChild>
                        <w:div w:id="125246589">
                          <w:marLeft w:val="0"/>
                          <w:marRight w:val="0"/>
                          <w:marTop w:val="0"/>
                          <w:marBottom w:val="0"/>
                          <w:divBdr>
                            <w:top w:val="none" w:sz="0" w:space="0" w:color="auto"/>
                            <w:left w:val="none" w:sz="0" w:space="0" w:color="auto"/>
                            <w:bottom w:val="none" w:sz="0" w:space="0" w:color="auto"/>
                            <w:right w:val="none" w:sz="0" w:space="0" w:color="auto"/>
                          </w:divBdr>
                          <w:divsChild>
                            <w:div w:id="33697214">
                              <w:marLeft w:val="0"/>
                              <w:marRight w:val="0"/>
                              <w:marTop w:val="0"/>
                              <w:marBottom w:val="0"/>
                              <w:divBdr>
                                <w:top w:val="none" w:sz="0" w:space="0" w:color="auto"/>
                                <w:left w:val="none" w:sz="0" w:space="0" w:color="auto"/>
                                <w:bottom w:val="none" w:sz="0" w:space="0" w:color="auto"/>
                                <w:right w:val="none" w:sz="0" w:space="0" w:color="auto"/>
                              </w:divBdr>
                            </w:div>
                            <w:div w:id="1988630374">
                              <w:marLeft w:val="0"/>
                              <w:marRight w:val="0"/>
                              <w:marTop w:val="0"/>
                              <w:marBottom w:val="0"/>
                              <w:divBdr>
                                <w:top w:val="none" w:sz="0" w:space="0" w:color="auto"/>
                                <w:left w:val="none" w:sz="0" w:space="0" w:color="auto"/>
                                <w:bottom w:val="none" w:sz="0" w:space="0" w:color="auto"/>
                                <w:right w:val="none" w:sz="0" w:space="0" w:color="auto"/>
                              </w:divBdr>
                            </w:div>
                            <w:div w:id="786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114AD-37B6-454A-B240-BAC34E2C0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29</Pages>
  <Words>8132</Words>
  <Characters>46356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54380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Netloan</dc:creator>
  <cp:lastModifiedBy>wood05</cp:lastModifiedBy>
  <cp:revision>2</cp:revision>
  <cp:lastPrinted>2013-10-09T15:36:00Z</cp:lastPrinted>
  <dcterms:created xsi:type="dcterms:W3CDTF">2015-03-31T13:00:00Z</dcterms:created>
  <dcterms:modified xsi:type="dcterms:W3CDTF">2015-03-31T13:00:00Z</dcterms:modified>
</cp:coreProperties>
</file>