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7A948" w14:textId="77777777" w:rsidR="00A6034C" w:rsidRDefault="00A6034C" w:rsidP="009C5B25">
      <w:pPr>
        <w:spacing w:line="360" w:lineRule="auto"/>
        <w:rPr>
          <w:b/>
        </w:rPr>
      </w:pPr>
    </w:p>
    <w:p w14:paraId="05161BBB" w14:textId="6DD7CEC1" w:rsidR="00A6034C" w:rsidRPr="00A6034C" w:rsidRDefault="00A6034C" w:rsidP="00A6034C">
      <w:pPr>
        <w:rPr>
          <w:b/>
        </w:rPr>
      </w:pPr>
      <w:r w:rsidRPr="00A6034C">
        <w:rPr>
          <w:b/>
        </w:rPr>
        <w:t>THE ABSORPTIVE CAPACITY OF TOURISM ORGANISATIONS</w:t>
      </w:r>
    </w:p>
    <w:p w14:paraId="62B746CC" w14:textId="77777777" w:rsidR="009C5B25" w:rsidRPr="009C5B25" w:rsidRDefault="009C5B25" w:rsidP="009C5B25">
      <w:pPr>
        <w:spacing w:line="360" w:lineRule="auto"/>
        <w:rPr>
          <w:b/>
        </w:rPr>
      </w:pPr>
      <w:r w:rsidRPr="009C5B25">
        <w:rPr>
          <w:b/>
        </w:rPr>
        <w:t>Abstract</w:t>
      </w:r>
    </w:p>
    <w:p w14:paraId="12ACC607" w14:textId="528D9B4B" w:rsidR="00676A19" w:rsidRPr="00676A19" w:rsidRDefault="00676A19" w:rsidP="00676A19">
      <w:r w:rsidRPr="00676A19">
        <w:t xml:space="preserve">Absorptive capacity, one of the most prominent constructs in innovation research over recent decades, has advanced theoretically without consideration for the peculiarities of tourism and tourism enterprises.  At its core is the notion that an ability to acquire, assimilate, transform and exploit external knowledge generates competitive advantage. Following a review of the literature and </w:t>
      </w:r>
      <w:r w:rsidR="00724632">
        <w:t xml:space="preserve">a </w:t>
      </w:r>
      <w:r w:rsidRPr="00676A19">
        <w:t>study of absorptive capacity in the international meetings industry, a new theoretical model is proposed.  The paper al</w:t>
      </w:r>
      <w:r w:rsidR="00B81D03">
        <w:t>so provides the</w:t>
      </w:r>
      <w:r w:rsidRPr="00676A19">
        <w:t xml:space="preserve"> means by which policy-makers might, for the first time, assess levels of absorptive capacity in destinations.</w:t>
      </w:r>
    </w:p>
    <w:p w14:paraId="7144E471" w14:textId="77777777" w:rsidR="00416169" w:rsidRPr="00416169" w:rsidRDefault="00416169" w:rsidP="009C5B25"/>
    <w:p w14:paraId="3C372C50" w14:textId="42E588EB" w:rsidR="00C51150" w:rsidRDefault="009C5B25" w:rsidP="009C5B25">
      <w:r w:rsidRPr="00E1089F">
        <w:rPr>
          <w:b/>
        </w:rPr>
        <w:t>Keywords:</w:t>
      </w:r>
      <w:r w:rsidRPr="00E1089F">
        <w:t xml:space="preserve"> innovation; innovation policy; </w:t>
      </w:r>
      <w:r w:rsidR="00B81D03">
        <w:t xml:space="preserve">business events; </w:t>
      </w:r>
      <w:r w:rsidRPr="00E1089F">
        <w:t>professional conference organisers (PCOs);</w:t>
      </w:r>
      <w:r w:rsidR="00B81D03">
        <w:t xml:space="preserve"> knowledge; </w:t>
      </w:r>
      <w:r w:rsidRPr="00E1089F">
        <w:t>destination competitiveness</w:t>
      </w:r>
      <w:r w:rsidR="00B81D03">
        <w:t>.</w:t>
      </w:r>
    </w:p>
    <w:p w14:paraId="10155804" w14:textId="77777777" w:rsidR="00857485" w:rsidRPr="00E1089F" w:rsidRDefault="00857485" w:rsidP="009C5B25"/>
    <w:p w14:paraId="2AB3D9E4" w14:textId="15E048BE" w:rsidR="00D27C74" w:rsidRDefault="0012448D" w:rsidP="00B04E42">
      <w:pPr>
        <w:pStyle w:val="ListParagraph"/>
        <w:numPr>
          <w:ilvl w:val="0"/>
          <w:numId w:val="9"/>
        </w:numPr>
        <w:spacing w:after="0" w:line="360" w:lineRule="auto"/>
      </w:pPr>
      <w:r w:rsidRPr="00B04E42">
        <w:t>INTRODUCTION</w:t>
      </w:r>
    </w:p>
    <w:p w14:paraId="4036EAF3" w14:textId="77777777" w:rsidR="00B04E42" w:rsidRPr="00B04E42" w:rsidRDefault="00B04E42" w:rsidP="00B04E42">
      <w:pPr>
        <w:pStyle w:val="ListParagraph"/>
        <w:spacing w:after="0" w:line="360" w:lineRule="auto"/>
        <w:ind w:left="360"/>
      </w:pPr>
    </w:p>
    <w:p w14:paraId="50BAC9C8" w14:textId="15DCDDC9" w:rsidR="00A37AAB" w:rsidRDefault="000C56C3" w:rsidP="0030533F">
      <w:pPr>
        <w:spacing w:after="0" w:line="360" w:lineRule="auto"/>
      </w:pPr>
      <w:r w:rsidRPr="00A52FE1">
        <w:t>R</w:t>
      </w:r>
      <w:r w:rsidR="006E1D4A" w:rsidRPr="00A52FE1">
        <w:t>eviews of the literature</w:t>
      </w:r>
      <w:r w:rsidR="00EF17DF" w:rsidRPr="00A52FE1">
        <w:t xml:space="preserve"> on innovation </w:t>
      </w:r>
      <w:r w:rsidR="00301420" w:rsidRPr="00A52FE1">
        <w:t xml:space="preserve">in tourism </w:t>
      </w:r>
      <w:r w:rsidR="00EF17DF" w:rsidRPr="00A52FE1">
        <w:t>have highlighted a number of</w:t>
      </w:r>
      <w:r w:rsidR="006E1D4A" w:rsidRPr="00A52FE1">
        <w:t xml:space="preserve"> deficiencies.</w:t>
      </w:r>
      <w:r w:rsidR="00EF17DF" w:rsidRPr="00A52FE1">
        <w:t xml:space="preserve">  Among th</w:t>
      </w:r>
      <w:r w:rsidR="000A6F18" w:rsidRPr="00A52FE1">
        <w:t>ese</w:t>
      </w:r>
      <w:r w:rsidR="00981220">
        <w:t xml:space="preserve">, as others have noted (e.g. </w:t>
      </w:r>
      <w:proofErr w:type="spellStart"/>
      <w:r w:rsidR="00B04E42">
        <w:t>Brooker</w:t>
      </w:r>
      <w:proofErr w:type="spellEnd"/>
      <w:r w:rsidR="00B04E42">
        <w:t xml:space="preserve"> and </w:t>
      </w:r>
      <w:proofErr w:type="spellStart"/>
      <w:r w:rsidR="00B04E42">
        <w:t>Joppe</w:t>
      </w:r>
      <w:proofErr w:type="spellEnd"/>
      <w:r w:rsidR="00B04E42">
        <w:t xml:space="preserve">, 2014; </w:t>
      </w:r>
      <w:r w:rsidR="00981220" w:rsidRPr="00A52FE1">
        <w:t>Hall and Williams, 2008; Hjalage</w:t>
      </w:r>
      <w:r w:rsidR="00B04E42">
        <w:t>r, 2010</w:t>
      </w:r>
      <w:r w:rsidR="00981220" w:rsidRPr="00A52FE1">
        <w:t>)</w:t>
      </w:r>
      <w:r w:rsidR="00981220">
        <w:t xml:space="preserve">, </w:t>
      </w:r>
      <w:r w:rsidR="000A6F18" w:rsidRPr="00A52FE1">
        <w:t>is the low</w:t>
      </w:r>
      <w:r w:rsidR="00285CD4" w:rsidRPr="00A52FE1">
        <w:t xml:space="preserve"> incidence of</w:t>
      </w:r>
      <w:r w:rsidR="001B7CBA" w:rsidRPr="00A52FE1">
        <w:t xml:space="preserve"> papers on</w:t>
      </w:r>
      <w:r w:rsidR="00EF17DF" w:rsidRPr="00A52FE1">
        <w:t xml:space="preserve"> </w:t>
      </w:r>
      <w:r w:rsidR="001B7CBA" w:rsidRPr="00A52FE1">
        <w:t xml:space="preserve">the </w:t>
      </w:r>
      <w:r w:rsidR="00EF17DF" w:rsidRPr="00A52FE1">
        <w:t xml:space="preserve">innovative practices of </w:t>
      </w:r>
      <w:r w:rsidR="00301420" w:rsidRPr="00A52FE1">
        <w:t xml:space="preserve">commercial </w:t>
      </w:r>
      <w:r w:rsidR="00E37E8B" w:rsidRPr="00A52FE1">
        <w:t xml:space="preserve">tourism </w:t>
      </w:r>
      <w:r w:rsidR="0075098A" w:rsidRPr="00A52FE1">
        <w:t>enterprises</w:t>
      </w:r>
      <w:r w:rsidR="00BF3137">
        <w:t>.</w:t>
      </w:r>
      <w:r w:rsidR="00CC739E" w:rsidRPr="00A52FE1">
        <w:t xml:space="preserve"> </w:t>
      </w:r>
      <w:r w:rsidR="00E37E8B" w:rsidRPr="00A52FE1">
        <w:t>A study of one i</w:t>
      </w:r>
      <w:r w:rsidR="00EF17DF" w:rsidRPr="00A52FE1">
        <w:t xml:space="preserve">mportant dimension of </w:t>
      </w:r>
      <w:r w:rsidR="00467B87" w:rsidRPr="00A52FE1">
        <w:t xml:space="preserve">organisational </w:t>
      </w:r>
      <w:r w:rsidR="00EF17DF" w:rsidRPr="00A52FE1">
        <w:t>innovation</w:t>
      </w:r>
      <w:r w:rsidR="00467B87" w:rsidRPr="00A52FE1">
        <w:t xml:space="preserve">, namely </w:t>
      </w:r>
      <w:r w:rsidR="005C5EC3" w:rsidRPr="00A52FE1">
        <w:t>absorptive capacity</w:t>
      </w:r>
      <w:r w:rsidR="00DA03DD" w:rsidRPr="00A52FE1">
        <w:t xml:space="preserve"> </w:t>
      </w:r>
      <w:r w:rsidR="005C5EC3" w:rsidRPr="00A52FE1">
        <w:t>(</w:t>
      </w:r>
      <w:r w:rsidR="00DA03DD" w:rsidRPr="00A52FE1">
        <w:t xml:space="preserve">or </w:t>
      </w:r>
      <w:r w:rsidR="00467B87" w:rsidRPr="00A52FE1">
        <w:t>the</w:t>
      </w:r>
      <w:r w:rsidR="00EF17DF" w:rsidRPr="00A52FE1">
        <w:t xml:space="preserve"> ability to acquire, assimilate</w:t>
      </w:r>
      <w:r w:rsidR="00A4685E" w:rsidRPr="00A52FE1">
        <w:t xml:space="preserve">, transform and exploit </w:t>
      </w:r>
      <w:r w:rsidR="00EF17DF" w:rsidRPr="00A52FE1">
        <w:t>external knowledge for competitive advantage</w:t>
      </w:r>
      <w:r w:rsidR="005C5EC3" w:rsidRPr="00A52FE1">
        <w:t>), is reported in this paper</w:t>
      </w:r>
      <w:r w:rsidR="00EF17DF" w:rsidRPr="00A52FE1">
        <w:t>.</w:t>
      </w:r>
      <w:r w:rsidR="00A6469E" w:rsidRPr="00A52FE1">
        <w:t xml:space="preserve">  </w:t>
      </w:r>
      <w:r w:rsidR="00A37AAB" w:rsidRPr="00A52FE1">
        <w:t>Absorptive capacity</w:t>
      </w:r>
      <w:r w:rsidR="00FB7964">
        <w:t xml:space="preserve"> </w:t>
      </w:r>
      <w:r w:rsidR="00FB7964" w:rsidRPr="00A52FE1">
        <w:t>(Cohen an</w:t>
      </w:r>
      <w:r w:rsidR="00FB7964">
        <w:t xml:space="preserve">d </w:t>
      </w:r>
      <w:proofErr w:type="spellStart"/>
      <w:r w:rsidR="00FB7964">
        <w:t>Levinthal</w:t>
      </w:r>
      <w:proofErr w:type="spellEnd"/>
      <w:r w:rsidR="00FB7964">
        <w:t>, 1990)</w:t>
      </w:r>
      <w:r w:rsidR="00A37AAB" w:rsidRPr="00A52FE1">
        <w:t xml:space="preserve">, and its refinements </w:t>
      </w:r>
      <w:r w:rsidR="001954D6">
        <w:t>over the past two decades</w:t>
      </w:r>
      <w:r w:rsidR="00FB7964">
        <w:t xml:space="preserve"> (e.g. Patterson and </w:t>
      </w:r>
      <w:proofErr w:type="spellStart"/>
      <w:r w:rsidR="00FB7964">
        <w:t>Ambrosini</w:t>
      </w:r>
      <w:proofErr w:type="spellEnd"/>
      <w:r w:rsidR="00FB7964">
        <w:t xml:space="preserve">, 2015; </w:t>
      </w:r>
      <w:proofErr w:type="spellStart"/>
      <w:r w:rsidR="00FB7964">
        <w:t>Todorova</w:t>
      </w:r>
      <w:proofErr w:type="spellEnd"/>
      <w:r w:rsidR="00FB7964">
        <w:t xml:space="preserve"> and </w:t>
      </w:r>
      <w:proofErr w:type="spellStart"/>
      <w:r w:rsidR="00FB7964">
        <w:t>Durisin</w:t>
      </w:r>
      <w:proofErr w:type="spellEnd"/>
      <w:r w:rsidR="00FB7964">
        <w:t xml:space="preserve">, 2007; Zahra and George; </w:t>
      </w:r>
      <w:r w:rsidR="00FB7964" w:rsidRPr="00FB7964">
        <w:t>2002)</w:t>
      </w:r>
      <w:r w:rsidR="00F629B6">
        <w:t>, represents “</w:t>
      </w:r>
      <w:r w:rsidR="00A37AAB" w:rsidRPr="00A52FE1">
        <w:t>one of the most important constructs to emerge in organisational research in recent decade</w:t>
      </w:r>
      <w:r w:rsidR="00F629B6">
        <w:t>s”</w:t>
      </w:r>
      <w:r w:rsidR="00B04E42">
        <w:t xml:space="preserve"> (Lane, </w:t>
      </w:r>
      <w:proofErr w:type="spellStart"/>
      <w:r w:rsidR="00B04E42">
        <w:t>Koka</w:t>
      </w:r>
      <w:proofErr w:type="spellEnd"/>
      <w:r w:rsidR="00B04E42">
        <w:t xml:space="preserve"> and Pathak, 2006,</w:t>
      </w:r>
      <w:r w:rsidR="00A37AAB" w:rsidRPr="00A52FE1">
        <w:t xml:space="preserve"> </w:t>
      </w:r>
      <w:r w:rsidR="00B04E42">
        <w:t>p</w:t>
      </w:r>
      <w:r w:rsidR="00A37AAB" w:rsidRPr="00A52FE1">
        <w:t>833)</w:t>
      </w:r>
      <w:r w:rsidR="001954D6">
        <w:t>,</w:t>
      </w:r>
      <w:r w:rsidR="00A37AAB" w:rsidRPr="00A52FE1">
        <w:t xml:space="preserve"> yet remains </w:t>
      </w:r>
      <w:r w:rsidR="00BC20EF">
        <w:t>“a particularly neglected area of research within tourism studies”</w:t>
      </w:r>
      <w:r w:rsidR="007601EA">
        <w:t xml:space="preserve"> (Shaw, 2015</w:t>
      </w:r>
      <w:r w:rsidR="00BC20EF">
        <w:t>, p46</w:t>
      </w:r>
      <w:r w:rsidR="007601EA">
        <w:t>)</w:t>
      </w:r>
      <w:r w:rsidR="00A37AAB" w:rsidRPr="00A52FE1">
        <w:t>.</w:t>
      </w:r>
    </w:p>
    <w:p w14:paraId="384BB874" w14:textId="77777777" w:rsidR="0030533F" w:rsidRPr="00A52FE1" w:rsidRDefault="0030533F" w:rsidP="0030533F">
      <w:pPr>
        <w:spacing w:after="0" w:line="360" w:lineRule="auto"/>
      </w:pPr>
    </w:p>
    <w:p w14:paraId="16820251" w14:textId="7A071A80" w:rsidR="00426AA9" w:rsidRDefault="00981220" w:rsidP="0030533F">
      <w:pPr>
        <w:spacing w:after="0" w:line="360" w:lineRule="auto"/>
      </w:pPr>
      <w:r>
        <w:t xml:space="preserve">Scholars of innovation </w:t>
      </w:r>
      <w:r w:rsidR="008F311F" w:rsidRPr="00A52FE1">
        <w:t>now</w:t>
      </w:r>
      <w:r>
        <w:t xml:space="preserve"> recognise</w:t>
      </w:r>
      <w:r w:rsidR="002E1206" w:rsidRPr="00A52FE1">
        <w:t xml:space="preserve"> the importance of </w:t>
      </w:r>
      <w:proofErr w:type="spellStart"/>
      <w:r w:rsidR="00EB19A9" w:rsidRPr="00A52FE1">
        <w:t>sectoral</w:t>
      </w:r>
      <w:proofErr w:type="spellEnd"/>
      <w:r w:rsidR="00EB19A9" w:rsidRPr="00A52FE1">
        <w:t xml:space="preserve"> </w:t>
      </w:r>
      <w:r w:rsidR="002E1206" w:rsidRPr="00A52FE1">
        <w:t xml:space="preserve">context (see </w:t>
      </w:r>
      <w:proofErr w:type="spellStart"/>
      <w:r w:rsidR="002E1206" w:rsidRPr="00A52FE1">
        <w:t>Autio</w:t>
      </w:r>
      <w:proofErr w:type="spellEnd"/>
      <w:r w:rsidR="002E1206" w:rsidRPr="00A52FE1">
        <w:t xml:space="preserve">, Kenney, </w:t>
      </w:r>
      <w:proofErr w:type="spellStart"/>
      <w:r w:rsidR="002E1206" w:rsidRPr="00A52FE1">
        <w:t>Mustar</w:t>
      </w:r>
      <w:proofErr w:type="spellEnd"/>
      <w:r w:rsidR="002E1206" w:rsidRPr="00A52FE1">
        <w:t xml:space="preserve">, Siegel and Wright, 2014; </w:t>
      </w:r>
      <w:proofErr w:type="spellStart"/>
      <w:r w:rsidR="002E1206" w:rsidRPr="00A52FE1">
        <w:t>Garud</w:t>
      </w:r>
      <w:proofErr w:type="spellEnd"/>
      <w:r w:rsidR="002E1206" w:rsidRPr="00A52FE1">
        <w:t xml:space="preserve">, </w:t>
      </w:r>
      <w:proofErr w:type="spellStart"/>
      <w:r w:rsidR="002E1206" w:rsidRPr="00A52FE1">
        <w:t>Gehman</w:t>
      </w:r>
      <w:proofErr w:type="spellEnd"/>
      <w:r w:rsidR="002E1206" w:rsidRPr="00A52FE1">
        <w:t xml:space="preserve"> and Giuliani, 2014</w:t>
      </w:r>
      <w:r w:rsidR="00946C4D">
        <w:t>; Vega-</w:t>
      </w:r>
      <w:proofErr w:type="spellStart"/>
      <w:r w:rsidR="00946C4D">
        <w:t>Jurado</w:t>
      </w:r>
      <w:proofErr w:type="spellEnd"/>
      <w:r w:rsidR="00946C4D">
        <w:t xml:space="preserve">,  Gutierrez-Garcia, Fernandez-de-Lucio and </w:t>
      </w:r>
      <w:proofErr w:type="spellStart"/>
      <w:r w:rsidR="00946C4D">
        <w:t>Manjarres</w:t>
      </w:r>
      <w:proofErr w:type="spellEnd"/>
      <w:r w:rsidR="00946C4D">
        <w:t>-Henriquez, 2008</w:t>
      </w:r>
      <w:r w:rsidR="002E1206" w:rsidRPr="00A52FE1">
        <w:t>) and</w:t>
      </w:r>
      <w:r w:rsidR="00941F41" w:rsidRPr="00A52FE1">
        <w:t xml:space="preserve"> this is reflected in</w:t>
      </w:r>
      <w:r w:rsidR="002E1206" w:rsidRPr="00A52FE1">
        <w:t xml:space="preserve"> a growing number of contributions</w:t>
      </w:r>
      <w:r w:rsidR="00941F41" w:rsidRPr="00A52FE1">
        <w:t xml:space="preserve"> that</w:t>
      </w:r>
      <w:r w:rsidR="002E1206" w:rsidRPr="00A52FE1">
        <w:t xml:space="preserve"> take into account the peculiarities of tourism (e</w:t>
      </w:r>
      <w:r w:rsidR="00E175A2">
        <w:t>.</w:t>
      </w:r>
      <w:r w:rsidR="002E1206" w:rsidRPr="00A52FE1">
        <w:t>g</w:t>
      </w:r>
      <w:r w:rsidR="00E175A2">
        <w:t>.</w:t>
      </w:r>
      <w:r w:rsidR="002E1206" w:rsidRPr="00A52FE1">
        <w:t xml:space="preserve"> </w:t>
      </w:r>
      <w:proofErr w:type="spellStart"/>
      <w:r w:rsidR="00FF4A01">
        <w:t>Brooker</w:t>
      </w:r>
      <w:proofErr w:type="spellEnd"/>
      <w:r w:rsidR="00FF4A01">
        <w:t xml:space="preserve"> and </w:t>
      </w:r>
      <w:proofErr w:type="spellStart"/>
      <w:r w:rsidR="00FF4A01">
        <w:t>Joppe</w:t>
      </w:r>
      <w:proofErr w:type="spellEnd"/>
      <w:r w:rsidR="00FF4A01">
        <w:t>, 2014</w:t>
      </w:r>
      <w:r w:rsidR="00FF4A01" w:rsidRPr="00A52FE1">
        <w:t xml:space="preserve">; </w:t>
      </w:r>
      <w:proofErr w:type="spellStart"/>
      <w:r w:rsidR="00FF4A01" w:rsidRPr="00A52FE1">
        <w:t>Camison</w:t>
      </w:r>
      <w:proofErr w:type="spellEnd"/>
      <w:r w:rsidR="00FF4A01" w:rsidRPr="00A52FE1">
        <w:t xml:space="preserve"> and </w:t>
      </w:r>
      <w:proofErr w:type="spellStart"/>
      <w:r w:rsidR="00FF4A01" w:rsidRPr="00A52FE1">
        <w:t>Monfort</w:t>
      </w:r>
      <w:proofErr w:type="spellEnd"/>
      <w:r w:rsidR="00FF4A01" w:rsidRPr="00A52FE1">
        <w:t xml:space="preserve">-Mir, 2011; </w:t>
      </w:r>
      <w:proofErr w:type="spellStart"/>
      <w:r w:rsidR="002E1206" w:rsidRPr="00A52FE1">
        <w:t>Decelle</w:t>
      </w:r>
      <w:proofErr w:type="spellEnd"/>
      <w:r w:rsidR="002E1206" w:rsidRPr="00A52FE1">
        <w:t xml:space="preserve">, 2004; </w:t>
      </w:r>
      <w:r w:rsidR="00000B33">
        <w:t>Hjalager, 2015</w:t>
      </w:r>
      <w:r w:rsidR="00FF4A01" w:rsidRPr="00A52FE1">
        <w:t>; Thomas and Wood, 2014;</w:t>
      </w:r>
      <w:r w:rsidR="00FF4A01">
        <w:t xml:space="preserve"> </w:t>
      </w:r>
      <w:r w:rsidR="002E1206" w:rsidRPr="00A52FE1">
        <w:t>Williams and Sha</w:t>
      </w:r>
      <w:r w:rsidR="00FF4A01">
        <w:t xml:space="preserve">w, 2011; </w:t>
      </w:r>
      <w:r w:rsidR="002E1206" w:rsidRPr="00A52FE1">
        <w:t>Zach, 2012)</w:t>
      </w:r>
      <w:r w:rsidR="008F311F" w:rsidRPr="00A52FE1">
        <w:t xml:space="preserve">.  </w:t>
      </w:r>
      <w:r w:rsidR="001954D6">
        <w:t xml:space="preserve">This paper examines absorptive capacity in the meetings industry.  </w:t>
      </w:r>
      <w:r w:rsidR="00B052DA">
        <w:t>T</w:t>
      </w:r>
      <w:r w:rsidR="001954D6">
        <w:t xml:space="preserve">his encompasses </w:t>
      </w:r>
      <w:r w:rsidR="008F311F" w:rsidRPr="00A52FE1">
        <w:t xml:space="preserve">venues, convention bureaus responsible for promoting destinations </w:t>
      </w:r>
      <w:r w:rsidR="00724632">
        <w:t xml:space="preserve">to those </w:t>
      </w:r>
      <w:r w:rsidR="00724632">
        <w:lastRenderedPageBreak/>
        <w:t>staging business events</w:t>
      </w:r>
      <w:r w:rsidR="008F311F" w:rsidRPr="00A52FE1">
        <w:t>, and agencies that organise conferences (professional conference organisers or PCOs)</w:t>
      </w:r>
      <w:r w:rsidR="001954D6">
        <w:t>.</w:t>
      </w:r>
      <w:r w:rsidR="008F311F" w:rsidRPr="00A52FE1">
        <w:t xml:space="preserve">  </w:t>
      </w:r>
      <w:r w:rsidR="001954D6">
        <w:t>T</w:t>
      </w:r>
      <w:r w:rsidR="008F311F" w:rsidRPr="00A52FE1">
        <w:t xml:space="preserve">he relative academic </w:t>
      </w:r>
      <w:r w:rsidR="00BC20EF">
        <w:t>oversight</w:t>
      </w:r>
      <w:r w:rsidR="00B052DA">
        <w:t xml:space="preserve"> of these organisations </w:t>
      </w:r>
      <w:r w:rsidR="004B28B4" w:rsidRPr="00A52FE1">
        <w:t>is surprising</w:t>
      </w:r>
      <w:r w:rsidR="00BD10C2" w:rsidRPr="00A52FE1">
        <w:t xml:space="preserve"> </w:t>
      </w:r>
      <w:r w:rsidR="00B052DA">
        <w:t>because there has been a s</w:t>
      </w:r>
      <w:r w:rsidR="0042698A">
        <w:t>ustained</w:t>
      </w:r>
      <w:r w:rsidR="00BF3137">
        <w:t xml:space="preserve"> </w:t>
      </w:r>
      <w:r w:rsidR="0042698A">
        <w:t xml:space="preserve">growth of research </w:t>
      </w:r>
      <w:r w:rsidR="00837B5A">
        <w:t xml:space="preserve">generally </w:t>
      </w:r>
      <w:r w:rsidR="0042698A">
        <w:t>on</w:t>
      </w:r>
      <w:r w:rsidR="00B052DA">
        <w:t xml:space="preserve"> </w:t>
      </w:r>
      <w:r w:rsidR="0042698A">
        <w:t xml:space="preserve">planned </w:t>
      </w:r>
      <w:r w:rsidR="00B052DA">
        <w:t xml:space="preserve">events and tourism </w:t>
      </w:r>
      <w:r w:rsidR="00822440">
        <w:t>(</w:t>
      </w:r>
      <w:r w:rsidR="0042698A">
        <w:t>e.g</w:t>
      </w:r>
      <w:r w:rsidR="00822440">
        <w:t>.</w:t>
      </w:r>
      <w:r w:rsidR="0042698A">
        <w:t xml:space="preserve"> </w:t>
      </w:r>
      <w:r w:rsidR="00FF4A01">
        <w:t>Getz, 2008</w:t>
      </w:r>
      <w:r>
        <w:t xml:space="preserve">; </w:t>
      </w:r>
      <w:proofErr w:type="spellStart"/>
      <w:r w:rsidR="0042698A">
        <w:t>Gursoy</w:t>
      </w:r>
      <w:proofErr w:type="spellEnd"/>
      <w:r w:rsidR="0042698A">
        <w:t xml:space="preserve"> and Kendall, 2006;</w:t>
      </w:r>
      <w:r w:rsidR="00FF4A01">
        <w:t xml:space="preserve"> Prentice and Anderson, 2003</w:t>
      </w:r>
      <w:r w:rsidR="0042698A">
        <w:t xml:space="preserve">).  Moreover, </w:t>
      </w:r>
      <w:r w:rsidR="0042698A" w:rsidRPr="00A52FE1">
        <w:t>business events have become routine components of tourism policy discourses internationally</w:t>
      </w:r>
      <w:r w:rsidR="00837B5A">
        <w:t xml:space="preserve"> (</w:t>
      </w:r>
      <w:r w:rsidR="00837B5A" w:rsidRPr="00837B5A">
        <w:t>Hall, 2009;</w:t>
      </w:r>
      <w:r w:rsidR="00837B5A">
        <w:t xml:space="preserve"> </w:t>
      </w:r>
      <w:r w:rsidR="00837B5A" w:rsidRPr="00837B5A">
        <w:t>Rodriguez, Williams and Hall, 2014</w:t>
      </w:r>
      <w:r w:rsidR="00837B5A">
        <w:t>)</w:t>
      </w:r>
      <w:r w:rsidR="0042698A">
        <w:t xml:space="preserve">, as is exemplified by </w:t>
      </w:r>
      <w:r w:rsidR="004B28B4" w:rsidRPr="00A52FE1">
        <w:t>t</w:t>
      </w:r>
      <w:r w:rsidR="00426AA9" w:rsidRPr="00A52FE1">
        <w:t>he recent</w:t>
      </w:r>
      <w:r w:rsidR="000E3DCA" w:rsidRPr="00A52FE1">
        <w:t xml:space="preserve"> agreement between the </w:t>
      </w:r>
      <w:r w:rsidR="00A30DD2" w:rsidRPr="00A52FE1">
        <w:t>Joint Meeting Indust</w:t>
      </w:r>
      <w:r w:rsidR="009D2441" w:rsidRPr="00A52FE1">
        <w:t>ry Council (JMIC)</w:t>
      </w:r>
      <w:r w:rsidR="00822440">
        <w:t>,</w:t>
      </w:r>
      <w:r w:rsidR="000E3DCA" w:rsidRPr="00A52FE1">
        <w:t xml:space="preserve"> </w:t>
      </w:r>
      <w:r w:rsidR="00A30DD2" w:rsidRPr="00A52FE1">
        <w:t>the United Nations World Tourism Organisation (UNWTO) and the World Travel and Tourism Council (WTTC) (IMEX, 2014)</w:t>
      </w:r>
      <w:r w:rsidR="004B28B4" w:rsidRPr="00A52FE1">
        <w:t>.</w:t>
      </w:r>
      <w:r w:rsidR="00A30DD2" w:rsidRPr="00A52FE1">
        <w:t xml:space="preserve">  </w:t>
      </w:r>
    </w:p>
    <w:p w14:paraId="34754138" w14:textId="77777777" w:rsidR="00642967" w:rsidRDefault="00642967" w:rsidP="0030533F">
      <w:pPr>
        <w:spacing w:after="0" w:line="360" w:lineRule="auto"/>
      </w:pPr>
    </w:p>
    <w:p w14:paraId="18BF29A8" w14:textId="7D90A57F" w:rsidR="00642967" w:rsidRDefault="00642967" w:rsidP="00642967">
      <w:pPr>
        <w:spacing w:after="0" w:line="360" w:lineRule="auto"/>
        <w:ind w:left="66"/>
      </w:pPr>
      <w:r>
        <w:t>The UNWTO, in conjunction with agencies such as Meetings Professional International (MPI) and the International Congress and Convention Association (ICCA), defines a meeting as a gathering of ten or more people in a contracted venue for at least four hours (UNWTO, 2014, p10). These meetings encompass exhibitions, incentive events, corporate or business meetings as well as conferences and conventions. The precision of this international definition belies the challenges involved in gathering accurate</w:t>
      </w:r>
      <w:r w:rsidR="004F565B">
        <w:t xml:space="preserve"> data on</w:t>
      </w:r>
      <w:r>
        <w:t xml:space="preserve"> the supply of</w:t>
      </w:r>
      <w:r w:rsidR="004F565B">
        <w:t>,</w:t>
      </w:r>
      <w:r>
        <w:t xml:space="preserve"> and demand for</w:t>
      </w:r>
      <w:r w:rsidR="004F565B">
        <w:t>,</w:t>
      </w:r>
      <w:r>
        <w:t xml:space="preserve"> meetings</w:t>
      </w:r>
      <w:r w:rsidR="00031E07">
        <w:t xml:space="preserve"> (</w:t>
      </w:r>
      <w:proofErr w:type="spellStart"/>
      <w:r w:rsidR="00031E07">
        <w:t>Hodur</w:t>
      </w:r>
      <w:proofErr w:type="spellEnd"/>
      <w:r w:rsidR="00031E07">
        <w:t xml:space="preserve"> and </w:t>
      </w:r>
      <w:proofErr w:type="spellStart"/>
      <w:r w:rsidR="00031E07">
        <w:t>Leistritz</w:t>
      </w:r>
      <w:proofErr w:type="spellEnd"/>
      <w:r w:rsidR="00031E07">
        <w:t>, 2006</w:t>
      </w:r>
      <w:r w:rsidR="00A811F3">
        <w:t>; UNWTO, 2014</w:t>
      </w:r>
      <w:r w:rsidR="00031E07">
        <w:t>)</w:t>
      </w:r>
      <w:r>
        <w:t xml:space="preserve">.  There are, however, </w:t>
      </w:r>
      <w:r w:rsidR="004235B6">
        <w:t>several</w:t>
      </w:r>
      <w:r w:rsidR="004F565B">
        <w:t xml:space="preserve"> </w:t>
      </w:r>
      <w:r>
        <w:t xml:space="preserve">discernible structural features of the </w:t>
      </w:r>
      <w:r w:rsidR="004F565B">
        <w:t xml:space="preserve">meetings industry which, a priori, </w:t>
      </w:r>
      <w:r>
        <w:t xml:space="preserve">make ideas of absorptive capacity developed among manufacturing firms </w:t>
      </w:r>
      <w:r w:rsidR="0026269A">
        <w:t>potentially less pertinent</w:t>
      </w:r>
      <w:r>
        <w:t xml:space="preserve">. </w:t>
      </w:r>
    </w:p>
    <w:p w14:paraId="1F013A17" w14:textId="77777777" w:rsidR="0026269A" w:rsidRDefault="0026269A" w:rsidP="00642967">
      <w:pPr>
        <w:spacing w:after="0" w:line="360" w:lineRule="auto"/>
      </w:pPr>
    </w:p>
    <w:p w14:paraId="7380DDAC" w14:textId="268890DD" w:rsidR="00642967" w:rsidRPr="00A1225E" w:rsidRDefault="00B81D03" w:rsidP="00642967">
      <w:pPr>
        <w:spacing w:after="0" w:line="360" w:lineRule="auto"/>
      </w:pPr>
      <w:r>
        <w:t xml:space="preserve">The first is the high incidence of </w:t>
      </w:r>
      <w:r w:rsidR="00642967">
        <w:t>small and medium sized enterprises (SMEs</w:t>
      </w:r>
      <w:proofErr w:type="gramStart"/>
      <w:r w:rsidR="00642967">
        <w:t>)</w:t>
      </w:r>
      <w:r w:rsidR="00705030">
        <w:t>(</w:t>
      </w:r>
      <w:proofErr w:type="gramEnd"/>
      <w:r w:rsidR="00705030">
        <w:t>Rogers, 2013)</w:t>
      </w:r>
      <w:r w:rsidR="00FE0ADE">
        <w:t>. Informality, contrasting access to resources and the</w:t>
      </w:r>
      <w:r w:rsidR="00705030">
        <w:t xml:space="preserve"> </w:t>
      </w:r>
      <w:r w:rsidR="00E92119">
        <w:t xml:space="preserve">personalised manner </w:t>
      </w:r>
      <w:r w:rsidR="004235B6">
        <w:t>of management</w:t>
      </w:r>
      <w:r w:rsidR="00E92119">
        <w:t xml:space="preserve"> </w:t>
      </w:r>
      <w:r w:rsidR="004235B6">
        <w:t>have</w:t>
      </w:r>
      <w:r w:rsidR="00E92119">
        <w:t xml:space="preserve"> long been accepted as </w:t>
      </w:r>
      <w:r w:rsidR="00724632">
        <w:t xml:space="preserve">among </w:t>
      </w:r>
      <w:r w:rsidR="00E92119">
        <w:t xml:space="preserve">the most important </w:t>
      </w:r>
      <w:r w:rsidR="00985998">
        <w:t>conceptual difference</w:t>
      </w:r>
      <w:r w:rsidR="004235B6">
        <w:t>s</w:t>
      </w:r>
      <w:r w:rsidR="00C8400B">
        <w:t xml:space="preserve"> between</w:t>
      </w:r>
      <w:r w:rsidR="00985998">
        <w:t xml:space="preserve"> </w:t>
      </w:r>
      <w:r w:rsidR="00E92119">
        <w:t xml:space="preserve">smaller </w:t>
      </w:r>
      <w:r w:rsidR="00C8400B">
        <w:t xml:space="preserve">and larger </w:t>
      </w:r>
      <w:r w:rsidR="00E92119">
        <w:t>businesses (</w:t>
      </w:r>
      <w:r w:rsidR="00C8400B">
        <w:t xml:space="preserve">e.g. </w:t>
      </w:r>
      <w:r w:rsidR="00FE0ADE">
        <w:t xml:space="preserve">Barney, Wright and </w:t>
      </w:r>
      <w:proofErr w:type="spellStart"/>
      <w:r w:rsidR="00FE0ADE">
        <w:t>Ketchen</w:t>
      </w:r>
      <w:proofErr w:type="spellEnd"/>
      <w:r w:rsidR="00FE0ADE">
        <w:t xml:space="preserve">, 2001; </w:t>
      </w:r>
      <w:r w:rsidR="00C8400B">
        <w:t xml:space="preserve">Penrose, 1959; Woods and Joyce; </w:t>
      </w:r>
      <w:r w:rsidR="00985998">
        <w:t>2003</w:t>
      </w:r>
      <w:r>
        <w:t>)</w:t>
      </w:r>
      <w:r w:rsidR="004235B6">
        <w:t xml:space="preserve">. </w:t>
      </w:r>
      <w:r>
        <w:t xml:space="preserve"> Studies of absorptive capacity conducted among large bureaucratic manufacturing enterprises may</w:t>
      </w:r>
      <w:r w:rsidR="00C8400B">
        <w:t xml:space="preserve">, therefore, be of </w:t>
      </w:r>
      <w:r>
        <w:t xml:space="preserve">limited </w:t>
      </w:r>
      <w:r w:rsidR="00C8400B">
        <w:t xml:space="preserve">value </w:t>
      </w:r>
      <w:r>
        <w:t xml:space="preserve">for those interested in the dynamics of the meetings industry. </w:t>
      </w:r>
      <w:r w:rsidR="00E92119">
        <w:t xml:space="preserve">Secondly, </w:t>
      </w:r>
      <w:r w:rsidR="00A359C4">
        <w:t>t</w:t>
      </w:r>
      <w:r w:rsidR="004235B6">
        <w:t xml:space="preserve">he </w:t>
      </w:r>
      <w:r>
        <w:t xml:space="preserve">structure and </w:t>
      </w:r>
      <w:r w:rsidR="004235B6">
        <w:t>organisation of</w:t>
      </w:r>
      <w:r w:rsidR="00A359C4">
        <w:t xml:space="preserve"> large</w:t>
      </w:r>
      <w:r w:rsidR="00642967">
        <w:t xml:space="preserve"> inter</w:t>
      </w:r>
      <w:r w:rsidR="004235B6">
        <w:t>national PCOs differs from apparently comparably sized enterprises</w:t>
      </w:r>
      <w:r w:rsidR="00642967">
        <w:t xml:space="preserve"> in manufacturing.  </w:t>
      </w:r>
      <w:r w:rsidR="00A359C4">
        <w:t xml:space="preserve">Many of the former employ </w:t>
      </w:r>
      <w:r w:rsidR="00642967">
        <w:t xml:space="preserve">numerous </w:t>
      </w:r>
      <w:r w:rsidR="00A359C4">
        <w:t xml:space="preserve">freelance </w:t>
      </w:r>
      <w:r w:rsidR="00642967">
        <w:t>‘associates’</w:t>
      </w:r>
      <w:r w:rsidR="004235B6">
        <w:t xml:space="preserve"> (</w:t>
      </w:r>
      <w:r w:rsidR="00D275D8">
        <w:t>who may or may not be contracted exclusively)</w:t>
      </w:r>
      <w:r w:rsidR="004235B6">
        <w:t xml:space="preserve"> on a short-term</w:t>
      </w:r>
      <w:r w:rsidR="00D275D8">
        <w:t xml:space="preserve">, and often regularly renewed, </w:t>
      </w:r>
      <w:r w:rsidR="004235B6">
        <w:t xml:space="preserve">basis </w:t>
      </w:r>
      <w:r w:rsidR="0055632F">
        <w:t xml:space="preserve">(McCabe, 2009; </w:t>
      </w:r>
      <w:r w:rsidR="00A811F3">
        <w:t xml:space="preserve">Weber and </w:t>
      </w:r>
      <w:proofErr w:type="spellStart"/>
      <w:r w:rsidR="00A811F3">
        <w:t>Ladkin</w:t>
      </w:r>
      <w:proofErr w:type="spellEnd"/>
      <w:r w:rsidR="00A811F3">
        <w:t>, 2009</w:t>
      </w:r>
      <w:r w:rsidR="00A359C4">
        <w:t>)</w:t>
      </w:r>
      <w:r w:rsidR="002107FD">
        <w:t xml:space="preserve">.  </w:t>
      </w:r>
      <w:r w:rsidR="00642967">
        <w:t xml:space="preserve">Arguably, </w:t>
      </w:r>
      <w:r w:rsidR="00724632">
        <w:t xml:space="preserve">and </w:t>
      </w:r>
      <w:r w:rsidR="00642967">
        <w:t xml:space="preserve">to borrow from </w:t>
      </w:r>
      <w:proofErr w:type="spellStart"/>
      <w:r w:rsidR="00642967">
        <w:t>Granovette</w:t>
      </w:r>
      <w:r w:rsidR="00724632">
        <w:t>r</w:t>
      </w:r>
      <w:proofErr w:type="spellEnd"/>
      <w:r w:rsidR="00724632">
        <w:t xml:space="preserve"> (1973), these relatively weak</w:t>
      </w:r>
      <w:r w:rsidR="002107FD">
        <w:t xml:space="preserve"> </w:t>
      </w:r>
      <w:r>
        <w:t xml:space="preserve">employment </w:t>
      </w:r>
      <w:r w:rsidR="00642967">
        <w:t>ties</w:t>
      </w:r>
      <w:r w:rsidR="004235B6">
        <w:t xml:space="preserve"> </w:t>
      </w:r>
      <w:r w:rsidR="002107FD">
        <w:t xml:space="preserve">contribute to their </w:t>
      </w:r>
      <w:r w:rsidR="00642967">
        <w:t>commercial strength b</w:t>
      </w:r>
      <w:r w:rsidR="002107FD">
        <w:t>y enabling</w:t>
      </w:r>
      <w:r w:rsidR="00642967">
        <w:t xml:space="preserve"> PCOs to </w:t>
      </w:r>
      <w:r w:rsidR="002107FD">
        <w:t xml:space="preserve">successfully </w:t>
      </w:r>
      <w:r w:rsidR="00642967">
        <w:t>m</w:t>
      </w:r>
      <w:r w:rsidR="002107FD">
        <w:t>anage significant</w:t>
      </w:r>
      <w:r w:rsidR="00642967">
        <w:t xml:space="preserve"> fluctuations in demand over space and time</w:t>
      </w:r>
      <w:r w:rsidR="004235B6">
        <w:t xml:space="preserve"> and to</w:t>
      </w:r>
      <w:r w:rsidR="004235B6" w:rsidRPr="004235B6">
        <w:t xml:space="preserve"> </w:t>
      </w:r>
      <w:r w:rsidR="004235B6">
        <w:t xml:space="preserve">deliver bespoke events almost anywhere in the world (Rogers, 2013). </w:t>
      </w:r>
      <w:r w:rsidR="00642967">
        <w:t xml:space="preserve"> </w:t>
      </w:r>
      <w:r w:rsidR="00724632">
        <w:t xml:space="preserve">Convention bureaus that assemble packages to attract </w:t>
      </w:r>
      <w:r w:rsidR="00724632" w:rsidRPr="004A41F7">
        <w:t xml:space="preserve">various </w:t>
      </w:r>
      <w:r w:rsidR="00E175A2" w:rsidRPr="004A41F7">
        <w:t xml:space="preserve">major </w:t>
      </w:r>
      <w:r w:rsidR="00724632" w:rsidRPr="004A41F7">
        <w:t>peripatetic association or corp</w:t>
      </w:r>
      <w:r w:rsidR="00000B33" w:rsidRPr="004A41F7">
        <w:t xml:space="preserve">orate events </w:t>
      </w:r>
      <w:r w:rsidR="00E175A2" w:rsidRPr="004A41F7">
        <w:t>exhibit</w:t>
      </w:r>
      <w:r w:rsidR="00000B33" w:rsidRPr="004A41F7">
        <w:t xml:space="preserve"> similarities in how they are organised</w:t>
      </w:r>
      <w:r w:rsidR="00724632" w:rsidRPr="004A41F7">
        <w:t xml:space="preserve">.  </w:t>
      </w:r>
      <w:r w:rsidR="004A41F7" w:rsidRPr="004A41F7">
        <w:rPr>
          <w:rFonts w:cstheme="minorHAnsi"/>
        </w:rPr>
        <w:t xml:space="preserve">These characteristics may make it more challenging for PCOs </w:t>
      </w:r>
      <w:r w:rsidR="004A41F7" w:rsidRPr="004A41F7">
        <w:rPr>
          <w:rFonts w:cstheme="minorHAnsi"/>
        </w:rPr>
        <w:lastRenderedPageBreak/>
        <w:t>to develop the affective-commitment and trust among employees necessary to enable the effective sharing of information (</w:t>
      </w:r>
      <w:proofErr w:type="spellStart"/>
      <w:r w:rsidR="004A41F7" w:rsidRPr="004A41F7">
        <w:rPr>
          <w:rFonts w:cstheme="minorHAnsi"/>
        </w:rPr>
        <w:t>Hashim</w:t>
      </w:r>
      <w:proofErr w:type="spellEnd"/>
      <w:r w:rsidR="004A41F7" w:rsidRPr="004A41F7">
        <w:rPr>
          <w:rFonts w:cstheme="minorHAnsi"/>
        </w:rPr>
        <w:t xml:space="preserve"> and Tan, 2015) and </w:t>
      </w:r>
      <w:r w:rsidR="00000B33" w:rsidRPr="004A41F7">
        <w:t xml:space="preserve">undermine the potential applicability of current models of absorptive capacity to the meetings industry. </w:t>
      </w:r>
      <w:r w:rsidR="00724632" w:rsidRPr="004A41F7">
        <w:t xml:space="preserve"> </w:t>
      </w:r>
      <w:r w:rsidR="002107FD" w:rsidRPr="004A41F7">
        <w:t xml:space="preserve">Finally, </w:t>
      </w:r>
      <w:r w:rsidR="00091D45" w:rsidRPr="004A41F7">
        <w:t xml:space="preserve">the </w:t>
      </w:r>
      <w:r w:rsidR="00091D45" w:rsidRPr="004A41F7">
        <w:rPr>
          <w:u w:val="single"/>
        </w:rPr>
        <w:t>valuing</w:t>
      </w:r>
      <w:r w:rsidR="00091D45" w:rsidRPr="004A41F7">
        <w:t xml:space="preserve"> of knowledge in the meetings industry contrasts with that in </w:t>
      </w:r>
      <w:r w:rsidR="004235B6" w:rsidRPr="004A41F7">
        <w:t xml:space="preserve">many </w:t>
      </w:r>
      <w:r w:rsidR="00091D45" w:rsidRPr="004A41F7">
        <w:t>manufacturing</w:t>
      </w:r>
      <w:r w:rsidR="004235B6" w:rsidRPr="004A41F7">
        <w:t xml:space="preserve"> enterprises</w:t>
      </w:r>
      <w:r w:rsidR="00091D45" w:rsidRPr="004A41F7">
        <w:t xml:space="preserve">. </w:t>
      </w:r>
      <w:r w:rsidR="002107FD" w:rsidRPr="004A41F7">
        <w:t xml:space="preserve"> </w:t>
      </w:r>
      <w:r w:rsidR="00F650C6" w:rsidRPr="004A41F7">
        <w:t>T</w:t>
      </w:r>
      <w:r w:rsidR="00091D45" w:rsidRPr="004A41F7">
        <w:t>here</w:t>
      </w:r>
      <w:r w:rsidR="00091D45">
        <w:t xml:space="preserve"> is an extensive literature on </w:t>
      </w:r>
      <w:r w:rsidR="004235B6">
        <w:t>knowledge</w:t>
      </w:r>
      <w:r w:rsidR="00F650C6">
        <w:t>, knowledge management</w:t>
      </w:r>
      <w:r w:rsidR="004235B6">
        <w:t xml:space="preserve"> and </w:t>
      </w:r>
      <w:r w:rsidR="00091D45">
        <w:t xml:space="preserve">knowledge </w:t>
      </w:r>
      <w:r w:rsidR="004235B6">
        <w:t xml:space="preserve">networks </w:t>
      </w:r>
      <w:r w:rsidR="00091D45">
        <w:t>in tourism (e.g.</w:t>
      </w:r>
      <w:r w:rsidR="00F650C6">
        <w:t xml:space="preserve"> Cooper, 2006; </w:t>
      </w:r>
      <w:proofErr w:type="spellStart"/>
      <w:r w:rsidR="00F650C6">
        <w:t>Czernek</w:t>
      </w:r>
      <w:proofErr w:type="spellEnd"/>
      <w:r w:rsidR="00F650C6">
        <w:t xml:space="preserve">, 2014; </w:t>
      </w:r>
      <w:r w:rsidR="00E937EC">
        <w:t xml:space="preserve">Jacob, </w:t>
      </w:r>
      <w:proofErr w:type="spellStart"/>
      <w:r w:rsidR="000025DA">
        <w:t>Florido</w:t>
      </w:r>
      <w:proofErr w:type="spellEnd"/>
      <w:r w:rsidR="000025DA">
        <w:t xml:space="preserve"> and </w:t>
      </w:r>
      <w:proofErr w:type="spellStart"/>
      <w:r w:rsidR="00A5452D">
        <w:t>Payera</w:t>
      </w:r>
      <w:proofErr w:type="spellEnd"/>
      <w:r w:rsidR="00A5452D">
        <w:t xml:space="preserve">, </w:t>
      </w:r>
      <w:r w:rsidR="00E937EC">
        <w:t xml:space="preserve">2014; </w:t>
      </w:r>
      <w:proofErr w:type="spellStart"/>
      <w:r w:rsidR="00F650C6">
        <w:t>Reinl</w:t>
      </w:r>
      <w:proofErr w:type="spellEnd"/>
      <w:r w:rsidR="00F650C6">
        <w:t xml:space="preserve"> and </w:t>
      </w:r>
      <w:proofErr w:type="spellStart"/>
      <w:r w:rsidR="00F650C6">
        <w:t>Kelliher</w:t>
      </w:r>
      <w:proofErr w:type="spellEnd"/>
      <w:r w:rsidR="00F650C6">
        <w:t xml:space="preserve">, 2010; 2014; </w:t>
      </w:r>
      <w:r w:rsidR="007423A6">
        <w:t>Shaw and Williams, 2009)</w:t>
      </w:r>
      <w:r w:rsidR="00091D45">
        <w:t xml:space="preserve"> </w:t>
      </w:r>
      <w:r w:rsidR="00F650C6">
        <w:t>which</w:t>
      </w:r>
      <w:r w:rsidR="00000B33">
        <w:t>,</w:t>
      </w:r>
      <w:r w:rsidR="00F650C6">
        <w:t xml:space="preserve"> </w:t>
      </w:r>
      <w:r w:rsidR="004235B6">
        <w:t>collectively</w:t>
      </w:r>
      <w:r w:rsidR="00000B33">
        <w:t>,</w:t>
      </w:r>
      <w:r w:rsidR="004235B6">
        <w:t xml:space="preserve"> </w:t>
      </w:r>
      <w:r w:rsidR="00091D45">
        <w:t>paint</w:t>
      </w:r>
      <w:r w:rsidR="00000B33">
        <w:t>s</w:t>
      </w:r>
      <w:r w:rsidR="00091D45">
        <w:t xml:space="preserve"> a picture of a sector </w:t>
      </w:r>
      <w:r w:rsidR="0055632F">
        <w:t>where</w:t>
      </w:r>
      <w:r w:rsidR="00091D45">
        <w:t xml:space="preserve"> there </w:t>
      </w:r>
      <w:r w:rsidR="00000B33">
        <w:t>is</w:t>
      </w:r>
      <w:r w:rsidR="00091D45">
        <w:t xml:space="preserve"> little emphasis </w:t>
      </w:r>
      <w:r w:rsidR="00F650C6">
        <w:t xml:space="preserve">on </w:t>
      </w:r>
      <w:r w:rsidR="00E175A2">
        <w:t xml:space="preserve">gaining competitive advantage from acquiring or using highly </w:t>
      </w:r>
      <w:r w:rsidR="00F650C6">
        <w:t>technical</w:t>
      </w:r>
      <w:r w:rsidR="00AA17F3">
        <w:t xml:space="preserve"> formal knowledge</w:t>
      </w:r>
      <w:r w:rsidR="00E175A2">
        <w:t>.</w:t>
      </w:r>
      <w:r w:rsidR="00000B33">
        <w:t xml:space="preserve">  </w:t>
      </w:r>
      <w:r w:rsidR="00AE017B">
        <w:t xml:space="preserve">Instead, </w:t>
      </w:r>
      <w:r w:rsidR="00AA17F3">
        <w:t>knowledge is often tacit and transfer</w:t>
      </w:r>
      <w:r w:rsidR="00C8400B">
        <w:t>red informally within</w:t>
      </w:r>
      <w:r w:rsidR="00AA17F3">
        <w:t xml:space="preserve"> familiar </w:t>
      </w:r>
      <w:r w:rsidR="00AE017B">
        <w:t>and</w:t>
      </w:r>
      <w:r w:rsidR="00E232CE">
        <w:t xml:space="preserve"> either </w:t>
      </w:r>
      <w:r w:rsidR="00993A64">
        <w:t>relatively</w:t>
      </w:r>
      <w:r w:rsidR="00E232CE">
        <w:t xml:space="preserve"> </w:t>
      </w:r>
      <w:r w:rsidR="00AE017B">
        <w:t>unsophisticated</w:t>
      </w:r>
      <w:r w:rsidR="00E232CE">
        <w:t xml:space="preserve"> (Thomas,</w:t>
      </w:r>
      <w:r w:rsidR="00FD6031">
        <w:t xml:space="preserve"> </w:t>
      </w:r>
      <w:r w:rsidR="00E232CE">
        <w:t>2012) or sophisticated</w:t>
      </w:r>
      <w:r w:rsidR="00AE017B">
        <w:t xml:space="preserve"> </w:t>
      </w:r>
      <w:r w:rsidR="00AA17F3">
        <w:t>knowledge networks</w:t>
      </w:r>
      <w:r w:rsidR="00E232CE">
        <w:t xml:space="preserve"> (</w:t>
      </w:r>
      <w:proofErr w:type="spellStart"/>
      <w:r w:rsidR="00E232CE">
        <w:t>Reinl</w:t>
      </w:r>
      <w:proofErr w:type="spellEnd"/>
      <w:r w:rsidR="00E232CE">
        <w:t xml:space="preserve"> and </w:t>
      </w:r>
      <w:proofErr w:type="spellStart"/>
      <w:r w:rsidR="00E232CE">
        <w:t>Kelliher</w:t>
      </w:r>
      <w:proofErr w:type="spellEnd"/>
      <w:r w:rsidR="00E232CE">
        <w:t>, 2014</w:t>
      </w:r>
      <w:r w:rsidR="00AE017B">
        <w:t>)</w:t>
      </w:r>
      <w:r w:rsidR="00AA17F3">
        <w:t xml:space="preserve">.  </w:t>
      </w:r>
      <w:r w:rsidR="00000B33">
        <w:t>T</w:t>
      </w:r>
      <w:r w:rsidR="00091D45">
        <w:t>h</w:t>
      </w:r>
      <w:r w:rsidR="00000B33">
        <w:t>is h</w:t>
      </w:r>
      <w:r w:rsidR="00E175A2">
        <w:t xml:space="preserve">olds potential </w:t>
      </w:r>
      <w:r w:rsidR="00407E1D">
        <w:t xml:space="preserve">implications for </w:t>
      </w:r>
      <w:r w:rsidR="00000B33">
        <w:t>conceptualisations of absorptive capacity</w:t>
      </w:r>
      <w:r w:rsidR="00E175A2">
        <w:t xml:space="preserve"> in tourism</w:t>
      </w:r>
      <w:r w:rsidR="00091D45">
        <w:t xml:space="preserve">. </w:t>
      </w:r>
    </w:p>
    <w:p w14:paraId="3A49B258" w14:textId="77777777" w:rsidR="0030533F" w:rsidRPr="00A52FE1" w:rsidRDefault="0030533F" w:rsidP="0030533F">
      <w:pPr>
        <w:spacing w:after="0" w:line="360" w:lineRule="auto"/>
      </w:pPr>
    </w:p>
    <w:p w14:paraId="149FA8F5" w14:textId="3A5BE4C3" w:rsidR="00A43D38" w:rsidRDefault="00B81D03" w:rsidP="0030533F">
      <w:pPr>
        <w:spacing w:after="0" w:line="360" w:lineRule="auto"/>
      </w:pPr>
      <w:r>
        <w:t>Although t</w:t>
      </w:r>
      <w:r w:rsidR="00771BED" w:rsidRPr="00A52FE1">
        <w:t>her</w:t>
      </w:r>
      <w:r w:rsidR="00D275D8">
        <w:t>e are occasional suggestions</w:t>
      </w:r>
      <w:r w:rsidR="000D00E6">
        <w:t xml:space="preserve"> </w:t>
      </w:r>
      <w:r w:rsidR="00771BED" w:rsidRPr="00A52FE1">
        <w:t xml:space="preserve">that the role of knowledge </w:t>
      </w:r>
      <w:r w:rsidR="00D23058" w:rsidRPr="00A52FE1">
        <w:t xml:space="preserve">as an explanatory variable in firm performance </w:t>
      </w:r>
      <w:r w:rsidR="00771BED" w:rsidRPr="00A52FE1">
        <w:t>is exaggerated (e</w:t>
      </w:r>
      <w:r w:rsidR="00FF4A01">
        <w:t>.</w:t>
      </w:r>
      <w:r w:rsidR="00771BED" w:rsidRPr="00A52FE1">
        <w:t>g</w:t>
      </w:r>
      <w:r w:rsidR="00FF4A01">
        <w:t>.</w:t>
      </w:r>
      <w:r w:rsidR="00771BED" w:rsidRPr="00A52FE1">
        <w:t xml:space="preserve"> </w:t>
      </w:r>
      <w:proofErr w:type="spellStart"/>
      <w:r w:rsidR="00771BED" w:rsidRPr="00A52FE1">
        <w:t>Alvesson</w:t>
      </w:r>
      <w:proofErr w:type="spellEnd"/>
      <w:r w:rsidR="00771BED" w:rsidRPr="00A52FE1">
        <w:t xml:space="preserve"> and Spicer, 2012), t</w:t>
      </w:r>
      <w:r w:rsidR="00E9021A" w:rsidRPr="00A52FE1">
        <w:t xml:space="preserve">he broad consensus within </w:t>
      </w:r>
      <w:r w:rsidR="00061791" w:rsidRPr="00A52FE1">
        <w:t xml:space="preserve">both </w:t>
      </w:r>
      <w:r w:rsidR="00E9021A" w:rsidRPr="00A52FE1">
        <w:t>the tourism and innovation literatures is that an abili</w:t>
      </w:r>
      <w:r w:rsidR="00BD56F1" w:rsidRPr="00A52FE1">
        <w:t>ty to gather and use information</w:t>
      </w:r>
      <w:r w:rsidR="00E9021A" w:rsidRPr="00A52FE1">
        <w:t xml:space="preserve"> is </w:t>
      </w:r>
      <w:r w:rsidR="00771BED" w:rsidRPr="00A52FE1">
        <w:t xml:space="preserve">very </w:t>
      </w:r>
      <w:r w:rsidR="00E9021A" w:rsidRPr="00A52FE1">
        <w:t>closely tied with an organisation’s ability to innovate (Cooper, 2006;</w:t>
      </w:r>
      <w:r w:rsidR="00FF4A01">
        <w:t xml:space="preserve">; </w:t>
      </w:r>
      <w:proofErr w:type="spellStart"/>
      <w:r w:rsidR="00960F4A">
        <w:t>Fosfuri</w:t>
      </w:r>
      <w:proofErr w:type="spellEnd"/>
      <w:r w:rsidR="00960F4A">
        <w:t xml:space="preserve"> and </w:t>
      </w:r>
      <w:proofErr w:type="spellStart"/>
      <w:r w:rsidR="00960F4A">
        <w:t>Tribo</w:t>
      </w:r>
      <w:proofErr w:type="spellEnd"/>
      <w:r w:rsidR="00960F4A">
        <w:t xml:space="preserve">, 2008; </w:t>
      </w:r>
      <w:r w:rsidR="00FF4A01" w:rsidRPr="00A52FE1">
        <w:t xml:space="preserve">Gallego, </w:t>
      </w:r>
      <w:proofErr w:type="spellStart"/>
      <w:r w:rsidR="00FF4A01" w:rsidRPr="00A52FE1">
        <w:t>Rubalcaba</w:t>
      </w:r>
      <w:proofErr w:type="spellEnd"/>
      <w:r w:rsidR="00FF4A01" w:rsidRPr="00A52FE1">
        <w:t xml:space="preserve"> and Suarez, 2013; </w:t>
      </w:r>
      <w:proofErr w:type="spellStart"/>
      <w:r w:rsidR="00FF4A01" w:rsidRPr="00A52FE1">
        <w:t>Koostopoulos</w:t>
      </w:r>
      <w:proofErr w:type="spellEnd"/>
      <w:r w:rsidR="00FF4A01" w:rsidRPr="00A52FE1">
        <w:t xml:space="preserve">, </w:t>
      </w:r>
      <w:proofErr w:type="spellStart"/>
      <w:r w:rsidR="00FF4A01" w:rsidRPr="00A52FE1">
        <w:t>Papalexandris</w:t>
      </w:r>
      <w:proofErr w:type="spellEnd"/>
      <w:r w:rsidR="00FF4A01" w:rsidRPr="00A52FE1">
        <w:t xml:space="preserve">, </w:t>
      </w:r>
      <w:proofErr w:type="spellStart"/>
      <w:r w:rsidR="00FF4A01">
        <w:t>Papachroni</w:t>
      </w:r>
      <w:proofErr w:type="spellEnd"/>
      <w:r w:rsidR="00FF4A01">
        <w:t xml:space="preserve"> and </w:t>
      </w:r>
      <w:proofErr w:type="spellStart"/>
      <w:r w:rsidR="00FF4A01">
        <w:t>Ioannou</w:t>
      </w:r>
      <w:proofErr w:type="spellEnd"/>
      <w:r w:rsidR="00FF4A01">
        <w:t xml:space="preserve">, 2011; </w:t>
      </w:r>
      <w:r w:rsidR="00B15099" w:rsidRPr="00A52FE1">
        <w:t xml:space="preserve">Scott, </w:t>
      </w:r>
      <w:proofErr w:type="spellStart"/>
      <w:r w:rsidR="00B15099" w:rsidRPr="00A52FE1">
        <w:t>Baggio</w:t>
      </w:r>
      <w:proofErr w:type="spellEnd"/>
      <w:r w:rsidR="00B15099" w:rsidRPr="00A52FE1">
        <w:t xml:space="preserve"> and Cooper, 2008; Shaw and Will</w:t>
      </w:r>
      <w:r w:rsidR="00982C16" w:rsidRPr="00A52FE1">
        <w:t>i</w:t>
      </w:r>
      <w:r w:rsidR="00FF4A01">
        <w:t>ams, 2009; Xiao and Smith, 2007</w:t>
      </w:r>
      <w:r w:rsidR="00A1225E">
        <w:t xml:space="preserve">).  </w:t>
      </w:r>
      <w:r w:rsidR="00BF3137">
        <w:t>Additionally</w:t>
      </w:r>
      <w:r w:rsidR="00BD56F1" w:rsidRPr="00A52FE1">
        <w:t>, k</w:t>
      </w:r>
      <w:r w:rsidR="00061791" w:rsidRPr="00A52FE1">
        <w:t xml:space="preserve">nowledge management </w:t>
      </w:r>
      <w:r w:rsidR="00A43D38" w:rsidRPr="00A52FE1">
        <w:t xml:space="preserve">has been found to </w:t>
      </w:r>
      <w:r w:rsidR="00061791" w:rsidRPr="00A52FE1">
        <w:t xml:space="preserve">contribute to </w:t>
      </w:r>
      <w:r w:rsidR="00A43D38" w:rsidRPr="00A52FE1">
        <w:t xml:space="preserve">the </w:t>
      </w:r>
      <w:r w:rsidR="00061791" w:rsidRPr="00A52FE1">
        <w:t xml:space="preserve">competitive advantage </w:t>
      </w:r>
      <w:r w:rsidR="00A43D38" w:rsidRPr="00A52FE1">
        <w:t xml:space="preserve">of </w:t>
      </w:r>
      <w:r w:rsidR="00BD56F1" w:rsidRPr="00A52FE1">
        <w:t>small as well as</w:t>
      </w:r>
      <w:r w:rsidR="00A43D38" w:rsidRPr="00A52FE1">
        <w:t xml:space="preserve"> large businesses</w:t>
      </w:r>
      <w:r w:rsidR="00061791" w:rsidRPr="00A52FE1">
        <w:t xml:space="preserve"> (</w:t>
      </w:r>
      <w:proofErr w:type="spellStart"/>
      <w:r w:rsidR="00061791" w:rsidRPr="00A52FE1">
        <w:t>Fogg</w:t>
      </w:r>
      <w:proofErr w:type="spellEnd"/>
      <w:r w:rsidR="00061791" w:rsidRPr="00A52FE1">
        <w:t xml:space="preserve">, 2012; </w:t>
      </w:r>
      <w:r w:rsidR="00FF4A01" w:rsidRPr="00A52FE1">
        <w:t xml:space="preserve">Harris, McAdam, </w:t>
      </w:r>
      <w:proofErr w:type="spellStart"/>
      <w:r w:rsidR="00FF4A01" w:rsidRPr="00A52FE1">
        <w:t>Mccausland</w:t>
      </w:r>
      <w:proofErr w:type="spellEnd"/>
      <w:r w:rsidR="00FF4A01" w:rsidRPr="00A52FE1">
        <w:t xml:space="preserve"> and Reid, 2013</w:t>
      </w:r>
      <w:r w:rsidR="00FF4A01">
        <w:t>; Tejada and Moreno, 2013</w:t>
      </w:r>
      <w:r w:rsidR="00A43D38" w:rsidRPr="00A52FE1">
        <w:t>)</w:t>
      </w:r>
      <w:r w:rsidR="00771BED" w:rsidRPr="00A52FE1">
        <w:t xml:space="preserve">, </w:t>
      </w:r>
      <w:r w:rsidR="00806B23" w:rsidRPr="00A52FE1">
        <w:t>though there is</w:t>
      </w:r>
      <w:r w:rsidR="00B15099" w:rsidRPr="00A52FE1">
        <w:t xml:space="preserve"> less</w:t>
      </w:r>
      <w:r w:rsidR="00771BED" w:rsidRPr="00A52FE1">
        <w:t xml:space="preserve"> agree</w:t>
      </w:r>
      <w:r w:rsidR="00B15099" w:rsidRPr="00A52FE1">
        <w:t xml:space="preserve">ment </w:t>
      </w:r>
      <w:r w:rsidR="00771BED" w:rsidRPr="00A52FE1">
        <w:t xml:space="preserve">on </w:t>
      </w:r>
      <w:r w:rsidR="00771BED" w:rsidRPr="00A52FE1">
        <w:rPr>
          <w:u w:val="single"/>
        </w:rPr>
        <w:t>how</w:t>
      </w:r>
      <w:r w:rsidR="00771BED" w:rsidRPr="00A52FE1">
        <w:t xml:space="preserve"> processes of knowledge acquisition and utilisation influence performance</w:t>
      </w:r>
      <w:r w:rsidR="00BF3137">
        <w:t xml:space="preserve"> among this constituency</w:t>
      </w:r>
      <w:r w:rsidR="00A43D38" w:rsidRPr="00A52FE1">
        <w:t xml:space="preserve">.  </w:t>
      </w:r>
      <w:r w:rsidR="00385E55">
        <w:t xml:space="preserve">Recent investigations of the </w:t>
      </w:r>
      <w:r w:rsidR="002C76CF">
        <w:t>importance of ‘familiarity’</w:t>
      </w:r>
      <w:r w:rsidR="00385E55">
        <w:t xml:space="preserve"> with</w:t>
      </w:r>
      <w:r w:rsidR="00886510">
        <w:t>in</w:t>
      </w:r>
      <w:r w:rsidR="00385E55">
        <w:t xml:space="preserve"> networks (Zheng and Yang, 2015</w:t>
      </w:r>
      <w:r w:rsidR="002C76CF">
        <w:t xml:space="preserve">) </w:t>
      </w:r>
      <w:r w:rsidR="00385E55">
        <w:t xml:space="preserve">and the role of ‘commitment-trust’ </w:t>
      </w:r>
      <w:r w:rsidR="00AA17F3">
        <w:t>(</w:t>
      </w:r>
      <w:proofErr w:type="spellStart"/>
      <w:r w:rsidR="00AA17F3">
        <w:t>Hashim</w:t>
      </w:r>
      <w:proofErr w:type="spellEnd"/>
      <w:r w:rsidR="00AA17F3">
        <w:t xml:space="preserve"> and Tan, 2015) </w:t>
      </w:r>
      <w:r w:rsidR="002C76CF">
        <w:t>are potentially valuable considerations when discussing knowledge exchange in this context.</w:t>
      </w:r>
    </w:p>
    <w:p w14:paraId="05878017" w14:textId="77777777" w:rsidR="0030533F" w:rsidRPr="00A52FE1" w:rsidRDefault="0030533F" w:rsidP="0030533F">
      <w:pPr>
        <w:spacing w:after="0" w:line="360" w:lineRule="auto"/>
      </w:pPr>
    </w:p>
    <w:p w14:paraId="65CD49BE" w14:textId="77777777" w:rsidR="00A1225E" w:rsidRDefault="00806B23" w:rsidP="00385E55">
      <w:pPr>
        <w:spacing w:after="0" w:line="360" w:lineRule="auto"/>
      </w:pPr>
      <w:r w:rsidRPr="00A52FE1">
        <w:t>Arguably,</w:t>
      </w:r>
      <w:r w:rsidR="00061791" w:rsidRPr="00A52FE1">
        <w:t xml:space="preserve"> external knowledge plays a particularly important role</w:t>
      </w:r>
      <w:r w:rsidR="00A43D38" w:rsidRPr="00A52FE1">
        <w:t xml:space="preserve"> in tourism (King, Breen and</w:t>
      </w:r>
      <w:r w:rsidR="00061791" w:rsidRPr="00A52FE1">
        <w:t xml:space="preserve"> Whitelaw, 2014; Williams and Shaw, 2011).   This may be </w:t>
      </w:r>
      <w:r w:rsidR="002C4E67" w:rsidRPr="00A52FE1">
        <w:t>explained</w:t>
      </w:r>
      <w:r w:rsidR="00B82A52" w:rsidRPr="00A52FE1">
        <w:t xml:space="preserve"> </w:t>
      </w:r>
      <w:r w:rsidR="00A43D38" w:rsidRPr="00A52FE1">
        <w:t xml:space="preserve">by noting </w:t>
      </w:r>
      <w:r w:rsidR="002C4E67" w:rsidRPr="00A52FE1">
        <w:t>that many tourism enterprises operate open systems of innovation i</w:t>
      </w:r>
      <w:r w:rsidR="00336508" w:rsidRPr="00A52FE1">
        <w:t>.</w:t>
      </w:r>
      <w:r w:rsidR="002C4E67" w:rsidRPr="00A52FE1">
        <w:t>e</w:t>
      </w:r>
      <w:r w:rsidR="00336508" w:rsidRPr="00A52FE1">
        <w:t>.</w:t>
      </w:r>
      <w:r w:rsidR="002C4E67" w:rsidRPr="00A52FE1">
        <w:t xml:space="preserve"> the</w:t>
      </w:r>
      <w:r w:rsidR="00A43D38" w:rsidRPr="00A52FE1">
        <w:t>y do not spend significantly on</w:t>
      </w:r>
      <w:r w:rsidR="002C4E67" w:rsidRPr="00A52FE1">
        <w:t xml:space="preserve"> in-house research and development </w:t>
      </w:r>
      <w:r w:rsidR="0078127C" w:rsidRPr="00A52FE1">
        <w:t xml:space="preserve">(R&amp;D) </w:t>
      </w:r>
      <w:r w:rsidR="00A43D38" w:rsidRPr="00A52FE1">
        <w:t xml:space="preserve">but rely </w:t>
      </w:r>
      <w:r w:rsidR="00000B33">
        <w:t xml:space="preserve">instead </w:t>
      </w:r>
      <w:r w:rsidR="002C4E67" w:rsidRPr="00A52FE1">
        <w:t>on suppliers, customers and business networks (</w:t>
      </w:r>
      <w:proofErr w:type="spellStart"/>
      <w:r w:rsidR="002C4E67" w:rsidRPr="00A52FE1">
        <w:t>Laursen</w:t>
      </w:r>
      <w:proofErr w:type="spellEnd"/>
      <w:r w:rsidR="002C4E67" w:rsidRPr="00A52FE1">
        <w:t xml:space="preserve"> and Salter, 2014; Mina, </w:t>
      </w:r>
      <w:proofErr w:type="spellStart"/>
      <w:r w:rsidR="002C4E67" w:rsidRPr="00A52FE1">
        <w:t>Bascavusoglu</w:t>
      </w:r>
      <w:proofErr w:type="spellEnd"/>
      <w:r w:rsidR="002C4E67" w:rsidRPr="00A52FE1">
        <w:t xml:space="preserve">-Moreau and Hughes, 2014; West, Salter, </w:t>
      </w:r>
      <w:proofErr w:type="spellStart"/>
      <w:r w:rsidR="002C4E67" w:rsidRPr="00A52FE1">
        <w:t>Vanhaverbeke</w:t>
      </w:r>
      <w:proofErr w:type="spellEnd"/>
      <w:r w:rsidR="002C4E67" w:rsidRPr="00A52FE1">
        <w:t xml:space="preserve"> and </w:t>
      </w:r>
      <w:proofErr w:type="spellStart"/>
      <w:r w:rsidR="002C4E67" w:rsidRPr="00A52FE1">
        <w:t>Chesbrough</w:t>
      </w:r>
      <w:proofErr w:type="spellEnd"/>
      <w:r w:rsidR="002C4E67" w:rsidRPr="00A52FE1">
        <w:t>, 2014).</w:t>
      </w:r>
      <w:r w:rsidR="00A43D38" w:rsidRPr="00A52FE1">
        <w:t xml:space="preserve">  </w:t>
      </w:r>
      <w:r w:rsidR="00937097" w:rsidRPr="00A52FE1">
        <w:t xml:space="preserve">Nieves and </w:t>
      </w:r>
      <w:proofErr w:type="spellStart"/>
      <w:r w:rsidR="00937097" w:rsidRPr="00A52FE1">
        <w:t>Segarra-Cipres</w:t>
      </w:r>
      <w:proofErr w:type="spellEnd"/>
      <w:r w:rsidR="00937097" w:rsidRPr="00A52FE1">
        <w:t xml:space="preserve">’ (2015) recent contribution </w:t>
      </w:r>
      <w:r w:rsidR="00D275D8">
        <w:t>suggests that it would</w:t>
      </w:r>
      <w:r w:rsidR="00937097" w:rsidRPr="00A52FE1">
        <w:t xml:space="preserve"> be erroneous</w:t>
      </w:r>
      <w:r w:rsidR="00D275D8">
        <w:t>, however,</w:t>
      </w:r>
      <w:r w:rsidR="00937097" w:rsidRPr="00A52FE1">
        <w:t xml:space="preserve"> to assume that the existence of networks inevitably promotes innovation.  </w:t>
      </w:r>
      <w:r w:rsidR="00946C4D">
        <w:t xml:space="preserve">In the case of technology driven innovation, for example, those with greater </w:t>
      </w:r>
      <w:r w:rsidR="00946C4D">
        <w:lastRenderedPageBreak/>
        <w:t xml:space="preserve">in-house capability are more likely to be able to exploit potentially valuable external knowledge </w:t>
      </w:r>
      <w:r w:rsidR="00B81D03">
        <w:t>(Vega-</w:t>
      </w:r>
      <w:proofErr w:type="spellStart"/>
      <w:r w:rsidR="00946C4D">
        <w:t>Jurado</w:t>
      </w:r>
      <w:proofErr w:type="spellEnd"/>
      <w:r w:rsidR="00946C4D">
        <w:t xml:space="preserve">, Gutierrez-Garcia and Fernandez-de-Lucio, 2009). </w:t>
      </w:r>
    </w:p>
    <w:p w14:paraId="14C84D67" w14:textId="77777777" w:rsidR="00A1225E" w:rsidRDefault="00A1225E" w:rsidP="00385E55">
      <w:pPr>
        <w:spacing w:after="0" w:line="360" w:lineRule="auto"/>
      </w:pPr>
    </w:p>
    <w:p w14:paraId="6C0B2065" w14:textId="0E6A5FB7" w:rsidR="00A1225E" w:rsidRPr="005E56EF" w:rsidRDefault="00A1225E" w:rsidP="00385E55">
      <w:pPr>
        <w:spacing w:after="0" w:line="360" w:lineRule="auto"/>
      </w:pPr>
      <w:r>
        <w:t xml:space="preserve">Albeit in a different context, some commentators have recently emphasised </w:t>
      </w:r>
      <w:r>
        <w:rPr>
          <w:rFonts w:cstheme="minorHAnsi"/>
        </w:rPr>
        <w:t>the role of organisational leadership as a means of “encouraging the flow of knowledge among organizational members (which serves to challenge the) status quo in organisations” (</w:t>
      </w:r>
      <w:proofErr w:type="spellStart"/>
      <w:r>
        <w:rPr>
          <w:rFonts w:cstheme="minorHAnsi"/>
        </w:rPr>
        <w:t>Parakevas</w:t>
      </w:r>
      <w:proofErr w:type="spellEnd"/>
      <w:r>
        <w:rPr>
          <w:rFonts w:cstheme="minorHAnsi"/>
        </w:rPr>
        <w:t xml:space="preserve">, </w:t>
      </w:r>
      <w:proofErr w:type="spellStart"/>
      <w:r>
        <w:rPr>
          <w:rFonts w:cstheme="minorHAnsi"/>
        </w:rPr>
        <w:t>Altinay</w:t>
      </w:r>
      <w:proofErr w:type="spellEnd"/>
      <w:r>
        <w:rPr>
          <w:rFonts w:cstheme="minorHAnsi"/>
        </w:rPr>
        <w:t xml:space="preserve">, McLean and Cooper; 2013, p135). </w:t>
      </w:r>
      <w:r>
        <w:t xml:space="preserve"> </w:t>
      </w:r>
      <w:r>
        <w:rPr>
          <w:rFonts w:cstheme="minorHAnsi"/>
        </w:rPr>
        <w:t xml:space="preserve">It is probable that such concerns are particularly acute in a sector where SMEs dominate but may also resonate with analyses of organisations that are fragmented </w:t>
      </w:r>
      <w:r w:rsidR="005E56EF">
        <w:rPr>
          <w:rFonts w:cstheme="minorHAnsi"/>
        </w:rPr>
        <w:t xml:space="preserve">(Rogers, 2013). </w:t>
      </w:r>
      <w:r w:rsidR="005E56EF">
        <w:t xml:space="preserve"> </w:t>
      </w:r>
      <w:r w:rsidR="007F1202" w:rsidRPr="00A52FE1">
        <w:t xml:space="preserve">This paper builds on </w:t>
      </w:r>
      <w:r w:rsidR="00404B1B" w:rsidRPr="00A52FE1">
        <w:t xml:space="preserve">existing </w:t>
      </w:r>
      <w:r w:rsidR="007F1202" w:rsidRPr="00A52FE1">
        <w:t>sector specific studies</w:t>
      </w:r>
      <w:r w:rsidR="0017746B" w:rsidRPr="00A52FE1">
        <w:t xml:space="preserve"> by examining</w:t>
      </w:r>
      <w:r w:rsidR="00654F3B" w:rsidRPr="00A52FE1">
        <w:t xml:space="preserve"> absorptive capacity </w:t>
      </w:r>
      <w:r w:rsidR="0017746B" w:rsidRPr="00A52FE1">
        <w:t xml:space="preserve">in the international </w:t>
      </w:r>
      <w:r w:rsidR="0055632F">
        <w:t>meetings industry.</w:t>
      </w:r>
      <w:r w:rsidRPr="00A1225E">
        <w:rPr>
          <w:rFonts w:cstheme="minorHAnsi"/>
        </w:rPr>
        <w:t xml:space="preserve"> </w:t>
      </w:r>
      <w:r>
        <w:rPr>
          <w:rFonts w:cstheme="minorHAnsi"/>
        </w:rPr>
        <w:t xml:space="preserve"> </w:t>
      </w:r>
    </w:p>
    <w:p w14:paraId="451477A1" w14:textId="77777777" w:rsidR="002D0E6B" w:rsidRDefault="002D0E6B" w:rsidP="00385E55">
      <w:pPr>
        <w:spacing w:after="0" w:line="360" w:lineRule="auto"/>
      </w:pPr>
    </w:p>
    <w:p w14:paraId="23667643" w14:textId="77777777" w:rsidR="00385E55" w:rsidRPr="00A52FE1" w:rsidRDefault="00385E55" w:rsidP="00385E55">
      <w:pPr>
        <w:spacing w:after="0" w:line="360" w:lineRule="auto"/>
      </w:pPr>
    </w:p>
    <w:p w14:paraId="4700A4FC" w14:textId="6F97BD58" w:rsidR="00E80E50" w:rsidRDefault="0012448D" w:rsidP="00385E55">
      <w:pPr>
        <w:pStyle w:val="ListParagraph"/>
        <w:numPr>
          <w:ilvl w:val="0"/>
          <w:numId w:val="9"/>
        </w:numPr>
        <w:spacing w:after="0" w:line="360" w:lineRule="auto"/>
      </w:pPr>
      <w:r w:rsidRPr="00B04E42">
        <w:t>ABSORPTIVE CAPACITY</w:t>
      </w:r>
      <w:r w:rsidR="00385E55">
        <w:t>: THEORETICAL CONSIDERATIONS</w:t>
      </w:r>
    </w:p>
    <w:p w14:paraId="6408F8BB" w14:textId="77777777" w:rsidR="00B04E42" w:rsidRPr="00B04E42" w:rsidRDefault="00B04E42" w:rsidP="00385E55">
      <w:pPr>
        <w:spacing w:after="0" w:line="360" w:lineRule="auto"/>
      </w:pPr>
    </w:p>
    <w:p w14:paraId="0FBAA3D5" w14:textId="5CDACB83" w:rsidR="00BB015F" w:rsidRDefault="00BB015F" w:rsidP="00385E55">
      <w:pPr>
        <w:spacing w:after="0" w:line="360" w:lineRule="auto"/>
      </w:pPr>
      <w:r w:rsidRPr="00A52FE1">
        <w:t>Studies of absorptive capacity resonate closely with</w:t>
      </w:r>
      <w:r w:rsidR="000A15D0" w:rsidRPr="00A52FE1">
        <w:t>,</w:t>
      </w:r>
      <w:r w:rsidR="00837B5A">
        <w:t xml:space="preserve"> and </w:t>
      </w:r>
      <w:r w:rsidR="000A15D0" w:rsidRPr="00A52FE1">
        <w:t xml:space="preserve">should be conceptualised as sitting </w:t>
      </w:r>
      <w:r w:rsidRPr="00A52FE1">
        <w:t>within</w:t>
      </w:r>
      <w:r w:rsidR="000A15D0" w:rsidRPr="00A52FE1">
        <w:t>,</w:t>
      </w:r>
      <w:r w:rsidRPr="00A52FE1">
        <w:t xml:space="preserve"> wider notions of open innovation (</w:t>
      </w:r>
      <w:proofErr w:type="spellStart"/>
      <w:r w:rsidRPr="00A52FE1">
        <w:t>Chesbrough</w:t>
      </w:r>
      <w:proofErr w:type="spellEnd"/>
      <w:r w:rsidRPr="00A52FE1">
        <w:t>, 2003).  That vein of research, which has attr</w:t>
      </w:r>
      <w:r w:rsidR="00F629B6">
        <w:t>acted an “avalanche of interest”</w:t>
      </w:r>
      <w:r w:rsidRPr="00A52FE1">
        <w:t xml:space="preserve"> over the past decade (West</w:t>
      </w:r>
      <w:r w:rsidR="005430A7">
        <w:t xml:space="preserve"> et al.</w:t>
      </w:r>
      <w:r w:rsidRPr="00A52FE1">
        <w:t>, 2014</w:t>
      </w:r>
      <w:r w:rsidR="00F629B6">
        <w:t>, p805</w:t>
      </w:r>
      <w:r w:rsidRPr="00A52FE1">
        <w:t>), suggests that innovative organisations tend to collaborate with external actors in a variety of ways in order, inter alia,</w:t>
      </w:r>
      <w:r w:rsidR="000A15D0" w:rsidRPr="00A52FE1">
        <w:t xml:space="preserve"> to secure new knowledge</w:t>
      </w:r>
      <w:r w:rsidRPr="00A52FE1">
        <w:t xml:space="preserve"> (</w:t>
      </w:r>
      <w:proofErr w:type="spellStart"/>
      <w:r w:rsidRPr="00A52FE1">
        <w:t>Laursen</w:t>
      </w:r>
      <w:proofErr w:type="spellEnd"/>
      <w:r w:rsidR="00720639" w:rsidRPr="00A52FE1">
        <w:t xml:space="preserve"> and Salter,</w:t>
      </w:r>
      <w:r w:rsidRPr="00A52FE1">
        <w:t xml:space="preserve"> 2014).  Th</w:t>
      </w:r>
      <w:r w:rsidR="00C738A0" w:rsidRPr="00A52FE1">
        <w:t>e relational approach which is emphasised involves significant informal as well as formal networking activity</w:t>
      </w:r>
      <w:r w:rsidR="00946C4D">
        <w:t>, potentially involving reciprocity of value (</w:t>
      </w:r>
      <w:proofErr w:type="spellStart"/>
      <w:r w:rsidR="00946C4D">
        <w:t>Ritala</w:t>
      </w:r>
      <w:proofErr w:type="spellEnd"/>
      <w:r w:rsidR="00946C4D">
        <w:t xml:space="preserve">, </w:t>
      </w:r>
      <w:proofErr w:type="spellStart"/>
      <w:r w:rsidR="00946C4D">
        <w:t>Olander</w:t>
      </w:r>
      <w:proofErr w:type="spellEnd"/>
      <w:r w:rsidR="00946C4D">
        <w:t xml:space="preserve">, </w:t>
      </w:r>
      <w:proofErr w:type="spellStart"/>
      <w:r w:rsidR="00946C4D">
        <w:t>Michailova</w:t>
      </w:r>
      <w:proofErr w:type="spellEnd"/>
      <w:r w:rsidR="00946C4D">
        <w:t xml:space="preserve"> and Husted, 2015),</w:t>
      </w:r>
      <w:r w:rsidR="00C738A0" w:rsidRPr="00A52FE1">
        <w:t xml:space="preserve"> and results in </w:t>
      </w:r>
      <w:r w:rsidRPr="00A52FE1">
        <w:t xml:space="preserve">outward-looking </w:t>
      </w:r>
      <w:r w:rsidR="00002415" w:rsidRPr="00A52FE1">
        <w:t xml:space="preserve">business </w:t>
      </w:r>
      <w:r w:rsidRPr="00A52FE1">
        <w:t>strateg</w:t>
      </w:r>
      <w:r w:rsidR="000A15D0" w:rsidRPr="00A52FE1">
        <w:t>ies</w:t>
      </w:r>
      <w:r w:rsidR="00C738A0" w:rsidRPr="00A52FE1">
        <w:t xml:space="preserve">.  </w:t>
      </w:r>
      <w:r w:rsidR="00002415" w:rsidRPr="00A52FE1">
        <w:t xml:space="preserve">Primarily theorised in the context of manufacturing, ideas of open innovation </w:t>
      </w:r>
      <w:r w:rsidR="00C738A0" w:rsidRPr="00A52FE1">
        <w:t>are</w:t>
      </w:r>
      <w:r w:rsidR="002F691B" w:rsidRPr="00A52FE1">
        <w:t>, nevertheless,</w:t>
      </w:r>
      <w:r w:rsidR="00C738A0" w:rsidRPr="00A52FE1">
        <w:t xml:space="preserve"> as relevant </w:t>
      </w:r>
      <w:r w:rsidR="00002415" w:rsidRPr="00A52FE1">
        <w:t xml:space="preserve">to </w:t>
      </w:r>
      <w:r w:rsidRPr="00A52FE1">
        <w:t>service organisations</w:t>
      </w:r>
      <w:r w:rsidR="000A15D0" w:rsidRPr="00A52FE1">
        <w:t xml:space="preserve"> </w:t>
      </w:r>
      <w:r w:rsidR="002F691B" w:rsidRPr="00A52FE1">
        <w:t xml:space="preserve">but initial research suggests that </w:t>
      </w:r>
      <w:r w:rsidR="00002415" w:rsidRPr="00A52FE1">
        <w:t xml:space="preserve">they </w:t>
      </w:r>
      <w:r w:rsidR="000A15D0" w:rsidRPr="00A52FE1">
        <w:t xml:space="preserve">lead to </w:t>
      </w:r>
      <w:r w:rsidR="00C738A0" w:rsidRPr="00A52FE1">
        <w:t xml:space="preserve">different ways </w:t>
      </w:r>
      <w:r w:rsidR="00002415" w:rsidRPr="00A52FE1">
        <w:t>of innovating</w:t>
      </w:r>
      <w:r w:rsidR="000A15D0" w:rsidRPr="00A52FE1">
        <w:t xml:space="preserve"> (Min</w:t>
      </w:r>
      <w:r w:rsidR="005430A7">
        <w:t>a et al.</w:t>
      </w:r>
      <w:r w:rsidR="000A15D0" w:rsidRPr="00A52FE1">
        <w:t>, 2014)</w:t>
      </w:r>
      <w:r w:rsidR="002F691B" w:rsidRPr="00A52FE1">
        <w:t>.</w:t>
      </w:r>
      <w:r w:rsidR="00002415" w:rsidRPr="00A52FE1">
        <w:t xml:space="preserve"> </w:t>
      </w:r>
    </w:p>
    <w:p w14:paraId="3C7C3EF1" w14:textId="77777777" w:rsidR="0030533F" w:rsidRPr="00A52FE1" w:rsidRDefault="0030533F" w:rsidP="0030533F">
      <w:pPr>
        <w:spacing w:after="0" w:line="360" w:lineRule="auto"/>
      </w:pPr>
    </w:p>
    <w:p w14:paraId="062BD064" w14:textId="72D31FC0" w:rsidR="00591710" w:rsidRDefault="00837B5A" w:rsidP="0030533F">
      <w:pPr>
        <w:spacing w:after="0" w:line="360" w:lineRule="auto"/>
      </w:pPr>
      <w:r>
        <w:t>A</w:t>
      </w:r>
      <w:r w:rsidR="005F076B" w:rsidRPr="00A52FE1">
        <w:t xml:space="preserve">bsorptive capacity has been largely ignored </w:t>
      </w:r>
      <w:r w:rsidR="00806B23" w:rsidRPr="00A52FE1">
        <w:t xml:space="preserve">or has been tangential to research conducted </w:t>
      </w:r>
      <w:r w:rsidR="005F076B" w:rsidRPr="00A52FE1">
        <w:t>by scholars with an interest in tourism</w:t>
      </w:r>
      <w:r w:rsidR="006559AB" w:rsidRPr="00A52FE1">
        <w:t xml:space="preserve"> </w:t>
      </w:r>
      <w:r w:rsidR="00D47EBD" w:rsidRPr="00A52FE1">
        <w:t>(</w:t>
      </w:r>
      <w:proofErr w:type="spellStart"/>
      <w:r w:rsidR="00D47EBD" w:rsidRPr="00A52FE1">
        <w:t>Carlborg</w:t>
      </w:r>
      <w:proofErr w:type="spellEnd"/>
      <w:r w:rsidR="00D47EBD" w:rsidRPr="00A52FE1">
        <w:t>,</w:t>
      </w:r>
      <w:r w:rsidR="00C920E8">
        <w:t xml:space="preserve"> </w:t>
      </w:r>
      <w:proofErr w:type="spellStart"/>
      <w:r w:rsidR="00C920E8">
        <w:t>Kindstrom</w:t>
      </w:r>
      <w:proofErr w:type="spellEnd"/>
      <w:r w:rsidR="00C920E8">
        <w:t xml:space="preserve"> and </w:t>
      </w:r>
      <w:proofErr w:type="spellStart"/>
      <w:r w:rsidR="00C920E8">
        <w:t>Kowalkowski</w:t>
      </w:r>
      <w:proofErr w:type="spellEnd"/>
      <w:r w:rsidR="00C920E8">
        <w:t>, 2014</w:t>
      </w:r>
      <w:r w:rsidR="00806B23" w:rsidRPr="00A52FE1">
        <w:t xml:space="preserve">; </w:t>
      </w:r>
      <w:r w:rsidR="00000B33">
        <w:t>Hjalager, 2015</w:t>
      </w:r>
      <w:r w:rsidR="00E27676">
        <w:t xml:space="preserve">; </w:t>
      </w:r>
      <w:r w:rsidR="005F076B" w:rsidRPr="00A52FE1">
        <w:t>Weidenfeld</w:t>
      </w:r>
      <w:r w:rsidR="00DB6F9D" w:rsidRPr="00A52FE1">
        <w:t xml:space="preserve">, Williams and Butler, </w:t>
      </w:r>
      <w:r w:rsidR="005F076B" w:rsidRPr="00A52FE1">
        <w:t>2009)</w:t>
      </w:r>
      <w:r w:rsidR="00DB6F9D" w:rsidRPr="00A52FE1">
        <w:t xml:space="preserve">.  </w:t>
      </w:r>
      <w:r w:rsidR="0018447D" w:rsidRPr="00A52FE1">
        <w:t xml:space="preserve">Valentina and </w:t>
      </w:r>
      <w:proofErr w:type="spellStart"/>
      <w:r w:rsidR="0018447D" w:rsidRPr="00A52FE1">
        <w:t>Passiante</w:t>
      </w:r>
      <w:proofErr w:type="spellEnd"/>
      <w:r w:rsidR="005F076B" w:rsidRPr="00A52FE1">
        <w:t xml:space="preserve"> (2009) utilised ideas of absor</w:t>
      </w:r>
      <w:r w:rsidR="008B5216">
        <w:t xml:space="preserve">ptive capacity for their research on </w:t>
      </w:r>
      <w:r w:rsidR="005F076B" w:rsidRPr="00A52FE1">
        <w:t>sma</w:t>
      </w:r>
      <w:r w:rsidR="008B5216">
        <w:t>ll and medium sized enterprises</w:t>
      </w:r>
      <w:r w:rsidR="00806B23" w:rsidRPr="00A52FE1">
        <w:t xml:space="preserve">.  They </w:t>
      </w:r>
      <w:r w:rsidR="005F076B" w:rsidRPr="00A52FE1">
        <w:t>found that external networks were valuable sources of knowledge</w:t>
      </w:r>
      <w:r w:rsidR="00806B23" w:rsidRPr="00A52FE1">
        <w:t xml:space="preserve">.  However, unless owner-managers were able to share </w:t>
      </w:r>
      <w:r w:rsidR="005F076B" w:rsidRPr="00A52FE1">
        <w:t xml:space="preserve">information </w:t>
      </w:r>
      <w:r w:rsidR="00806B23" w:rsidRPr="00A52FE1">
        <w:t>with employees, innovation was not likely to emerge</w:t>
      </w:r>
      <w:r w:rsidR="005F076B" w:rsidRPr="00A52FE1">
        <w:t xml:space="preserve">. </w:t>
      </w:r>
      <w:r w:rsidR="00806B23" w:rsidRPr="00A52FE1">
        <w:t xml:space="preserve"> </w:t>
      </w:r>
    </w:p>
    <w:p w14:paraId="5E7EAB3D" w14:textId="77777777" w:rsidR="0030533F" w:rsidRPr="00A52FE1" w:rsidRDefault="0030533F" w:rsidP="0030533F">
      <w:pPr>
        <w:spacing w:after="0" w:line="360" w:lineRule="auto"/>
      </w:pPr>
    </w:p>
    <w:p w14:paraId="59E62DAC" w14:textId="53A9ADAB" w:rsidR="00757E88" w:rsidRPr="00A52FE1" w:rsidRDefault="005430A7" w:rsidP="0030533F">
      <w:pPr>
        <w:spacing w:after="0" w:line="360" w:lineRule="auto"/>
      </w:pPr>
      <w:r>
        <w:t>Lane et al.</w:t>
      </w:r>
      <w:r w:rsidR="00E27676">
        <w:t xml:space="preserve"> (2006,</w:t>
      </w:r>
      <w:r w:rsidR="00757E88" w:rsidRPr="00A52FE1">
        <w:t xml:space="preserve"> </w:t>
      </w:r>
      <w:r w:rsidR="00E27676">
        <w:t>p</w:t>
      </w:r>
      <w:r w:rsidR="00757E88" w:rsidRPr="00A52FE1">
        <w:t xml:space="preserve">833) </w:t>
      </w:r>
      <w:r w:rsidR="00591710" w:rsidRPr="00A52FE1">
        <w:t xml:space="preserve">summarise the essence of </w:t>
      </w:r>
      <w:r w:rsidR="005F076B" w:rsidRPr="00A52FE1">
        <w:t>absorptive capacity when they note that it</w:t>
      </w:r>
      <w:r w:rsidR="00757E88" w:rsidRPr="00A52FE1">
        <w:t xml:space="preserve">: </w:t>
      </w:r>
    </w:p>
    <w:p w14:paraId="6E72F2CD" w14:textId="77777777" w:rsidR="00F93ACF" w:rsidRDefault="005F076B" w:rsidP="0030533F">
      <w:pPr>
        <w:tabs>
          <w:tab w:val="left" w:pos="8080"/>
        </w:tabs>
        <w:spacing w:after="0" w:line="360" w:lineRule="auto"/>
        <w:ind w:left="709" w:right="946"/>
        <w:jc w:val="both"/>
      </w:pPr>
      <w:r w:rsidRPr="00A52FE1">
        <w:lastRenderedPageBreak/>
        <w:t>……….</w:t>
      </w:r>
      <w:r w:rsidR="00757E88" w:rsidRPr="00A52FE1">
        <w:t xml:space="preserve"> refers to one of a firm’s fundamental learning processes: its ability to identify, assimilate, and exploit knowledge from the environment.  These three dimensions encompass not only the ability to imitate other firms’ products or processes but also the ability to exploit less commercially focused knowledge, such as scientific research.  Developing and maintaining absorptive capacity is critical to a firm’s long term survival and success because absorptive capacity can reinforce, complement, or refocus the firm’s knowledge base.</w:t>
      </w:r>
    </w:p>
    <w:p w14:paraId="1C6B6141" w14:textId="77777777" w:rsidR="0030533F" w:rsidRPr="00A52FE1" w:rsidRDefault="0030533F" w:rsidP="0030533F">
      <w:pPr>
        <w:tabs>
          <w:tab w:val="left" w:pos="8080"/>
        </w:tabs>
        <w:spacing w:after="0" w:line="360" w:lineRule="auto"/>
        <w:ind w:left="709" w:right="946"/>
        <w:jc w:val="both"/>
      </w:pPr>
    </w:p>
    <w:p w14:paraId="4AD9A213" w14:textId="24824347" w:rsidR="00567CBE" w:rsidRDefault="00F93ACF" w:rsidP="0030533F">
      <w:pPr>
        <w:spacing w:after="0" w:line="360" w:lineRule="auto"/>
      </w:pPr>
      <w:r w:rsidRPr="00A52FE1">
        <w:t>T</w:t>
      </w:r>
      <w:r w:rsidR="00D27C74" w:rsidRPr="00A52FE1">
        <w:t xml:space="preserve">he </w:t>
      </w:r>
      <w:r w:rsidRPr="00A52FE1">
        <w:t xml:space="preserve">theoretical </w:t>
      </w:r>
      <w:r w:rsidR="005C7994" w:rsidRPr="00A52FE1">
        <w:t>antecedents</w:t>
      </w:r>
      <w:r w:rsidR="004C6FBB" w:rsidRPr="00A52FE1">
        <w:t xml:space="preserve"> </w:t>
      </w:r>
      <w:r w:rsidR="00993A64">
        <w:t>of absorptive capacity are</w:t>
      </w:r>
      <w:r w:rsidRPr="00A52FE1">
        <w:t xml:space="preserve"> usually attributed to the work of </w:t>
      </w:r>
      <w:r w:rsidR="005C7994" w:rsidRPr="00A52FE1">
        <w:t xml:space="preserve">Cohen and </w:t>
      </w:r>
      <w:proofErr w:type="spellStart"/>
      <w:r w:rsidR="005C7994" w:rsidRPr="00A52FE1">
        <w:t>Levinthal</w:t>
      </w:r>
      <w:proofErr w:type="spellEnd"/>
      <w:r w:rsidR="005C7994" w:rsidRPr="00A52FE1">
        <w:t xml:space="preserve"> </w:t>
      </w:r>
      <w:r w:rsidRPr="00A52FE1">
        <w:t>(1990)</w:t>
      </w:r>
      <w:r w:rsidR="00CC739E" w:rsidRPr="00A52FE1">
        <w:t xml:space="preserve">.  </w:t>
      </w:r>
      <w:r w:rsidR="00000A62" w:rsidRPr="00A52FE1">
        <w:t xml:space="preserve">However, </w:t>
      </w:r>
      <w:r w:rsidR="00567CBE" w:rsidRPr="00A52FE1">
        <w:rPr>
          <w:color w:val="000000" w:themeColor="text1"/>
        </w:rPr>
        <w:t>Zahra and George’s (2002)</w:t>
      </w:r>
      <w:r w:rsidR="00000A62" w:rsidRPr="00A52FE1">
        <w:rPr>
          <w:color w:val="000000" w:themeColor="text1"/>
        </w:rPr>
        <w:t xml:space="preserve"> theoretical</w:t>
      </w:r>
      <w:r w:rsidR="00567CBE" w:rsidRPr="00A52FE1">
        <w:rPr>
          <w:color w:val="000000" w:themeColor="text1"/>
        </w:rPr>
        <w:t xml:space="preserve"> </w:t>
      </w:r>
      <w:r w:rsidR="00000A62" w:rsidRPr="00A52FE1">
        <w:rPr>
          <w:color w:val="000000" w:themeColor="text1"/>
        </w:rPr>
        <w:t xml:space="preserve">refinements represent a </w:t>
      </w:r>
      <w:r w:rsidR="0018447D" w:rsidRPr="00A52FE1">
        <w:rPr>
          <w:color w:val="000000" w:themeColor="text1"/>
        </w:rPr>
        <w:t>more convenient</w:t>
      </w:r>
      <w:r w:rsidR="00000A62" w:rsidRPr="00A52FE1">
        <w:rPr>
          <w:color w:val="000000" w:themeColor="text1"/>
        </w:rPr>
        <w:t xml:space="preserve"> starting point for this paper</w:t>
      </w:r>
      <w:r w:rsidR="00D80BF0" w:rsidRPr="00A52FE1">
        <w:rPr>
          <w:color w:val="000000" w:themeColor="text1"/>
        </w:rPr>
        <w:t>.  They</w:t>
      </w:r>
      <w:r w:rsidR="00000A62" w:rsidRPr="00A52FE1">
        <w:rPr>
          <w:color w:val="000000" w:themeColor="text1"/>
        </w:rPr>
        <w:t xml:space="preserve"> conceptualise </w:t>
      </w:r>
      <w:r w:rsidR="00567CBE" w:rsidRPr="00A52FE1">
        <w:rPr>
          <w:color w:val="000000" w:themeColor="text1"/>
        </w:rPr>
        <w:t xml:space="preserve">absorptive capacity as a dynamic capability.  </w:t>
      </w:r>
      <w:r w:rsidR="00000A62" w:rsidRPr="00A52FE1">
        <w:rPr>
          <w:color w:val="000000" w:themeColor="text1"/>
        </w:rPr>
        <w:t>That</w:t>
      </w:r>
      <w:r w:rsidR="00FB57F7" w:rsidRPr="00A52FE1">
        <w:rPr>
          <w:color w:val="000000" w:themeColor="text1"/>
        </w:rPr>
        <w:t xml:space="preserve"> it</w:t>
      </w:r>
      <w:r w:rsidR="00000A62" w:rsidRPr="00A52FE1">
        <w:rPr>
          <w:color w:val="000000" w:themeColor="text1"/>
        </w:rPr>
        <w:t xml:space="preserve"> is a </w:t>
      </w:r>
      <w:r w:rsidR="00000A62" w:rsidRPr="00A52FE1">
        <w:rPr>
          <w:color w:val="000000" w:themeColor="text1"/>
          <w:u w:val="single"/>
        </w:rPr>
        <w:t>dynamic</w:t>
      </w:r>
      <w:r w:rsidR="00000A62" w:rsidRPr="00A52FE1">
        <w:rPr>
          <w:color w:val="000000" w:themeColor="text1"/>
        </w:rPr>
        <w:t xml:space="preserve"> capability is critical because, as </w:t>
      </w:r>
      <w:r w:rsidR="00567CBE" w:rsidRPr="00A52FE1">
        <w:rPr>
          <w:color w:val="000000" w:themeColor="text1"/>
        </w:rPr>
        <w:t>Sun an</w:t>
      </w:r>
      <w:r w:rsidR="00E27676">
        <w:rPr>
          <w:color w:val="000000" w:themeColor="text1"/>
        </w:rPr>
        <w:t>d Anderson (2008,</w:t>
      </w:r>
      <w:r w:rsidR="00000A62" w:rsidRPr="00A52FE1">
        <w:rPr>
          <w:color w:val="000000" w:themeColor="text1"/>
        </w:rPr>
        <w:t xml:space="preserve"> </w:t>
      </w:r>
      <w:r w:rsidR="00E27676">
        <w:rPr>
          <w:color w:val="000000" w:themeColor="text1"/>
        </w:rPr>
        <w:t>p</w:t>
      </w:r>
      <w:r w:rsidR="00000A62" w:rsidRPr="00A52FE1">
        <w:rPr>
          <w:color w:val="000000" w:themeColor="text1"/>
        </w:rPr>
        <w:t>134) emphasise</w:t>
      </w:r>
      <w:r w:rsidR="00F629B6">
        <w:rPr>
          <w:color w:val="000000" w:themeColor="text1"/>
        </w:rPr>
        <w:t>, “</w:t>
      </w:r>
      <w:r w:rsidR="00567CBE" w:rsidRPr="00A52FE1">
        <w:rPr>
          <w:color w:val="000000" w:themeColor="text1"/>
        </w:rPr>
        <w:t>a dynamic capability … reflects the ability of an organisation to respond to strategic change … by recon</w:t>
      </w:r>
      <w:r w:rsidR="00F629B6">
        <w:rPr>
          <w:color w:val="000000" w:themeColor="text1"/>
        </w:rPr>
        <w:t>structing its core capabilities”</w:t>
      </w:r>
      <w:r w:rsidR="00567CBE" w:rsidRPr="00A52FE1">
        <w:rPr>
          <w:color w:val="000000" w:themeColor="text1"/>
        </w:rPr>
        <w:t xml:space="preserve">. </w:t>
      </w:r>
      <w:r w:rsidR="00000A62" w:rsidRPr="00A52FE1">
        <w:rPr>
          <w:color w:val="000000" w:themeColor="text1"/>
        </w:rPr>
        <w:t>Zahra and George (2002) suggest</w:t>
      </w:r>
      <w:r w:rsidR="00567CBE" w:rsidRPr="00A52FE1">
        <w:rPr>
          <w:color w:val="000000" w:themeColor="text1"/>
        </w:rPr>
        <w:t xml:space="preserve"> four capabilities or dimensions of absorptive capacity: acquisition, assimilation,</w:t>
      </w:r>
      <w:r w:rsidR="00567CBE" w:rsidRPr="00A52FE1">
        <w:t xml:space="preserve"> transformation, and exploitation. </w:t>
      </w:r>
    </w:p>
    <w:p w14:paraId="39480EC5" w14:textId="77777777" w:rsidR="0030533F" w:rsidRPr="00A52FE1" w:rsidRDefault="0030533F" w:rsidP="0030533F">
      <w:pPr>
        <w:spacing w:after="0" w:line="360" w:lineRule="auto"/>
      </w:pPr>
    </w:p>
    <w:p w14:paraId="1A2B99A2" w14:textId="70E463D4" w:rsidR="00567CBE" w:rsidRDefault="00D80BF0" w:rsidP="0030533F">
      <w:pPr>
        <w:spacing w:after="0" w:line="360" w:lineRule="auto"/>
      </w:pPr>
      <w:r w:rsidRPr="00A52FE1">
        <w:t xml:space="preserve">The intensity, speed and scope of activity </w:t>
      </w:r>
      <w:r w:rsidR="00B6201F" w:rsidRPr="00A52FE1">
        <w:t>affect</w:t>
      </w:r>
      <w:r w:rsidRPr="00A52FE1">
        <w:t>s the potential value of knowledge acquisition</w:t>
      </w:r>
      <w:r w:rsidR="00B6201F" w:rsidRPr="00A52FE1">
        <w:t xml:space="preserve"> which is </w:t>
      </w:r>
      <w:r w:rsidR="00FB57F7" w:rsidRPr="00A52FE1">
        <w:t>the first</w:t>
      </w:r>
      <w:r w:rsidR="00086B3B" w:rsidRPr="00A52FE1">
        <w:t xml:space="preserve"> </w:t>
      </w:r>
      <w:r w:rsidRPr="00A52FE1">
        <w:t xml:space="preserve">capability identified.  </w:t>
      </w:r>
      <w:r w:rsidR="00567CBE" w:rsidRPr="00A52FE1">
        <w:t xml:space="preserve">The </w:t>
      </w:r>
      <w:r w:rsidRPr="00A52FE1">
        <w:t>second</w:t>
      </w:r>
      <w:r w:rsidR="00B6201F" w:rsidRPr="00A52FE1">
        <w:t>, labelled assimilation, relate</w:t>
      </w:r>
      <w:r w:rsidR="00567CBE" w:rsidRPr="00A52FE1">
        <w:t>s</w:t>
      </w:r>
      <w:r w:rsidR="00B6201F" w:rsidRPr="00A52FE1">
        <w:t xml:space="preserve"> to</w:t>
      </w:r>
      <w:r w:rsidR="00567CBE" w:rsidRPr="00A52FE1">
        <w:t xml:space="preserve"> an organisation’s ability to </w:t>
      </w:r>
      <w:r w:rsidR="00B6201F" w:rsidRPr="00A52FE1">
        <w:t>interpret</w:t>
      </w:r>
      <w:r w:rsidR="00086B3B" w:rsidRPr="00A52FE1">
        <w:t>, for strategic purposes,</w:t>
      </w:r>
      <w:r w:rsidR="00567CBE" w:rsidRPr="00A52FE1">
        <w:t xml:space="preserve"> the knowl</w:t>
      </w:r>
      <w:r w:rsidR="00086B3B" w:rsidRPr="00A52FE1">
        <w:t>edge acquired</w:t>
      </w:r>
      <w:r w:rsidR="00567CBE" w:rsidRPr="00A52FE1">
        <w:t xml:space="preserve">.  </w:t>
      </w:r>
      <w:r w:rsidR="00086B3B" w:rsidRPr="00A52FE1">
        <w:t xml:space="preserve">Clearly, simply acquiring new knowledge but not recognising its potential importance </w:t>
      </w:r>
      <w:r w:rsidRPr="00A52FE1">
        <w:t xml:space="preserve">to the organisation </w:t>
      </w:r>
      <w:r w:rsidR="00086B3B" w:rsidRPr="00A52FE1">
        <w:t xml:space="preserve">is unlikely to yield </w:t>
      </w:r>
      <w:r w:rsidR="00D06995" w:rsidRPr="00A52FE1">
        <w:t xml:space="preserve">progress towards </w:t>
      </w:r>
      <w:r w:rsidR="00086B3B" w:rsidRPr="00A52FE1">
        <w:t xml:space="preserve">innovation.  </w:t>
      </w:r>
      <w:r w:rsidR="00567CBE" w:rsidRPr="00A52FE1">
        <w:t>The third capability</w:t>
      </w:r>
      <w:r w:rsidR="00086B3B" w:rsidRPr="00A52FE1">
        <w:t xml:space="preserve">, knowledge </w:t>
      </w:r>
      <w:r w:rsidR="00567CBE" w:rsidRPr="00A52FE1">
        <w:t>transformation</w:t>
      </w:r>
      <w:r w:rsidR="00086B3B" w:rsidRPr="00A52FE1">
        <w:t xml:space="preserve">, involves </w:t>
      </w:r>
      <w:r w:rsidR="00567CBE" w:rsidRPr="00A52FE1">
        <w:t>combin</w:t>
      </w:r>
      <w:r w:rsidR="00086B3B" w:rsidRPr="00A52FE1">
        <w:t xml:space="preserve">ing new knowledge with that which exists within the organisation </w:t>
      </w:r>
      <w:r w:rsidRPr="00A52FE1">
        <w:t xml:space="preserve">already </w:t>
      </w:r>
      <w:r w:rsidR="00086B3B" w:rsidRPr="00A52FE1">
        <w:t>to enable novel</w:t>
      </w:r>
      <w:r w:rsidR="00567CBE" w:rsidRPr="00A52FE1">
        <w:t xml:space="preserve"> understanding.  </w:t>
      </w:r>
      <w:r w:rsidR="00086B3B" w:rsidRPr="00A52FE1">
        <w:t xml:space="preserve">As </w:t>
      </w:r>
      <w:r w:rsidR="00E27676">
        <w:t>Zahra and George (2002,</w:t>
      </w:r>
      <w:r w:rsidR="00567CBE" w:rsidRPr="00A52FE1">
        <w:t xml:space="preserve"> </w:t>
      </w:r>
      <w:r w:rsidR="00E27676">
        <w:t>p</w:t>
      </w:r>
      <w:r w:rsidR="00567CBE" w:rsidRPr="00A52FE1">
        <w:t xml:space="preserve">190) </w:t>
      </w:r>
      <w:r w:rsidR="00086B3B" w:rsidRPr="00A52FE1">
        <w:t>suggest,</w:t>
      </w:r>
      <w:r w:rsidR="00F629B6">
        <w:t xml:space="preserve"> “</w:t>
      </w:r>
      <w:r w:rsidR="00567CBE" w:rsidRPr="00A52FE1">
        <w:t>the ability of firms to recognize two apparently incongruous sets of information and then combine them to arrive at a new schema represents a transformation capability … It yields new insights</w:t>
      </w:r>
      <w:r w:rsidR="00F629B6">
        <w:t xml:space="preserve"> .. (</w:t>
      </w:r>
      <w:proofErr w:type="gramStart"/>
      <w:r w:rsidR="00F629B6">
        <w:t>and</w:t>
      </w:r>
      <w:proofErr w:type="gramEnd"/>
      <w:r w:rsidR="00F629B6">
        <w:t xml:space="preserve"> changes how) .. </w:t>
      </w:r>
      <w:proofErr w:type="gramStart"/>
      <w:r w:rsidR="00567CBE" w:rsidRPr="00A52FE1">
        <w:t>the</w:t>
      </w:r>
      <w:proofErr w:type="gramEnd"/>
      <w:r w:rsidR="00567CBE" w:rsidRPr="00A52FE1">
        <w:t xml:space="preserve"> firm sees itsel</w:t>
      </w:r>
      <w:r w:rsidR="00F629B6">
        <w:t>f and its competitive landscape”</w:t>
      </w:r>
      <w:r w:rsidR="00567CBE" w:rsidRPr="00A52FE1">
        <w:t xml:space="preserve">.  The final </w:t>
      </w:r>
      <w:r w:rsidR="00086B3B" w:rsidRPr="00A52FE1">
        <w:t xml:space="preserve">capability </w:t>
      </w:r>
      <w:r w:rsidR="00D06995" w:rsidRPr="00A52FE1">
        <w:t>involves establishing</w:t>
      </w:r>
      <w:r w:rsidR="00086B3B" w:rsidRPr="00A52FE1">
        <w:t xml:space="preserve"> </w:t>
      </w:r>
      <w:r w:rsidR="00567CBE" w:rsidRPr="00A52FE1">
        <w:t xml:space="preserve">procedural mechanisms </w:t>
      </w:r>
      <w:r w:rsidR="00086B3B" w:rsidRPr="00A52FE1">
        <w:t xml:space="preserve">so that organisations are able to exploit </w:t>
      </w:r>
      <w:r w:rsidR="00D06995" w:rsidRPr="00A52FE1">
        <w:t>new knowledge enabl</w:t>
      </w:r>
      <w:r w:rsidR="00993A64">
        <w:t>ing</w:t>
      </w:r>
      <w:r w:rsidR="00D06995" w:rsidRPr="00A52FE1">
        <w:t xml:space="preserve"> them </w:t>
      </w:r>
      <w:r w:rsidR="00567CBE" w:rsidRPr="00A52FE1">
        <w:t xml:space="preserve">to </w:t>
      </w:r>
      <w:r w:rsidR="00D06995" w:rsidRPr="00A52FE1">
        <w:t xml:space="preserve">innovate by altering </w:t>
      </w:r>
      <w:r w:rsidR="00567CBE" w:rsidRPr="00A52FE1">
        <w:t xml:space="preserve">current </w:t>
      </w:r>
      <w:r w:rsidR="00D06995" w:rsidRPr="00A52FE1">
        <w:t>practices</w:t>
      </w:r>
      <w:r w:rsidR="00567CBE" w:rsidRPr="00A52FE1">
        <w:t xml:space="preserve"> or begin</w:t>
      </w:r>
      <w:r w:rsidR="00D06995" w:rsidRPr="00A52FE1">
        <w:t>ning</w:t>
      </w:r>
      <w:r w:rsidR="00567CBE" w:rsidRPr="00A52FE1">
        <w:t xml:space="preserve"> new ones (</w:t>
      </w:r>
      <w:proofErr w:type="spellStart"/>
      <w:r w:rsidR="00567CBE" w:rsidRPr="00A52FE1">
        <w:t>Easterby</w:t>
      </w:r>
      <w:proofErr w:type="spellEnd"/>
      <w:r w:rsidR="00567CBE" w:rsidRPr="00A52FE1">
        <w:t xml:space="preserve">-Smith, Grace, </w:t>
      </w:r>
      <w:proofErr w:type="spellStart"/>
      <w:r w:rsidR="00567CBE" w:rsidRPr="00A52FE1">
        <w:t>Antonacopoulou</w:t>
      </w:r>
      <w:proofErr w:type="spellEnd"/>
      <w:r w:rsidR="00567CBE" w:rsidRPr="00A52FE1">
        <w:t xml:space="preserve"> and Ferdinand, 2008). </w:t>
      </w:r>
    </w:p>
    <w:p w14:paraId="4052886A" w14:textId="77777777" w:rsidR="0030533F" w:rsidRPr="00A52FE1" w:rsidRDefault="0030533F" w:rsidP="0030533F">
      <w:pPr>
        <w:spacing w:after="0" w:line="360" w:lineRule="auto"/>
      </w:pPr>
    </w:p>
    <w:p w14:paraId="57FF793F" w14:textId="7961C323" w:rsidR="00D519D3" w:rsidRDefault="00FB57F7" w:rsidP="0030533F">
      <w:pPr>
        <w:spacing w:after="0" w:line="360" w:lineRule="auto"/>
      </w:pPr>
      <w:r w:rsidRPr="00A52FE1">
        <w:t xml:space="preserve">The four </w:t>
      </w:r>
      <w:r w:rsidR="00567CBE" w:rsidRPr="00A52FE1">
        <w:t xml:space="preserve">capabilities </w:t>
      </w:r>
      <w:r w:rsidRPr="00A52FE1">
        <w:t xml:space="preserve">discussed above are categorised by </w:t>
      </w:r>
      <w:r w:rsidR="00E27676">
        <w:t>Zahra and George (2002,</w:t>
      </w:r>
      <w:r w:rsidR="00567CBE" w:rsidRPr="00A52FE1">
        <w:t xml:space="preserve"> </w:t>
      </w:r>
      <w:r w:rsidR="00E27676">
        <w:t>p</w:t>
      </w:r>
      <w:r w:rsidR="00567CBE" w:rsidRPr="00A52FE1">
        <w:t xml:space="preserve">190) </w:t>
      </w:r>
      <w:r w:rsidRPr="00A52FE1">
        <w:t xml:space="preserve">as </w:t>
      </w:r>
      <w:r w:rsidR="00567CBE" w:rsidRPr="00A52FE1">
        <w:t xml:space="preserve">potential </w:t>
      </w:r>
      <w:r w:rsidRPr="00A52FE1">
        <w:t>(acquisition and assimilation) and realized</w:t>
      </w:r>
      <w:r w:rsidR="00567CBE" w:rsidRPr="00A52FE1">
        <w:t xml:space="preserve"> </w:t>
      </w:r>
      <w:r w:rsidRPr="00A52FE1">
        <w:t xml:space="preserve">(transformation and exploitation) absorptive </w:t>
      </w:r>
      <w:r w:rsidR="00D80BF0" w:rsidRPr="00A52FE1">
        <w:t xml:space="preserve">capacity.  Together </w:t>
      </w:r>
      <w:r w:rsidRPr="00A52FE1">
        <w:t xml:space="preserve">they represent </w:t>
      </w:r>
      <w:r w:rsidR="00F629B6">
        <w:t>“</w:t>
      </w:r>
      <w:r w:rsidR="00567CBE" w:rsidRPr="00A52FE1">
        <w:t>a coherent dynamic capability that fosters organisational change and evo</w:t>
      </w:r>
      <w:r w:rsidR="00F629B6">
        <w:t>lution”</w:t>
      </w:r>
      <w:r w:rsidRPr="00A52FE1">
        <w:t xml:space="preserve">.  </w:t>
      </w:r>
      <w:r w:rsidR="00567CBE" w:rsidRPr="00A52FE1">
        <w:t>Figure 1</w:t>
      </w:r>
      <w:r w:rsidRPr="00A52FE1">
        <w:t xml:space="preserve"> illustrates this conceptualisation and incorporates the other</w:t>
      </w:r>
      <w:r w:rsidR="00567CBE" w:rsidRPr="00A52FE1">
        <w:t xml:space="preserve"> factors that </w:t>
      </w:r>
      <w:r w:rsidRPr="00A52FE1">
        <w:t xml:space="preserve">are </w:t>
      </w:r>
      <w:r w:rsidRPr="00A52FE1">
        <w:lastRenderedPageBreak/>
        <w:t xml:space="preserve">held to </w:t>
      </w:r>
      <w:r w:rsidR="007D02A0" w:rsidRPr="00A52FE1">
        <w:t xml:space="preserve">enable or limit </w:t>
      </w:r>
      <w:r w:rsidR="00567CBE" w:rsidRPr="00A52FE1">
        <w:t xml:space="preserve">absorptive capacity </w:t>
      </w:r>
      <w:r w:rsidR="007D02A0" w:rsidRPr="00A52FE1">
        <w:t>and its</w:t>
      </w:r>
      <w:r w:rsidR="00567CBE" w:rsidRPr="00A52FE1">
        <w:t xml:space="preserve"> </w:t>
      </w:r>
      <w:r w:rsidR="007D02A0" w:rsidRPr="00A52FE1">
        <w:t>implications for innovation.</w:t>
      </w:r>
      <w:r w:rsidR="00567CBE" w:rsidRPr="00A52FE1">
        <w:t xml:space="preserve"> </w:t>
      </w:r>
      <w:r w:rsidR="007641BE" w:rsidRPr="00A52FE1">
        <w:t>Prior e</w:t>
      </w:r>
      <w:r w:rsidR="007D02A0" w:rsidRPr="00A52FE1">
        <w:t>xperience of</w:t>
      </w:r>
      <w:r w:rsidR="007641BE" w:rsidRPr="00A52FE1">
        <w:t>, and the learning associated with,</w:t>
      </w:r>
      <w:r w:rsidR="007D02A0" w:rsidRPr="00A52FE1">
        <w:t xml:space="preserve"> searching for and using </w:t>
      </w:r>
      <w:r w:rsidR="00567CBE" w:rsidRPr="00A52FE1">
        <w:t xml:space="preserve">external sources of knowledge are </w:t>
      </w:r>
      <w:r w:rsidR="00407E1D">
        <w:t xml:space="preserve">considered </w:t>
      </w:r>
      <w:r w:rsidR="007641BE" w:rsidRPr="00A52FE1">
        <w:t xml:space="preserve">to be </w:t>
      </w:r>
      <w:r w:rsidR="00407E1D">
        <w:t>important antecedents of</w:t>
      </w:r>
      <w:r w:rsidR="00567CBE" w:rsidRPr="00A52FE1">
        <w:t xml:space="preserve"> absorptive capacity.  </w:t>
      </w:r>
    </w:p>
    <w:p w14:paraId="1FBA9DCD" w14:textId="77777777" w:rsidR="0030533F" w:rsidRPr="00A52FE1" w:rsidRDefault="0030533F" w:rsidP="0030533F">
      <w:pPr>
        <w:spacing w:after="0" w:line="360" w:lineRule="auto"/>
      </w:pPr>
    </w:p>
    <w:p w14:paraId="5C1A49A0" w14:textId="77777777" w:rsidR="00D62B9C" w:rsidRDefault="00D62B9C" w:rsidP="00D62B9C"/>
    <w:p w14:paraId="21FB7C9D" w14:textId="77777777" w:rsidR="00750BD4" w:rsidRDefault="00750BD4" w:rsidP="00D62B9C"/>
    <w:p w14:paraId="61502B5D" w14:textId="77777777" w:rsidR="00D62B9C" w:rsidRDefault="00D62B9C" w:rsidP="00D62B9C">
      <w:r>
        <w:t>Figure 1 A model of absorptive capacity</w:t>
      </w:r>
    </w:p>
    <w:p w14:paraId="5B9C6AA5" w14:textId="436D9784" w:rsidR="00D62B9C" w:rsidRDefault="00D62B9C" w:rsidP="00D62B9C">
      <w:r>
        <w:rPr>
          <w:noProof/>
          <w:lang w:eastAsia="en-GB"/>
        </w:rPr>
        <mc:AlternateContent>
          <mc:Choice Requires="wps">
            <w:drawing>
              <wp:anchor distT="0" distB="0" distL="114300" distR="114300" simplePos="0" relativeHeight="251662336" behindDoc="0" locked="0" layoutInCell="1" allowOverlap="1" wp14:anchorId="6EBCEB21" wp14:editId="50F0DD7B">
                <wp:simplePos x="0" y="0"/>
                <wp:positionH relativeFrom="column">
                  <wp:posOffset>-264795</wp:posOffset>
                </wp:positionH>
                <wp:positionV relativeFrom="paragraph">
                  <wp:posOffset>313055</wp:posOffset>
                </wp:positionV>
                <wp:extent cx="1378585" cy="1120775"/>
                <wp:effectExtent l="0" t="0" r="1206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120775"/>
                        </a:xfrm>
                        <a:prstGeom prst="rect">
                          <a:avLst/>
                        </a:prstGeom>
                        <a:solidFill>
                          <a:srgbClr val="FFFFFF"/>
                        </a:solidFill>
                        <a:ln w="9525">
                          <a:solidFill>
                            <a:srgbClr val="000000"/>
                          </a:solidFill>
                          <a:miter lim="800000"/>
                          <a:headEnd/>
                          <a:tailEnd/>
                        </a:ln>
                      </wps:spPr>
                      <wps:txbx>
                        <w:txbxContent>
                          <w:p w14:paraId="7FD02462" w14:textId="553850EE" w:rsidR="008E16E0" w:rsidRDefault="008E16E0" w:rsidP="00D62B9C">
                            <w:r>
                              <w:t>External sources of knowledge and complementarity</w:t>
                            </w:r>
                          </w:p>
                          <w:p w14:paraId="6F10C680" w14:textId="77777777" w:rsidR="008E16E0" w:rsidRDefault="008E16E0" w:rsidP="00D62B9C">
                            <w:r>
                              <w:t>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0.85pt;margin-top:24.65pt;width:108.55pt;height: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">
                <v:textbox>
                  <w:txbxContent>
                    <w:p w14:paraId="7FD02462" w14:textId="553850EE" w:rsidR="008E16E0" w:rsidRDefault="008E16E0" w:rsidP="00D62B9C">
                      <w:r>
                        <w:t>External sources of knowledge and complementarity</w:t>
                      </w:r>
                    </w:p>
                    <w:p w14:paraId="6F10C680" w14:textId="77777777" w:rsidR="008E16E0" w:rsidRDefault="008E16E0" w:rsidP="00D62B9C">
                      <w:r>
                        <w:t>Experience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0955589" wp14:editId="3EEC7F92">
                <wp:simplePos x="0" y="0"/>
                <wp:positionH relativeFrom="column">
                  <wp:align>center</wp:align>
                </wp:positionH>
                <wp:positionV relativeFrom="paragraph">
                  <wp:posOffset>25400</wp:posOffset>
                </wp:positionV>
                <wp:extent cx="2628900" cy="1668780"/>
                <wp:effectExtent l="0" t="0" r="1905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68780"/>
                        </a:xfrm>
                        <a:prstGeom prst="rect">
                          <a:avLst/>
                        </a:prstGeom>
                        <a:solidFill>
                          <a:srgbClr val="FFFFFF"/>
                        </a:solidFill>
                        <a:ln w="9525">
                          <a:solidFill>
                            <a:srgbClr val="000000"/>
                          </a:solidFill>
                          <a:miter lim="800000"/>
                          <a:headEnd/>
                          <a:tailEnd/>
                        </a:ln>
                      </wps:spPr>
                      <wps:txbx>
                        <w:txbxContent>
                          <w:p w14:paraId="092923A1" w14:textId="77777777" w:rsidR="008E16E0" w:rsidRPr="00561836" w:rsidRDefault="008E16E0" w:rsidP="00D62B9C">
                            <w:pPr>
                              <w:jc w:val="center"/>
                              <w:rPr>
                                <w:b/>
                              </w:rPr>
                            </w:pPr>
                            <w:r w:rsidRPr="00561836">
                              <w:rPr>
                                <w:b/>
                              </w:rPr>
                              <w:t>Absorptive capacity</w:t>
                            </w:r>
                          </w:p>
                          <w:p w14:paraId="0A488FC3" w14:textId="77777777" w:rsidR="008E16E0" w:rsidRDefault="008E16E0" w:rsidP="00D62B9C"/>
                          <w:p w14:paraId="1CBFEF21" w14:textId="77777777" w:rsidR="008E16E0" w:rsidRDefault="008E16E0" w:rsidP="00D62B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0;margin-top:2pt;width:207pt;height:131.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4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">
                <v:textbox>
                  <w:txbxContent>
                    <w:p w14:paraId="092923A1" w14:textId="77777777" w:rsidR="008E16E0" w:rsidRPr="00561836" w:rsidRDefault="008E16E0" w:rsidP="00D62B9C">
                      <w:pPr>
                        <w:jc w:val="center"/>
                        <w:rPr>
                          <w:b/>
                        </w:rPr>
                      </w:pPr>
                      <w:r w:rsidRPr="00561836">
                        <w:rPr>
                          <w:b/>
                        </w:rPr>
                        <w:t>Absorptive capacity</w:t>
                      </w:r>
                    </w:p>
                    <w:p w14:paraId="0A488FC3" w14:textId="77777777" w:rsidR="008E16E0" w:rsidRDefault="008E16E0" w:rsidP="00D62B9C"/>
                    <w:p w14:paraId="1CBFEF21" w14:textId="77777777" w:rsidR="008E16E0" w:rsidRDefault="008E16E0" w:rsidP="00D62B9C"/>
                  </w:txbxContent>
                </v:textbox>
              </v:shape>
            </w:pict>
          </mc:Fallback>
        </mc:AlternateContent>
      </w:r>
    </w:p>
    <w:p w14:paraId="1AB4304F" w14:textId="60A33E5E" w:rsidR="00D62B9C" w:rsidRDefault="00D62B9C" w:rsidP="00D62B9C">
      <w:r>
        <w:rPr>
          <w:noProof/>
          <w:lang w:eastAsia="en-GB"/>
        </w:rPr>
        <mc:AlternateContent>
          <mc:Choice Requires="wps">
            <w:drawing>
              <wp:anchor distT="0" distB="0" distL="114300" distR="114300" simplePos="0" relativeHeight="251660288" behindDoc="0" locked="0" layoutInCell="1" allowOverlap="1" wp14:anchorId="5BFF4F0C" wp14:editId="1D135DCE">
                <wp:simplePos x="0" y="0"/>
                <wp:positionH relativeFrom="column">
                  <wp:posOffset>1692275</wp:posOffset>
                </wp:positionH>
                <wp:positionV relativeFrom="paragraph">
                  <wp:posOffset>196850</wp:posOffset>
                </wp:positionV>
                <wp:extent cx="1082040" cy="914400"/>
                <wp:effectExtent l="0" t="0" r="2286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914400"/>
                        </a:xfrm>
                        <a:prstGeom prst="rect">
                          <a:avLst/>
                        </a:prstGeom>
                        <a:solidFill>
                          <a:srgbClr val="FFFFFF"/>
                        </a:solidFill>
                        <a:ln w="9525">
                          <a:solidFill>
                            <a:srgbClr val="000000"/>
                          </a:solidFill>
                          <a:miter lim="800000"/>
                          <a:headEnd/>
                          <a:tailEnd/>
                        </a:ln>
                      </wps:spPr>
                      <wps:txbx>
                        <w:txbxContent>
                          <w:p w14:paraId="26D1F767" w14:textId="77777777" w:rsidR="008E16E0" w:rsidRPr="006A6B15" w:rsidRDefault="008E16E0" w:rsidP="00D62B9C">
                            <w:pPr>
                              <w:rPr>
                                <w:b/>
                              </w:rPr>
                            </w:pPr>
                            <w:r w:rsidRPr="006A6B15">
                              <w:rPr>
                                <w:b/>
                              </w:rPr>
                              <w:t>POTENTIAL</w:t>
                            </w:r>
                          </w:p>
                          <w:p w14:paraId="600CFAF7" w14:textId="77777777" w:rsidR="008E16E0" w:rsidRDefault="008E16E0" w:rsidP="00D62B9C">
                            <w:r>
                              <w:t>Acquisition</w:t>
                            </w:r>
                          </w:p>
                          <w:p w14:paraId="6D04B9AF" w14:textId="77777777" w:rsidR="008E16E0" w:rsidRDefault="008E16E0" w:rsidP="00D62B9C">
                            <w:r>
                              <w:t>Assimilation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33.25pt;margin-top:15.5pt;width:85.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">
                <v:textbox>
                  <w:txbxContent>
                    <w:p w14:paraId="26D1F767" w14:textId="77777777" w:rsidR="008E16E0" w:rsidRPr="006A6B15" w:rsidRDefault="008E16E0" w:rsidP="00D62B9C">
                      <w:pPr>
                        <w:rPr>
                          <w:b/>
                        </w:rPr>
                      </w:pPr>
                      <w:r w:rsidRPr="006A6B15">
                        <w:rPr>
                          <w:b/>
                        </w:rPr>
                        <w:t>POTENTIAL</w:t>
                      </w:r>
                    </w:p>
                    <w:p w14:paraId="600CFAF7" w14:textId="77777777" w:rsidR="008E16E0" w:rsidRDefault="008E16E0" w:rsidP="00D62B9C">
                      <w:r>
                        <w:t>Acquisition</w:t>
                      </w:r>
                    </w:p>
                    <w:p w14:paraId="6D04B9AF" w14:textId="77777777" w:rsidR="008E16E0" w:rsidRDefault="008E16E0" w:rsidP="00D62B9C">
                      <w:r>
                        <w:t>Assimilation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C8856E0" wp14:editId="088450F2">
                <wp:simplePos x="0" y="0"/>
                <wp:positionH relativeFrom="column">
                  <wp:posOffset>2934970</wp:posOffset>
                </wp:positionH>
                <wp:positionV relativeFrom="paragraph">
                  <wp:posOffset>196850</wp:posOffset>
                </wp:positionV>
                <wp:extent cx="1081405" cy="914400"/>
                <wp:effectExtent l="0" t="0" r="2349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14400"/>
                        </a:xfrm>
                        <a:prstGeom prst="rect">
                          <a:avLst/>
                        </a:prstGeom>
                        <a:solidFill>
                          <a:srgbClr val="FFFFFF"/>
                        </a:solidFill>
                        <a:ln w="9525">
                          <a:solidFill>
                            <a:srgbClr val="000000"/>
                          </a:solidFill>
                          <a:miter lim="800000"/>
                          <a:headEnd/>
                          <a:tailEnd/>
                        </a:ln>
                      </wps:spPr>
                      <wps:txbx>
                        <w:txbxContent>
                          <w:p w14:paraId="633107D2" w14:textId="77777777" w:rsidR="008E16E0" w:rsidRPr="006A6B15" w:rsidRDefault="008E16E0" w:rsidP="00D62B9C">
                            <w:pPr>
                              <w:rPr>
                                <w:b/>
                              </w:rPr>
                            </w:pPr>
                            <w:r w:rsidRPr="006A6B15">
                              <w:rPr>
                                <w:b/>
                              </w:rPr>
                              <w:t>REALIZED</w:t>
                            </w:r>
                          </w:p>
                          <w:p w14:paraId="6B05E4B2" w14:textId="77777777" w:rsidR="008E16E0" w:rsidRDefault="008E16E0" w:rsidP="00D62B9C">
                            <w:r>
                              <w:t>Transformation</w:t>
                            </w:r>
                          </w:p>
                          <w:p w14:paraId="5C235F99" w14:textId="77777777" w:rsidR="008E16E0" w:rsidRDefault="008E16E0" w:rsidP="00D62B9C">
                            <w:r>
                              <w:t>Exploitation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31.1pt;margin-top:15.5pt;width:85.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">
                <v:textbox>
                  <w:txbxContent>
                    <w:p w14:paraId="633107D2" w14:textId="77777777" w:rsidR="008E16E0" w:rsidRPr="006A6B15" w:rsidRDefault="008E16E0" w:rsidP="00D62B9C">
                      <w:pPr>
                        <w:rPr>
                          <w:b/>
                        </w:rPr>
                      </w:pPr>
                      <w:r w:rsidRPr="006A6B15">
                        <w:rPr>
                          <w:b/>
                        </w:rPr>
                        <w:t>REALIZED</w:t>
                      </w:r>
                    </w:p>
                    <w:p w14:paraId="6B05E4B2" w14:textId="77777777" w:rsidR="008E16E0" w:rsidRDefault="008E16E0" w:rsidP="00D62B9C">
                      <w:r>
                        <w:t>Transformation</w:t>
                      </w:r>
                    </w:p>
                    <w:p w14:paraId="5C235F99" w14:textId="77777777" w:rsidR="008E16E0" w:rsidRDefault="008E16E0" w:rsidP="00D62B9C">
                      <w:r>
                        <w:t>Exploitation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579AF35" wp14:editId="106FCC58">
                <wp:simplePos x="0" y="0"/>
                <wp:positionH relativeFrom="column">
                  <wp:posOffset>4594860</wp:posOffset>
                </wp:positionH>
                <wp:positionV relativeFrom="paragraph">
                  <wp:posOffset>60960</wp:posOffset>
                </wp:positionV>
                <wp:extent cx="1595755" cy="1042035"/>
                <wp:effectExtent l="0" t="0" r="2349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042035"/>
                        </a:xfrm>
                        <a:prstGeom prst="rect">
                          <a:avLst/>
                        </a:prstGeom>
                        <a:solidFill>
                          <a:srgbClr val="FFFFFF"/>
                        </a:solidFill>
                        <a:ln w="9525">
                          <a:solidFill>
                            <a:srgbClr val="000000"/>
                          </a:solidFill>
                          <a:miter lim="800000"/>
                          <a:headEnd/>
                          <a:tailEnd/>
                        </a:ln>
                      </wps:spPr>
                      <wps:txbx>
                        <w:txbxContent>
                          <w:p w14:paraId="1D5DD999" w14:textId="77777777" w:rsidR="008E16E0" w:rsidRDefault="008E16E0" w:rsidP="00D62B9C">
                            <w:pPr>
                              <w:spacing w:after="0" w:line="240" w:lineRule="auto"/>
                              <w:rPr>
                                <w:b/>
                              </w:rPr>
                            </w:pPr>
                            <w:r w:rsidRPr="00561836">
                              <w:rPr>
                                <w:b/>
                              </w:rPr>
                              <w:t>Competitive advantage</w:t>
                            </w:r>
                          </w:p>
                          <w:p w14:paraId="34717FCD" w14:textId="77777777" w:rsidR="008E16E0" w:rsidRPr="00561836" w:rsidRDefault="008E16E0" w:rsidP="00D62B9C">
                            <w:pPr>
                              <w:spacing w:after="0" w:line="240" w:lineRule="auto"/>
                              <w:rPr>
                                <w:b/>
                              </w:rPr>
                            </w:pPr>
                          </w:p>
                          <w:p w14:paraId="01409E50" w14:textId="77777777" w:rsidR="008E16E0" w:rsidRDefault="008E16E0" w:rsidP="00D62B9C">
                            <w:pPr>
                              <w:spacing w:after="0" w:line="240" w:lineRule="auto"/>
                            </w:pPr>
                            <w:r>
                              <w:t>Strategic flexibility</w:t>
                            </w:r>
                          </w:p>
                          <w:p w14:paraId="27061770" w14:textId="77777777" w:rsidR="008E16E0" w:rsidRDefault="008E16E0" w:rsidP="00D62B9C">
                            <w:pPr>
                              <w:spacing w:after="0" w:line="240" w:lineRule="auto"/>
                            </w:pPr>
                            <w:r>
                              <w:t>Innovation</w:t>
                            </w:r>
                          </w:p>
                          <w:p w14:paraId="2FBDFC41" w14:textId="77777777" w:rsidR="008E16E0" w:rsidRDefault="008E16E0" w:rsidP="00D62B9C">
                            <w:pPr>
                              <w:spacing w:after="0" w:line="240" w:lineRule="auto"/>
                            </w:pPr>
                            <w:r>
                              <w:t>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61.8pt;margin-top:4.8pt;width:125.65pt;height: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">
                <v:textbox>
                  <w:txbxContent>
                    <w:p w14:paraId="1D5DD999" w14:textId="77777777" w:rsidR="008E16E0" w:rsidRDefault="008E16E0" w:rsidP="00D62B9C">
                      <w:pPr>
                        <w:spacing w:after="0" w:line="240" w:lineRule="auto"/>
                        <w:rPr>
                          <w:b/>
                        </w:rPr>
                      </w:pPr>
                      <w:r w:rsidRPr="00561836">
                        <w:rPr>
                          <w:b/>
                        </w:rPr>
                        <w:t>Competitive advantage</w:t>
                      </w:r>
                    </w:p>
                    <w:p w14:paraId="34717FCD" w14:textId="77777777" w:rsidR="008E16E0" w:rsidRPr="00561836" w:rsidRDefault="008E16E0" w:rsidP="00D62B9C">
                      <w:pPr>
                        <w:spacing w:after="0" w:line="240" w:lineRule="auto"/>
                        <w:rPr>
                          <w:b/>
                        </w:rPr>
                      </w:pPr>
                    </w:p>
                    <w:p w14:paraId="01409E50" w14:textId="77777777" w:rsidR="008E16E0" w:rsidRDefault="008E16E0" w:rsidP="00D62B9C">
                      <w:pPr>
                        <w:spacing w:after="0" w:line="240" w:lineRule="auto"/>
                      </w:pPr>
                      <w:r>
                        <w:t>Strategic flexibility</w:t>
                      </w:r>
                    </w:p>
                    <w:p w14:paraId="27061770" w14:textId="77777777" w:rsidR="008E16E0" w:rsidRDefault="008E16E0" w:rsidP="00D62B9C">
                      <w:pPr>
                        <w:spacing w:after="0" w:line="240" w:lineRule="auto"/>
                      </w:pPr>
                      <w:r>
                        <w:t>Innovation</w:t>
                      </w:r>
                    </w:p>
                    <w:p w14:paraId="2FBDFC41" w14:textId="77777777" w:rsidR="008E16E0" w:rsidRDefault="008E16E0" w:rsidP="00D62B9C">
                      <w:pPr>
                        <w:spacing w:after="0" w:line="240" w:lineRule="auto"/>
                      </w:pPr>
                      <w:r>
                        <w:t>Performance</w:t>
                      </w:r>
                    </w:p>
                  </w:txbxContent>
                </v:textbox>
              </v:shape>
            </w:pict>
          </mc:Fallback>
        </mc:AlternateContent>
      </w:r>
    </w:p>
    <w:p w14:paraId="0DADFD8D" w14:textId="10E5AFF9" w:rsidR="00D62B9C" w:rsidRDefault="00E27676" w:rsidP="00D62B9C">
      <w:r>
        <w:rPr>
          <w:noProof/>
          <w:lang w:eastAsia="en-GB"/>
        </w:rPr>
        <mc:AlternateContent>
          <mc:Choice Requires="wps">
            <w:drawing>
              <wp:anchor distT="0" distB="0" distL="114299" distR="114299" simplePos="0" relativeHeight="251671552" behindDoc="0" locked="0" layoutInCell="1" allowOverlap="1" wp14:anchorId="283CA0AE" wp14:editId="4F90C96B">
                <wp:simplePos x="0" y="0"/>
                <wp:positionH relativeFrom="column">
                  <wp:posOffset>1293495</wp:posOffset>
                </wp:positionH>
                <wp:positionV relativeFrom="paragraph">
                  <wp:posOffset>210820</wp:posOffset>
                </wp:positionV>
                <wp:extent cx="0" cy="1049655"/>
                <wp:effectExtent l="76200" t="38100" r="57150"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9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729426" id="_x0000_t32" coordsize="21600,21600" o:spt="32" o:oned="t" path="m,l21600,21600e" filled="f">
                <v:path arrowok="t" fillok="f" o:connecttype="none"/>
                <o:lock v:ext="edit" shapetype="t"/>
              </v:shapetype>
              <v:shape id="Straight Arrow Connector 5" o:spid="_x0000_s1026" type="#_x0000_t32" style="position:absolute;margin-left:101.85pt;margin-top:16.6pt;width:0;height:82.6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">
                <v:stroke endarrow="block"/>
              </v:shape>
            </w:pict>
          </mc:Fallback>
        </mc:AlternateContent>
      </w:r>
      <w:r w:rsidR="00D92CA8">
        <w:rPr>
          <w:noProof/>
          <w:lang w:eastAsia="en-GB"/>
        </w:rPr>
        <mc:AlternateContent>
          <mc:Choice Requires="wps">
            <w:drawing>
              <wp:anchor distT="0" distB="0" distL="114299" distR="114299" simplePos="0" relativeHeight="251669504" behindDoc="0" locked="0" layoutInCell="1" allowOverlap="1" wp14:anchorId="4BAC3366" wp14:editId="676ACBA8">
                <wp:simplePos x="0" y="0"/>
                <wp:positionH relativeFrom="column">
                  <wp:posOffset>4346575</wp:posOffset>
                </wp:positionH>
                <wp:positionV relativeFrom="paragraph">
                  <wp:posOffset>311150</wp:posOffset>
                </wp:positionV>
                <wp:extent cx="0" cy="953770"/>
                <wp:effectExtent l="76200" t="38100" r="57150" b="177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03AED" id="Straight Arrow Connector 6" o:spid="_x0000_s1026" type="#_x0000_t32" style="position:absolute;margin-left:342.25pt;margin-top:24.5pt;width:0;height:75.1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">
                <v:stroke endarrow="block"/>
              </v:shape>
            </w:pict>
          </mc:Fallback>
        </mc:AlternateContent>
      </w:r>
      <w:r w:rsidR="00D62B9C">
        <w:rPr>
          <w:noProof/>
          <w:lang w:eastAsia="en-GB"/>
        </w:rPr>
        <mc:AlternateContent>
          <mc:Choice Requires="wps">
            <w:drawing>
              <wp:anchor distT="4294967295" distB="4294967295" distL="114300" distR="114300" simplePos="0" relativeHeight="251672576" behindDoc="0" locked="0" layoutInCell="1" allowOverlap="1" wp14:anchorId="68436A61" wp14:editId="261E05B5">
                <wp:simplePos x="0" y="0"/>
                <wp:positionH relativeFrom="column">
                  <wp:posOffset>2760980</wp:posOffset>
                </wp:positionH>
                <wp:positionV relativeFrom="paragraph">
                  <wp:posOffset>210819</wp:posOffset>
                </wp:positionV>
                <wp:extent cx="173990" cy="0"/>
                <wp:effectExtent l="0" t="76200" r="1651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B883A" id="Straight Arrow Connector 9" o:spid="_x0000_s1026" type="#_x0000_t32" style="position:absolute;margin-left:217.4pt;margin-top:16.6pt;width:13.7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">
                <v:stroke endarrow="block"/>
              </v:shape>
            </w:pict>
          </mc:Fallback>
        </mc:AlternateContent>
      </w:r>
      <w:r w:rsidR="00D62B9C">
        <w:rPr>
          <w:noProof/>
          <w:lang w:eastAsia="en-GB"/>
        </w:rPr>
        <mc:AlternateContent>
          <mc:Choice Requires="wps">
            <w:drawing>
              <wp:anchor distT="4294967295" distB="4294967295" distL="114300" distR="114300" simplePos="0" relativeHeight="251668480" behindDoc="0" locked="0" layoutInCell="1" allowOverlap="1" wp14:anchorId="7D54FB2D" wp14:editId="63A508C3">
                <wp:simplePos x="0" y="0"/>
                <wp:positionH relativeFrom="column">
                  <wp:posOffset>4177665</wp:posOffset>
                </wp:positionH>
                <wp:positionV relativeFrom="paragraph">
                  <wp:posOffset>305434</wp:posOffset>
                </wp:positionV>
                <wp:extent cx="417195" cy="0"/>
                <wp:effectExtent l="0" t="76200" r="20955"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C3E48" id="Straight Arrow Connector 8" o:spid="_x0000_s1026" type="#_x0000_t32" style="position:absolute;margin-left:328.95pt;margin-top:24.05pt;width:32.8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">
                <v:stroke endarrow="block"/>
              </v:shape>
            </w:pict>
          </mc:Fallback>
        </mc:AlternateContent>
      </w:r>
      <w:r w:rsidR="00D62B9C">
        <w:rPr>
          <w:noProof/>
          <w:lang w:eastAsia="en-GB"/>
        </w:rPr>
        <mc:AlternateContent>
          <mc:Choice Requires="wps">
            <w:drawing>
              <wp:anchor distT="4294967295" distB="4294967295" distL="114300" distR="114300" simplePos="0" relativeHeight="251667456" behindDoc="0" locked="0" layoutInCell="1" allowOverlap="1" wp14:anchorId="4034FBC9" wp14:editId="569C91C3">
                <wp:simplePos x="0" y="0"/>
                <wp:positionH relativeFrom="column">
                  <wp:posOffset>1113790</wp:posOffset>
                </wp:positionH>
                <wp:positionV relativeFrom="paragraph">
                  <wp:posOffset>210819</wp:posOffset>
                </wp:positionV>
                <wp:extent cx="437515" cy="0"/>
                <wp:effectExtent l="0" t="76200" r="1968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22F00F" id="Straight Arrow Connector 7" o:spid="_x0000_s1026" type="#_x0000_t32" style="position:absolute;margin-left:87.7pt;margin-top:16.6pt;width:34.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">
                <v:stroke endarrow="block"/>
              </v:shape>
            </w:pict>
          </mc:Fallback>
        </mc:AlternateContent>
      </w:r>
    </w:p>
    <w:p w14:paraId="66E4BC33" w14:textId="77777777" w:rsidR="00D62B9C" w:rsidRDefault="00D62B9C" w:rsidP="00D62B9C"/>
    <w:p w14:paraId="7014D048" w14:textId="0713DE60" w:rsidR="00D62B9C" w:rsidRDefault="00D62B9C" w:rsidP="00D62B9C"/>
    <w:p w14:paraId="69875F9A" w14:textId="1BC4A759" w:rsidR="00D62B9C" w:rsidRDefault="00D92CA8" w:rsidP="00D62B9C">
      <w:r>
        <w:rPr>
          <w:noProof/>
          <w:lang w:eastAsia="en-GB"/>
        </w:rPr>
        <mc:AlternateContent>
          <mc:Choice Requires="wps">
            <w:drawing>
              <wp:anchor distT="0" distB="0" distL="114300" distR="114300" simplePos="0" relativeHeight="251673600" behindDoc="0" locked="0" layoutInCell="1" allowOverlap="1" wp14:anchorId="73EEE510" wp14:editId="14924848">
                <wp:simplePos x="0" y="0"/>
                <wp:positionH relativeFrom="column">
                  <wp:posOffset>149300</wp:posOffset>
                </wp:positionH>
                <wp:positionV relativeFrom="paragraph">
                  <wp:posOffset>274320</wp:posOffset>
                </wp:positionV>
                <wp:extent cx="1541780" cy="1357630"/>
                <wp:effectExtent l="0" t="0" r="20320" b="13970"/>
                <wp:wrapNone/>
                <wp:docPr id="15" name="Octagon 15"/>
                <wp:cNvGraphicFramePr/>
                <a:graphic xmlns:a="http://schemas.openxmlformats.org/drawingml/2006/main">
                  <a:graphicData uri="http://schemas.microsoft.com/office/word/2010/wordprocessingShape">
                    <wps:wsp>
                      <wps:cNvSpPr/>
                      <wps:spPr>
                        <a:xfrm>
                          <a:off x="0" y="0"/>
                          <a:ext cx="1541780" cy="1357630"/>
                        </a:xfrm>
                        <a:prstGeom prst="octag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EB17A" w14:textId="750F7D39" w:rsidR="008E16E0" w:rsidRPr="00D62B9C" w:rsidRDefault="008E16E0" w:rsidP="00D62B9C">
                            <w:pPr>
                              <w:jc w:val="center"/>
                              <w:rPr>
                                <w:color w:val="000000" w:themeColor="text1"/>
                              </w:rPr>
                            </w:pPr>
                            <w:proofErr w:type="spellStart"/>
                            <w:r w:rsidRPr="00D62B9C">
                              <w:rPr>
                                <w:color w:val="000000" w:themeColor="text1"/>
                              </w:rPr>
                              <w:t>Activiation</w:t>
                            </w:r>
                            <w:proofErr w:type="spellEnd"/>
                            <w:r w:rsidRPr="00D62B9C">
                              <w:rPr>
                                <w:color w:val="000000" w:themeColor="text1"/>
                              </w:rPr>
                              <w:t xml:space="preserve"> triggers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5" o:spid="_x0000_s1031" type="#_x0000_t10" style="position:absolute;margin-left:11.75pt;margin-top:21.6pt;width:121.4pt;height:10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" fillcolor="#dbe5f1 [660]" strokecolor="#243f60 [1604]" strokeweight="2pt">
                <v:textbox>
                  <w:txbxContent>
                    <w:p w14:paraId="36BEB17A" w14:textId="750F7D39" w:rsidR="008E16E0" w:rsidRPr="00D62B9C" w:rsidRDefault="008E16E0" w:rsidP="00D62B9C">
                      <w:pPr>
                        <w:jc w:val="center"/>
                        <w:rPr>
                          <w:color w:val="000000" w:themeColor="text1"/>
                        </w:rPr>
                      </w:pPr>
                      <w:proofErr w:type="spellStart"/>
                      <w:r w:rsidRPr="00D62B9C">
                        <w:rPr>
                          <w:color w:val="000000" w:themeColor="text1"/>
                        </w:rPr>
                        <w:t>Activiation</w:t>
                      </w:r>
                      <w:proofErr w:type="spellEnd"/>
                      <w:r w:rsidRPr="00D62B9C">
                        <w:rPr>
                          <w:color w:val="000000" w:themeColor="text1"/>
                        </w:rPr>
                        <w:t xml:space="preserve"> triggers</w:t>
                      </w:r>
                    </w:p>
                  </w:txbxContent>
                </v:textbox>
              </v:shape>
            </w:pict>
          </mc:Fallback>
        </mc:AlternateContent>
      </w:r>
      <w:r w:rsidRPr="00D92CA8">
        <w:rPr>
          <w:noProof/>
          <w:lang w:eastAsia="en-GB"/>
        </w:rPr>
        <mc:AlternateContent>
          <mc:Choice Requires="wps">
            <w:drawing>
              <wp:anchor distT="0" distB="0" distL="114300" distR="114300" simplePos="0" relativeHeight="251677696" behindDoc="0" locked="0" layoutInCell="1" allowOverlap="1" wp14:anchorId="42CEACDA" wp14:editId="6254C690">
                <wp:simplePos x="0" y="0"/>
                <wp:positionH relativeFrom="column">
                  <wp:posOffset>3940536</wp:posOffset>
                </wp:positionH>
                <wp:positionV relativeFrom="paragraph">
                  <wp:posOffset>277694</wp:posOffset>
                </wp:positionV>
                <wp:extent cx="1541780" cy="1357630"/>
                <wp:effectExtent l="0" t="0" r="20320" b="13970"/>
                <wp:wrapNone/>
                <wp:docPr id="17" name="Octagon 17"/>
                <wp:cNvGraphicFramePr/>
                <a:graphic xmlns:a="http://schemas.openxmlformats.org/drawingml/2006/main">
                  <a:graphicData uri="http://schemas.microsoft.com/office/word/2010/wordprocessingShape">
                    <wps:wsp>
                      <wps:cNvSpPr/>
                      <wps:spPr>
                        <a:xfrm>
                          <a:off x="0" y="0"/>
                          <a:ext cx="1541780" cy="1357630"/>
                        </a:xfrm>
                        <a:prstGeom prst="octagon">
                          <a:avLst/>
                        </a:prstGeom>
                        <a:solidFill>
                          <a:srgbClr val="4F81BD">
                            <a:lumMod val="20000"/>
                            <a:lumOff val="80000"/>
                          </a:srgbClr>
                        </a:solidFill>
                        <a:ln w="25400" cap="flat" cmpd="sng" algn="ctr">
                          <a:solidFill>
                            <a:srgbClr val="4F81BD">
                              <a:shade val="50000"/>
                            </a:srgbClr>
                          </a:solidFill>
                          <a:prstDash val="solid"/>
                        </a:ln>
                        <a:effectLst/>
                      </wps:spPr>
                      <wps:txbx>
                        <w:txbxContent>
                          <w:p w14:paraId="13F2D1EE" w14:textId="4B4BB7B2" w:rsidR="008E16E0" w:rsidRPr="00D62B9C" w:rsidRDefault="008E16E0" w:rsidP="00D92CA8">
                            <w:pPr>
                              <w:jc w:val="center"/>
                              <w:rPr>
                                <w:color w:val="000000" w:themeColor="text1"/>
                              </w:rPr>
                            </w:pPr>
                            <w:r>
                              <w:rPr>
                                <w:color w:val="000000" w:themeColor="text1"/>
                              </w:rPr>
                              <w:t xml:space="preserve">Regimes of </w:t>
                            </w:r>
                            <w:proofErr w:type="spellStart"/>
                            <w:r>
                              <w:rPr>
                                <w:color w:val="000000" w:themeColor="text1"/>
                              </w:rPr>
                              <w:t>appropriability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ctagon 17" o:spid="_x0000_s1032" type="#_x0000_t10" style="position:absolute;margin-left:310.3pt;margin-top:21.85pt;width:121.4pt;height:10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" fillcolor="#dce6f2" strokecolor="#385d8a" strokeweight="2pt">
                <v:textbox>
                  <w:txbxContent>
                    <w:p w14:paraId="13F2D1EE" w14:textId="4B4BB7B2" w:rsidR="008E16E0" w:rsidRPr="00D62B9C" w:rsidRDefault="008E16E0" w:rsidP="00D92CA8">
                      <w:pPr>
                        <w:jc w:val="center"/>
                        <w:rPr>
                          <w:color w:val="000000" w:themeColor="text1"/>
                        </w:rPr>
                      </w:pPr>
                      <w:r>
                        <w:rPr>
                          <w:color w:val="000000" w:themeColor="text1"/>
                        </w:rPr>
                        <w:t xml:space="preserve">Regimes of </w:t>
                      </w:r>
                      <w:proofErr w:type="spellStart"/>
                      <w:r>
                        <w:rPr>
                          <w:color w:val="000000" w:themeColor="text1"/>
                        </w:rPr>
                        <w:t>appropriability</w:t>
                      </w:r>
                      <w:proofErr w:type="spellEnd"/>
                    </w:p>
                  </w:txbxContent>
                </v:textbox>
              </v:shape>
            </w:pict>
          </mc:Fallback>
        </mc:AlternateContent>
      </w:r>
      <w:r w:rsidR="00D62B9C">
        <w:rPr>
          <w:noProof/>
          <w:lang w:eastAsia="en-GB"/>
        </w:rPr>
        <mc:AlternateContent>
          <mc:Choice Requires="wps">
            <w:drawing>
              <wp:anchor distT="0" distB="0" distL="114300" distR="114300" simplePos="0" relativeHeight="251670528" behindDoc="0" locked="0" layoutInCell="1" allowOverlap="1" wp14:anchorId="322BEC22" wp14:editId="5C5D8871">
                <wp:simplePos x="0" y="0"/>
                <wp:positionH relativeFrom="column">
                  <wp:posOffset>2774315</wp:posOffset>
                </wp:positionH>
                <wp:positionV relativeFrom="paragraph">
                  <wp:posOffset>85090</wp:posOffset>
                </wp:positionV>
                <wp:extent cx="10795" cy="338455"/>
                <wp:effectExtent l="76200" t="38100" r="65405" b="234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33311" id="Straight Arrow Connector 1" o:spid="_x0000_s1026" type="#_x0000_t32" style="position:absolute;margin-left:218.45pt;margin-top:6.7pt;width:.85pt;height:26.6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">
                <v:stroke endarrow="block"/>
              </v:shape>
            </w:pict>
          </mc:Fallback>
        </mc:AlternateContent>
      </w:r>
    </w:p>
    <w:p w14:paraId="096B841F" w14:textId="05DB8DE8" w:rsidR="00D62B9C" w:rsidRDefault="00D92CA8" w:rsidP="00D62B9C">
      <w:r w:rsidRPr="00D92CA8">
        <w:rPr>
          <w:noProof/>
          <w:lang w:eastAsia="en-GB"/>
        </w:rPr>
        <mc:AlternateContent>
          <mc:Choice Requires="wps">
            <w:drawing>
              <wp:anchor distT="0" distB="0" distL="114300" distR="114300" simplePos="0" relativeHeight="251675648" behindDoc="0" locked="0" layoutInCell="1" allowOverlap="1" wp14:anchorId="1C47720B" wp14:editId="37D2AC4D">
                <wp:simplePos x="0" y="0"/>
                <wp:positionH relativeFrom="column">
                  <wp:posOffset>2061930</wp:posOffset>
                </wp:positionH>
                <wp:positionV relativeFrom="paragraph">
                  <wp:posOffset>124460</wp:posOffset>
                </wp:positionV>
                <wp:extent cx="1541780" cy="1357630"/>
                <wp:effectExtent l="0" t="0" r="20320" b="13970"/>
                <wp:wrapNone/>
                <wp:docPr id="16" name="Octagon 16"/>
                <wp:cNvGraphicFramePr/>
                <a:graphic xmlns:a="http://schemas.openxmlformats.org/drawingml/2006/main">
                  <a:graphicData uri="http://schemas.microsoft.com/office/word/2010/wordprocessingShape">
                    <wps:wsp>
                      <wps:cNvSpPr/>
                      <wps:spPr>
                        <a:xfrm>
                          <a:off x="0" y="0"/>
                          <a:ext cx="1541780" cy="1357630"/>
                        </a:xfrm>
                        <a:prstGeom prst="octagon">
                          <a:avLst/>
                        </a:prstGeom>
                        <a:solidFill>
                          <a:srgbClr val="4F81BD">
                            <a:lumMod val="20000"/>
                            <a:lumOff val="80000"/>
                          </a:srgbClr>
                        </a:solidFill>
                        <a:ln w="25400" cap="flat" cmpd="sng" algn="ctr">
                          <a:solidFill>
                            <a:srgbClr val="4F81BD">
                              <a:shade val="50000"/>
                            </a:srgbClr>
                          </a:solidFill>
                          <a:prstDash val="solid"/>
                        </a:ln>
                        <a:effectLst/>
                      </wps:spPr>
                      <wps:txbx>
                        <w:txbxContent>
                          <w:p w14:paraId="7B188877" w14:textId="51AF2E98" w:rsidR="008E16E0" w:rsidRPr="00D62B9C" w:rsidRDefault="008E16E0" w:rsidP="00D92CA8">
                            <w:pPr>
                              <w:jc w:val="center"/>
                              <w:rPr>
                                <w:color w:val="000000" w:themeColor="text1"/>
                              </w:rPr>
                            </w:pPr>
                            <w:r>
                              <w:rPr>
                                <w:color w:val="000000" w:themeColor="text1"/>
                              </w:rPr>
                              <w:t>Social integration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ctagon 16" o:spid="_x0000_s1033" type="#_x0000_t10" style="position:absolute;margin-left:162.35pt;margin-top:9.8pt;width:121.4pt;height:106.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" fillcolor="#dce6f2" strokecolor="#385d8a" strokeweight="2pt">
                <v:textbox>
                  <w:txbxContent>
                    <w:p w14:paraId="7B188877" w14:textId="51AF2E98" w:rsidR="008E16E0" w:rsidRPr="00D62B9C" w:rsidRDefault="008E16E0" w:rsidP="00D92CA8">
                      <w:pPr>
                        <w:jc w:val="center"/>
                        <w:rPr>
                          <w:color w:val="000000" w:themeColor="text1"/>
                        </w:rPr>
                      </w:pPr>
                      <w:r>
                        <w:rPr>
                          <w:color w:val="000000" w:themeColor="text1"/>
                        </w:rPr>
                        <w:t>Social integration mechanisms</w:t>
                      </w:r>
                    </w:p>
                  </w:txbxContent>
                </v:textbox>
              </v:shape>
            </w:pict>
          </mc:Fallback>
        </mc:AlternateContent>
      </w:r>
    </w:p>
    <w:p w14:paraId="7CB83F52" w14:textId="26898C64" w:rsidR="00D62B9C" w:rsidRDefault="00D62B9C" w:rsidP="00D62B9C"/>
    <w:p w14:paraId="4362377B" w14:textId="6CA4FFB2" w:rsidR="00D62B9C" w:rsidRDefault="00D62B9C" w:rsidP="00D62B9C"/>
    <w:p w14:paraId="29F74BEB" w14:textId="14B58821" w:rsidR="00D62B9C" w:rsidRDefault="00D62B9C" w:rsidP="00D62B9C"/>
    <w:p w14:paraId="0F282EDF" w14:textId="77777777" w:rsidR="00D62B9C" w:rsidRDefault="00D62B9C" w:rsidP="00D62B9C"/>
    <w:p w14:paraId="139AD2D8" w14:textId="77777777" w:rsidR="00D62B9C" w:rsidRDefault="00D62B9C" w:rsidP="00D62B9C"/>
    <w:p w14:paraId="065B8B2E" w14:textId="4ED179BE" w:rsidR="00D62B9C" w:rsidRDefault="00D62B9C" w:rsidP="00D62B9C">
      <w:r>
        <w:t>Source: Adap</w:t>
      </w:r>
      <w:r w:rsidR="00E27676">
        <w:t>ted from Zahra and George (2002,</w:t>
      </w:r>
      <w:r>
        <w:t xml:space="preserve"> </w:t>
      </w:r>
      <w:r w:rsidR="00E27676">
        <w:t>p</w:t>
      </w:r>
      <w:r>
        <w:t xml:space="preserve">192); </w:t>
      </w:r>
      <w:proofErr w:type="spellStart"/>
      <w:r>
        <w:t>Todorova</w:t>
      </w:r>
      <w:proofErr w:type="spellEnd"/>
      <w:r>
        <w:t xml:space="preserve"> and </w:t>
      </w:r>
      <w:proofErr w:type="spellStart"/>
      <w:r>
        <w:t>Durisin</w:t>
      </w:r>
      <w:proofErr w:type="spellEnd"/>
      <w:r>
        <w:t xml:space="preserve"> (2007).</w:t>
      </w:r>
    </w:p>
    <w:p w14:paraId="55448296" w14:textId="77777777" w:rsidR="0030533F" w:rsidRDefault="0030533F" w:rsidP="0030533F">
      <w:pPr>
        <w:spacing w:after="0" w:line="360" w:lineRule="auto"/>
      </w:pPr>
    </w:p>
    <w:p w14:paraId="2046C365" w14:textId="77777777" w:rsidR="00D92CA8" w:rsidRPr="00A52FE1" w:rsidRDefault="00D92CA8" w:rsidP="0030533F">
      <w:pPr>
        <w:spacing w:after="0" w:line="360" w:lineRule="auto"/>
      </w:pPr>
    </w:p>
    <w:p w14:paraId="1EE1BCE3" w14:textId="34D46765" w:rsidR="00567CBE" w:rsidRDefault="00B10F56" w:rsidP="0030533F">
      <w:pPr>
        <w:spacing w:after="0" w:line="360" w:lineRule="auto"/>
      </w:pPr>
      <w:r w:rsidRPr="00A52FE1">
        <w:t xml:space="preserve">The model also </w:t>
      </w:r>
      <w:r w:rsidR="0024750D" w:rsidRPr="00A52FE1">
        <w:t>highlights</w:t>
      </w:r>
      <w:r w:rsidRPr="00A52FE1">
        <w:t xml:space="preserve"> the role of </w:t>
      </w:r>
      <w:r w:rsidR="0024750D" w:rsidRPr="00A52FE1">
        <w:t>a</w:t>
      </w:r>
      <w:r w:rsidR="00567CBE" w:rsidRPr="00A52FE1">
        <w:t>ctivation triggers</w:t>
      </w:r>
      <w:r w:rsidR="0024750D" w:rsidRPr="00A52FE1">
        <w:t xml:space="preserve"> which are factors that</w:t>
      </w:r>
      <w:r w:rsidR="000472F7">
        <w:t xml:space="preserve"> “</w:t>
      </w:r>
      <w:r w:rsidR="00567CBE" w:rsidRPr="00A52FE1">
        <w:t>encourage or compel a firm to respond to specific inter</w:t>
      </w:r>
      <w:r w:rsidR="000472F7">
        <w:t>nal or external stimuli”</w:t>
      </w:r>
      <w:r w:rsidR="00E27676">
        <w:t xml:space="preserve"> (Zahra and George, 2002,</w:t>
      </w:r>
      <w:r w:rsidR="0024750D" w:rsidRPr="00A52FE1">
        <w:t xml:space="preserve"> </w:t>
      </w:r>
      <w:r w:rsidR="00E27676">
        <w:t>p</w:t>
      </w:r>
      <w:r w:rsidR="0024750D" w:rsidRPr="00A52FE1">
        <w:t>193)</w:t>
      </w:r>
      <w:r w:rsidR="00567CBE" w:rsidRPr="00A52FE1">
        <w:t xml:space="preserve">.  </w:t>
      </w:r>
      <w:r w:rsidR="0024750D" w:rsidRPr="00A52FE1">
        <w:t>By way of illustration, uncompetitive</w:t>
      </w:r>
      <w:r w:rsidR="00567CBE" w:rsidRPr="00A52FE1">
        <w:t xml:space="preserve"> </w:t>
      </w:r>
      <w:r w:rsidR="0024750D" w:rsidRPr="00A52FE1">
        <w:t>business</w:t>
      </w:r>
      <w:r w:rsidR="00567CBE" w:rsidRPr="00A52FE1">
        <w:t xml:space="preserve"> performance or innovation elsewhere may </w:t>
      </w:r>
      <w:r w:rsidR="0024750D" w:rsidRPr="00A52FE1">
        <w:t>stimulate a management reaction.  T</w:t>
      </w:r>
      <w:r w:rsidR="00567CBE" w:rsidRPr="00A52FE1">
        <w:t xml:space="preserve">he </w:t>
      </w:r>
      <w:r w:rsidR="0024750D" w:rsidRPr="00A52FE1">
        <w:t xml:space="preserve">nature of the </w:t>
      </w:r>
      <w:r w:rsidR="00567CBE" w:rsidRPr="00A52FE1">
        <w:t xml:space="preserve">activation trigger will </w:t>
      </w:r>
      <w:r w:rsidR="0024750D" w:rsidRPr="00A52FE1">
        <w:t>affect the vigour of the re</w:t>
      </w:r>
      <w:r w:rsidR="00567CBE" w:rsidRPr="00A52FE1">
        <w:t xml:space="preserve">action and </w:t>
      </w:r>
      <w:r w:rsidR="00806CF2" w:rsidRPr="00A52FE1">
        <w:t xml:space="preserve">the nature of </w:t>
      </w:r>
      <w:r w:rsidR="00567CBE" w:rsidRPr="00A52FE1">
        <w:t xml:space="preserve">the search (Van de </w:t>
      </w:r>
      <w:proofErr w:type="spellStart"/>
      <w:r w:rsidR="00567CBE" w:rsidRPr="00A52FE1">
        <w:t>Ven</w:t>
      </w:r>
      <w:proofErr w:type="spellEnd"/>
      <w:r w:rsidR="005430A7">
        <w:t xml:space="preserve">, </w:t>
      </w:r>
      <w:proofErr w:type="spellStart"/>
      <w:r w:rsidR="005430A7">
        <w:t>Poley</w:t>
      </w:r>
      <w:proofErr w:type="spellEnd"/>
      <w:r w:rsidR="005430A7">
        <w:t xml:space="preserve">, </w:t>
      </w:r>
      <w:proofErr w:type="spellStart"/>
      <w:r w:rsidR="005430A7">
        <w:t>Garud</w:t>
      </w:r>
      <w:proofErr w:type="spellEnd"/>
      <w:r w:rsidR="005430A7">
        <w:t xml:space="preserve"> and </w:t>
      </w:r>
      <w:proofErr w:type="spellStart"/>
      <w:r w:rsidR="005430A7">
        <w:t>Venkataraman</w:t>
      </w:r>
      <w:proofErr w:type="spellEnd"/>
      <w:r w:rsidR="00567CBE" w:rsidRPr="00A52FE1">
        <w:t>, 2008).</w:t>
      </w:r>
    </w:p>
    <w:p w14:paraId="1E78EA20" w14:textId="77777777" w:rsidR="0030533F" w:rsidRPr="00A52FE1" w:rsidRDefault="0030533F" w:rsidP="0030533F">
      <w:pPr>
        <w:spacing w:after="0" w:line="360" w:lineRule="auto"/>
      </w:pPr>
    </w:p>
    <w:p w14:paraId="660668CD" w14:textId="412C732E" w:rsidR="00C8400B" w:rsidRDefault="00567CBE" w:rsidP="0030533F">
      <w:pPr>
        <w:spacing w:after="0" w:line="360" w:lineRule="auto"/>
      </w:pPr>
      <w:r w:rsidRPr="00A52FE1">
        <w:t xml:space="preserve">Social integration mechanisms </w:t>
      </w:r>
      <w:r w:rsidR="00D80BF0" w:rsidRPr="00A52FE1">
        <w:t>highlight</w:t>
      </w:r>
      <w:r w:rsidR="00806CF2" w:rsidRPr="00A52FE1">
        <w:t xml:space="preserve"> the need to share knowledge within organisations if </w:t>
      </w:r>
      <w:r w:rsidRPr="00A52FE1">
        <w:t xml:space="preserve">potential absorptive capacity </w:t>
      </w:r>
      <w:r w:rsidR="00806CF2" w:rsidRPr="00A52FE1">
        <w:t xml:space="preserve">is </w:t>
      </w:r>
      <w:r w:rsidRPr="00A52FE1">
        <w:t>to be</w:t>
      </w:r>
      <w:r w:rsidR="00D80BF0" w:rsidRPr="00A52FE1">
        <w:t xml:space="preserve"> realised.  As others have noted, p</w:t>
      </w:r>
      <w:r w:rsidRPr="00A52FE1">
        <w:t xml:space="preserve">otential structural, cognitive, </w:t>
      </w:r>
      <w:r w:rsidRPr="00A52FE1">
        <w:lastRenderedPageBreak/>
        <w:t xml:space="preserve">behavioural and political barriers </w:t>
      </w:r>
      <w:r w:rsidR="00806CF2" w:rsidRPr="00A52FE1">
        <w:t xml:space="preserve">may limit </w:t>
      </w:r>
      <w:r w:rsidRPr="00A52FE1">
        <w:t>knowledg</w:t>
      </w:r>
      <w:r w:rsidR="00806CF2" w:rsidRPr="00A52FE1">
        <w:t xml:space="preserve">e sharing to the detriment </w:t>
      </w:r>
      <w:r w:rsidR="005E7A71" w:rsidRPr="00A52FE1">
        <w:t>of mutual understanding</w:t>
      </w:r>
      <w:r w:rsidR="00862465">
        <w:t xml:space="preserve">. Thus, </w:t>
      </w:r>
      <w:proofErr w:type="spellStart"/>
      <w:r w:rsidR="00862465">
        <w:t>Todorova</w:t>
      </w:r>
      <w:proofErr w:type="spellEnd"/>
      <w:r w:rsidR="00862465">
        <w:t xml:space="preserve"> and </w:t>
      </w:r>
      <w:proofErr w:type="spellStart"/>
      <w:r w:rsidR="00862465">
        <w:t>Durisin</w:t>
      </w:r>
      <w:proofErr w:type="spellEnd"/>
      <w:r w:rsidR="00862465">
        <w:t xml:space="preserve"> (</w:t>
      </w:r>
      <w:r w:rsidR="00D80BF0" w:rsidRPr="00A52FE1">
        <w:t>2007)</w:t>
      </w:r>
      <w:r w:rsidR="00862465">
        <w:t xml:space="preserve">, for example, argue that power relations within organisations act as an important moderating factor in valuing and exploiting new knowledge.  The </w:t>
      </w:r>
      <w:r w:rsidR="00C8400B">
        <w:t xml:space="preserve">nuanced </w:t>
      </w:r>
      <w:r w:rsidR="00862465">
        <w:t xml:space="preserve">evidence provided by </w:t>
      </w:r>
      <w:proofErr w:type="spellStart"/>
      <w:r w:rsidR="00862465">
        <w:t>Easterby</w:t>
      </w:r>
      <w:proofErr w:type="spellEnd"/>
      <w:r w:rsidR="00862465">
        <w:t>-S</w:t>
      </w:r>
      <w:r w:rsidR="00C8400B">
        <w:t>mith et al. (2008)</w:t>
      </w:r>
      <w:r w:rsidR="00862465">
        <w:t xml:space="preserve"> suggests that </w:t>
      </w:r>
      <w:r w:rsidR="00D2443D">
        <w:t>systemic power</w:t>
      </w:r>
      <w:r w:rsidR="00EB0D75">
        <w:t xml:space="preserve"> or seniority</w:t>
      </w:r>
      <w:r w:rsidR="00D2443D">
        <w:t xml:space="preserve"> play</w:t>
      </w:r>
      <w:r w:rsidR="00C8400B">
        <w:t>s</w:t>
      </w:r>
      <w:r w:rsidR="00862465">
        <w:t xml:space="preserve"> an important role in knowledge acquisition but that </w:t>
      </w:r>
      <w:r w:rsidR="00D2443D">
        <w:t xml:space="preserve">it is </w:t>
      </w:r>
      <w:r w:rsidR="00862465">
        <w:t xml:space="preserve">episodic power, or that derived from coalitions of interests that emerge in particular </w:t>
      </w:r>
      <w:r w:rsidR="00C8400B">
        <w:t xml:space="preserve">circumstances, which </w:t>
      </w:r>
      <w:r w:rsidR="00EB0D75">
        <w:t>is</w:t>
      </w:r>
      <w:r w:rsidR="00862465">
        <w:t xml:space="preserve"> vital for sustaining </w:t>
      </w:r>
      <w:r w:rsidR="00EB0D75">
        <w:t xml:space="preserve">the </w:t>
      </w:r>
      <w:r w:rsidR="00862465">
        <w:t xml:space="preserve">exploitation of knowledge. </w:t>
      </w:r>
      <w:r w:rsidR="00D2443D">
        <w:t xml:space="preserve"> </w:t>
      </w:r>
    </w:p>
    <w:p w14:paraId="5F79BFF5" w14:textId="77777777" w:rsidR="00C8400B" w:rsidRDefault="00C8400B" w:rsidP="0030533F">
      <w:pPr>
        <w:spacing w:after="0" w:line="360" w:lineRule="auto"/>
      </w:pPr>
    </w:p>
    <w:p w14:paraId="19BFF3A9" w14:textId="6348EC89" w:rsidR="00A42A3E" w:rsidRDefault="00D2443D" w:rsidP="0030533F">
      <w:pPr>
        <w:spacing w:after="0" w:line="360" w:lineRule="auto"/>
      </w:pPr>
      <w:r>
        <w:t xml:space="preserve">In spite of widespread recognition in the literature </w:t>
      </w:r>
      <w:r w:rsidR="00D600E0">
        <w:t xml:space="preserve">that </w:t>
      </w:r>
      <w:r>
        <w:t xml:space="preserve">social relations within organisations </w:t>
      </w:r>
      <w:r w:rsidR="00D600E0">
        <w:t xml:space="preserve">are critical </w:t>
      </w:r>
      <w:r>
        <w:t>to ab</w:t>
      </w:r>
      <w:r w:rsidR="00C8400B">
        <w:t>sorptive capacity,</w:t>
      </w:r>
      <w:r>
        <w:t xml:space="preserve"> “</w:t>
      </w:r>
      <w:r w:rsidR="00D600E0" w:rsidRPr="00D600E0">
        <w:t>our understanding of how new knowledge is assimilated internally and the role of individual actors and organizationa</w:t>
      </w:r>
      <w:r w:rsidR="00D600E0">
        <w:t>l conditions remains incomplete” (</w:t>
      </w:r>
      <w:proofErr w:type="spellStart"/>
      <w:r w:rsidR="00D600E0">
        <w:t>Hotho</w:t>
      </w:r>
      <w:proofErr w:type="spellEnd"/>
      <w:r w:rsidR="00D600E0">
        <w:t>, Becker-</w:t>
      </w:r>
      <w:proofErr w:type="spellStart"/>
      <w:r w:rsidR="00D600E0">
        <w:t>Ritterspach</w:t>
      </w:r>
      <w:proofErr w:type="spellEnd"/>
      <w:r w:rsidR="00D600E0">
        <w:t xml:space="preserve"> and Saka-</w:t>
      </w:r>
      <w:proofErr w:type="spellStart"/>
      <w:r w:rsidR="00D600E0">
        <w:t>Helmhout</w:t>
      </w:r>
      <w:proofErr w:type="spellEnd"/>
      <w:r w:rsidR="00D600E0">
        <w:t>, 2012, p384).   Nevertheless, t</w:t>
      </w:r>
      <w:r w:rsidR="00C8400B">
        <w:t>he</w:t>
      </w:r>
      <w:r w:rsidR="00567CBE" w:rsidRPr="00A52FE1">
        <w:t xml:space="preserve"> </w:t>
      </w:r>
      <w:r w:rsidR="005E7A71" w:rsidRPr="00A52FE1">
        <w:t xml:space="preserve">idea has gained some traction in the tourism </w:t>
      </w:r>
      <w:r w:rsidR="00567CBE" w:rsidRPr="00A52FE1">
        <w:t>(</w:t>
      </w:r>
      <w:r w:rsidR="00937097" w:rsidRPr="00A52FE1">
        <w:t xml:space="preserve">Nieves and </w:t>
      </w:r>
      <w:proofErr w:type="spellStart"/>
      <w:r w:rsidR="00937097" w:rsidRPr="00A52FE1">
        <w:t>Segarra-Cipress</w:t>
      </w:r>
      <w:proofErr w:type="spellEnd"/>
      <w:r w:rsidR="00937097" w:rsidRPr="00A52FE1">
        <w:t>, 2015</w:t>
      </w:r>
      <w:r w:rsidR="00567CBE" w:rsidRPr="00A52FE1">
        <w:t xml:space="preserve">) </w:t>
      </w:r>
      <w:r w:rsidR="005E7A71" w:rsidRPr="00A52FE1">
        <w:t xml:space="preserve">and </w:t>
      </w:r>
      <w:r w:rsidR="00567CBE" w:rsidRPr="00A52FE1">
        <w:t>management literature</w:t>
      </w:r>
      <w:r w:rsidR="005E7A71" w:rsidRPr="00A52FE1">
        <w:t>s</w:t>
      </w:r>
      <w:r w:rsidR="00567CBE" w:rsidRPr="00A52FE1">
        <w:t xml:space="preserve"> (</w:t>
      </w:r>
      <w:r w:rsidR="00FE2E7E">
        <w:t xml:space="preserve">Chang, Gong, Way and </w:t>
      </w:r>
      <w:proofErr w:type="spellStart"/>
      <w:r w:rsidR="00FE2E7E">
        <w:t>Jia</w:t>
      </w:r>
      <w:proofErr w:type="spellEnd"/>
      <w:r w:rsidR="00FE2E7E">
        <w:t xml:space="preserve">, 2013; </w:t>
      </w:r>
      <w:proofErr w:type="spellStart"/>
      <w:r w:rsidR="00567CBE" w:rsidRPr="00A52FE1">
        <w:t>Hau</w:t>
      </w:r>
      <w:proofErr w:type="spellEnd"/>
      <w:r w:rsidR="00567CBE" w:rsidRPr="00A52FE1">
        <w:t xml:space="preserve">, Kim, Lee and Kim, 2012).  Zahra and George (2002) </w:t>
      </w:r>
      <w:r w:rsidR="005E7A71" w:rsidRPr="00A52FE1">
        <w:t>use a range of evidence to show that</w:t>
      </w:r>
      <w:r w:rsidR="00567CBE" w:rsidRPr="00A52FE1">
        <w:t xml:space="preserve"> formal me</w:t>
      </w:r>
      <w:r w:rsidR="005E7A71" w:rsidRPr="00A52FE1">
        <w:t xml:space="preserve">ans of sharing </w:t>
      </w:r>
      <w:r w:rsidR="00567CBE" w:rsidRPr="00A52FE1">
        <w:t xml:space="preserve">knowledge </w:t>
      </w:r>
      <w:r w:rsidR="005E7A71" w:rsidRPr="00A52FE1">
        <w:t xml:space="preserve">are </w:t>
      </w:r>
      <w:r w:rsidR="00D80BF0" w:rsidRPr="00A52FE1">
        <w:t xml:space="preserve">generally </w:t>
      </w:r>
      <w:r w:rsidR="005E7A71" w:rsidRPr="00A52FE1">
        <w:t xml:space="preserve">more </w:t>
      </w:r>
      <w:r w:rsidR="00567CBE" w:rsidRPr="00A52FE1">
        <w:t>ef</w:t>
      </w:r>
      <w:r w:rsidR="005E7A71" w:rsidRPr="00A52FE1">
        <w:t>fective than informal ones</w:t>
      </w:r>
      <w:r w:rsidR="00567CBE" w:rsidRPr="00A52FE1">
        <w:t xml:space="preserve">.  </w:t>
      </w:r>
      <w:r w:rsidR="005E7A71" w:rsidRPr="00A52FE1">
        <w:t>The ability to learn from past experience</w:t>
      </w:r>
      <w:r w:rsidR="00FE2E7E">
        <w:t>, coupled with a flexible approach to human resource management,</w:t>
      </w:r>
      <w:r w:rsidR="005E7A71" w:rsidRPr="00A52FE1">
        <w:t xml:space="preserve"> </w:t>
      </w:r>
      <w:r w:rsidR="00DB0095">
        <w:t xml:space="preserve">appear to </w:t>
      </w:r>
      <w:r w:rsidR="00FE2E7E">
        <w:t>go</w:t>
      </w:r>
      <w:r w:rsidR="005E7A71" w:rsidRPr="00A52FE1">
        <w:t xml:space="preserve"> some way to explaining d</w:t>
      </w:r>
      <w:r w:rsidR="00567CBE" w:rsidRPr="00A52FE1">
        <w:t>ifferences in perf</w:t>
      </w:r>
      <w:r w:rsidR="005E7A71" w:rsidRPr="00A52FE1">
        <w:t xml:space="preserve">ormance between organisations </w:t>
      </w:r>
      <w:r w:rsidR="00567CBE" w:rsidRPr="00A52FE1">
        <w:t>or t</w:t>
      </w:r>
      <w:r w:rsidR="005E7A71" w:rsidRPr="00A52FE1">
        <w:t>emporal differences within t</w:t>
      </w:r>
      <w:r w:rsidR="00567CBE" w:rsidRPr="00A52FE1">
        <w:t>he same organisation</w:t>
      </w:r>
      <w:r w:rsidR="00FE2E7E">
        <w:t xml:space="preserve"> (Chang et al. 2013)</w:t>
      </w:r>
      <w:r w:rsidR="005E7A71" w:rsidRPr="00A52FE1">
        <w:t xml:space="preserve">. </w:t>
      </w:r>
    </w:p>
    <w:p w14:paraId="4C5CC831" w14:textId="77777777" w:rsidR="0030533F" w:rsidRPr="00A52FE1" w:rsidRDefault="0030533F" w:rsidP="0030533F">
      <w:pPr>
        <w:spacing w:after="0" w:line="360" w:lineRule="auto"/>
      </w:pPr>
    </w:p>
    <w:p w14:paraId="73F34D58" w14:textId="10F011E8" w:rsidR="00FB1361" w:rsidRDefault="00811348" w:rsidP="0030533F">
      <w:pPr>
        <w:spacing w:after="0" w:line="360" w:lineRule="auto"/>
      </w:pPr>
      <w:r w:rsidRPr="00A52FE1">
        <w:t>T</w:t>
      </w:r>
      <w:r w:rsidR="00E33F34" w:rsidRPr="00A52FE1">
        <w:t xml:space="preserve">he only </w:t>
      </w:r>
      <w:r w:rsidR="00591710" w:rsidRPr="00A52FE1">
        <w:t xml:space="preserve">dedicated </w:t>
      </w:r>
      <w:r w:rsidR="00E33F34" w:rsidRPr="00A52FE1">
        <w:t xml:space="preserve">study </w:t>
      </w:r>
      <w:r w:rsidR="00591710" w:rsidRPr="00A52FE1">
        <w:t xml:space="preserve">of </w:t>
      </w:r>
      <w:r w:rsidR="00E33F34" w:rsidRPr="00A52FE1">
        <w:t xml:space="preserve">absorptive </w:t>
      </w:r>
      <w:r w:rsidR="00591710" w:rsidRPr="00A52FE1">
        <w:t>capacity in</w:t>
      </w:r>
      <w:r w:rsidR="00615EB4" w:rsidRPr="00A52FE1">
        <w:t xml:space="preserve"> tourism enterprises</w:t>
      </w:r>
      <w:r w:rsidRPr="00A52FE1">
        <w:t xml:space="preserve"> </w:t>
      </w:r>
      <w:r w:rsidR="00591710" w:rsidRPr="00A52FE1">
        <w:t>was undertaken recently by Thomas and Wood</w:t>
      </w:r>
      <w:r w:rsidR="00C8400B">
        <w:t xml:space="preserve"> (2014).  Their analysis reveal</w:t>
      </w:r>
      <w:r w:rsidR="00591710" w:rsidRPr="00A52FE1">
        <w:t xml:space="preserve">s that </w:t>
      </w:r>
      <w:r w:rsidRPr="00A52FE1">
        <w:t xml:space="preserve">activation triggers </w:t>
      </w:r>
      <w:r w:rsidR="00C8400B">
        <w:t>and prior experience (</w:t>
      </w:r>
      <w:r w:rsidR="00591710" w:rsidRPr="00A52FE1">
        <w:t>learning</w:t>
      </w:r>
      <w:r w:rsidR="00C8400B">
        <w:t>)</w:t>
      </w:r>
      <w:r w:rsidR="00591710" w:rsidRPr="00A52FE1">
        <w:t xml:space="preserve"> </w:t>
      </w:r>
      <w:r w:rsidR="00615EB4" w:rsidRPr="00A52FE1">
        <w:t>become influential in hotels</w:t>
      </w:r>
      <w:r w:rsidR="00591710" w:rsidRPr="00A52FE1">
        <w:t xml:space="preserve">, their </w:t>
      </w:r>
      <w:proofErr w:type="spellStart"/>
      <w:r w:rsidR="00591710" w:rsidRPr="00A52FE1">
        <w:t>testbed</w:t>
      </w:r>
      <w:proofErr w:type="spellEnd"/>
      <w:r w:rsidR="00591710" w:rsidRPr="00A52FE1">
        <w:t>,</w:t>
      </w:r>
      <w:r w:rsidR="00615EB4" w:rsidRPr="00A52FE1">
        <w:t xml:space="preserve"> </w:t>
      </w:r>
      <w:r w:rsidR="00BF5471" w:rsidRPr="00A52FE1">
        <w:t xml:space="preserve">once </w:t>
      </w:r>
      <w:r w:rsidR="00615EB4" w:rsidRPr="00A52FE1">
        <w:t xml:space="preserve">knowledge </w:t>
      </w:r>
      <w:r w:rsidR="00BF5471" w:rsidRPr="00A52FE1">
        <w:t xml:space="preserve">acquisition has taken place. </w:t>
      </w:r>
      <w:r w:rsidR="0018447D" w:rsidRPr="00A52FE1">
        <w:t xml:space="preserve"> T</w:t>
      </w:r>
      <w:r w:rsidR="00E33F34" w:rsidRPr="00A52FE1">
        <w:t xml:space="preserve">he </w:t>
      </w:r>
      <w:r w:rsidR="00591710" w:rsidRPr="00A52FE1">
        <w:t xml:space="preserve">enterprises </w:t>
      </w:r>
      <w:r w:rsidR="00E33F34" w:rsidRPr="00A52FE1">
        <w:t>they studied tended to acquire knowledge</w:t>
      </w:r>
      <w:r w:rsidR="00BF5471" w:rsidRPr="00A52FE1">
        <w:t>, often via highly personalised channels,</w:t>
      </w:r>
      <w:r w:rsidR="00E33F34" w:rsidRPr="00A52FE1">
        <w:t xml:space="preserve"> but </w:t>
      </w:r>
      <w:r w:rsidR="00BF5471" w:rsidRPr="00A52FE1">
        <w:t xml:space="preserve">did </w:t>
      </w:r>
      <w:r w:rsidR="00E33F34" w:rsidRPr="00A52FE1">
        <w:t xml:space="preserve">not utilise it </w:t>
      </w:r>
      <w:r w:rsidR="00BF5471" w:rsidRPr="00A52FE1">
        <w:t>effectively for innovative purposes unles</w:t>
      </w:r>
      <w:r w:rsidR="00615EB4" w:rsidRPr="00A52FE1">
        <w:t>s provok</w:t>
      </w:r>
      <w:r w:rsidR="00BF5471" w:rsidRPr="00A52FE1">
        <w:t xml:space="preserve">ed to do so by events (activation triggers). Further, </w:t>
      </w:r>
      <w:r w:rsidR="00615EB4" w:rsidRPr="00A52FE1">
        <w:t xml:space="preserve">their </w:t>
      </w:r>
      <w:r w:rsidR="00BF5471" w:rsidRPr="00A52FE1">
        <w:t xml:space="preserve">experience of using – rather than </w:t>
      </w:r>
      <w:r w:rsidR="00615EB4" w:rsidRPr="00A52FE1">
        <w:t xml:space="preserve">of </w:t>
      </w:r>
      <w:r w:rsidR="00BF5471" w:rsidRPr="00A52FE1">
        <w:t>acquiring – external knowledge represents an integral part of the process of explo</w:t>
      </w:r>
      <w:r w:rsidR="005C793F">
        <w:t>iting knowledge</w:t>
      </w:r>
      <w:r w:rsidR="00BF5471" w:rsidRPr="00A52FE1">
        <w:t>.</w:t>
      </w:r>
      <w:r w:rsidR="00615EB4" w:rsidRPr="00A52FE1">
        <w:t xml:space="preserve">  </w:t>
      </w:r>
    </w:p>
    <w:p w14:paraId="6B198052" w14:textId="77777777" w:rsidR="0030533F" w:rsidRPr="00A52FE1" w:rsidRDefault="0030533F" w:rsidP="0030533F">
      <w:pPr>
        <w:spacing w:after="0" w:line="360" w:lineRule="auto"/>
      </w:pPr>
    </w:p>
    <w:p w14:paraId="3A7DA768" w14:textId="6283569A" w:rsidR="00FB1361" w:rsidRDefault="005E7A71" w:rsidP="0030533F">
      <w:pPr>
        <w:spacing w:after="0" w:line="360" w:lineRule="auto"/>
      </w:pPr>
      <w:r w:rsidRPr="00A52FE1">
        <w:t xml:space="preserve">‘Regimes of </w:t>
      </w:r>
      <w:proofErr w:type="spellStart"/>
      <w:r w:rsidRPr="00A52FE1">
        <w:t>appropr</w:t>
      </w:r>
      <w:r w:rsidR="00567CBE" w:rsidRPr="00A52FE1">
        <w:t>i</w:t>
      </w:r>
      <w:r w:rsidRPr="00A52FE1">
        <w:t>a</w:t>
      </w:r>
      <w:r w:rsidR="00567CBE" w:rsidRPr="00A52FE1">
        <w:t>bility</w:t>
      </w:r>
      <w:proofErr w:type="spellEnd"/>
      <w:r w:rsidRPr="00A52FE1">
        <w:t xml:space="preserve">’ represent </w:t>
      </w:r>
      <w:r w:rsidR="00591710" w:rsidRPr="00A52FE1">
        <w:t>the final dimension of prominent</w:t>
      </w:r>
      <w:r w:rsidR="00A42A3E" w:rsidRPr="00A52FE1">
        <w:t xml:space="preserve"> conceptualisations of absorptive capacity</w:t>
      </w:r>
      <w:r w:rsidRPr="00A52FE1">
        <w:t>. This</w:t>
      </w:r>
      <w:r w:rsidR="00567CBE" w:rsidRPr="00A52FE1">
        <w:t xml:space="preserve"> </w:t>
      </w:r>
      <w:r w:rsidR="00D80BF0" w:rsidRPr="00A52FE1">
        <w:t xml:space="preserve">element </w:t>
      </w:r>
      <w:r w:rsidR="00567CBE" w:rsidRPr="00A52FE1">
        <w:t xml:space="preserve">refers to an organisation’s ability to </w:t>
      </w:r>
      <w:r w:rsidR="004406D4" w:rsidRPr="00A52FE1">
        <w:t xml:space="preserve">retain </w:t>
      </w:r>
      <w:r w:rsidR="00567CBE" w:rsidRPr="00A52FE1">
        <w:t xml:space="preserve">the competitive advantage </w:t>
      </w:r>
      <w:r w:rsidR="004406D4" w:rsidRPr="00A52FE1">
        <w:t xml:space="preserve">it derives from </w:t>
      </w:r>
      <w:r w:rsidR="00567CBE" w:rsidRPr="00A52FE1">
        <w:t>its absorptive capacity</w:t>
      </w:r>
      <w:r w:rsidR="004406D4" w:rsidRPr="00A52FE1">
        <w:t xml:space="preserve"> by making it difficult for competitors to imitate </w:t>
      </w:r>
      <w:r w:rsidR="0018447D" w:rsidRPr="00A52FE1">
        <w:t>its innovation</w:t>
      </w:r>
      <w:r w:rsidR="005207B7" w:rsidRPr="00A52FE1">
        <w:t xml:space="preserve"> (</w:t>
      </w:r>
      <w:proofErr w:type="spellStart"/>
      <w:r w:rsidR="005207B7" w:rsidRPr="00A52FE1">
        <w:t>Laursen</w:t>
      </w:r>
      <w:proofErr w:type="spellEnd"/>
      <w:r w:rsidR="005207B7" w:rsidRPr="00A52FE1">
        <w:t xml:space="preserve"> and Salter, 2014)</w:t>
      </w:r>
      <w:r w:rsidR="00D80BF0" w:rsidRPr="00A52FE1">
        <w:t xml:space="preserve">.  The use of </w:t>
      </w:r>
      <w:r w:rsidR="004406D4" w:rsidRPr="00A52FE1">
        <w:t xml:space="preserve">various </w:t>
      </w:r>
      <w:r w:rsidR="00567CBE" w:rsidRPr="00A52FE1">
        <w:t>‘isolating mechanisms’ (such as secrecy)</w:t>
      </w:r>
      <w:r w:rsidR="00D80BF0" w:rsidRPr="00A52FE1">
        <w:t>,</w:t>
      </w:r>
      <w:r w:rsidR="00567CBE" w:rsidRPr="00A52FE1">
        <w:t xml:space="preserve"> </w:t>
      </w:r>
      <w:r w:rsidR="004406D4" w:rsidRPr="00A52FE1">
        <w:t xml:space="preserve">which limit ‘knowledge </w:t>
      </w:r>
      <w:proofErr w:type="spellStart"/>
      <w:r w:rsidR="004406D4" w:rsidRPr="00A52FE1">
        <w:t>spillovers</w:t>
      </w:r>
      <w:proofErr w:type="spellEnd"/>
      <w:r w:rsidR="004406D4" w:rsidRPr="00A52FE1">
        <w:t>’</w:t>
      </w:r>
      <w:r w:rsidR="00D80BF0" w:rsidRPr="00A52FE1">
        <w:t>, may be important in this regard</w:t>
      </w:r>
      <w:r w:rsidR="00000B33">
        <w:t xml:space="preserve"> but are unlikely to be significant in the meetings industry, or even </w:t>
      </w:r>
      <w:r w:rsidR="007C5C3E">
        <w:t xml:space="preserve">in </w:t>
      </w:r>
      <w:r w:rsidR="00000B33">
        <w:t xml:space="preserve">tourism generally. </w:t>
      </w:r>
      <w:r w:rsidR="005C793F">
        <w:t xml:space="preserve"> Where</w:t>
      </w:r>
      <w:r w:rsidR="00407E1D">
        <w:t xml:space="preserve"> temporary employment </w:t>
      </w:r>
      <w:r w:rsidR="005C793F">
        <w:t xml:space="preserve">is widespread or there is high labour turnover </w:t>
      </w:r>
      <w:r w:rsidR="00407E1D">
        <w:t xml:space="preserve">(Rogers, 2013), </w:t>
      </w:r>
      <w:r w:rsidR="007C5C3E">
        <w:t>the ability of organisations to co</w:t>
      </w:r>
      <w:r w:rsidR="00C8400B">
        <w:t xml:space="preserve">ntrol knowledge </w:t>
      </w:r>
      <w:r w:rsidR="00C8400B">
        <w:lastRenderedPageBreak/>
        <w:t>flows</w:t>
      </w:r>
      <w:r w:rsidR="005C793F">
        <w:t xml:space="preserve"> is reduced. </w:t>
      </w:r>
      <w:r w:rsidR="00C8400B">
        <w:t>Further</w:t>
      </w:r>
      <w:r w:rsidR="007C5C3E">
        <w:t xml:space="preserve">, </w:t>
      </w:r>
      <w:r w:rsidR="00722F41">
        <w:t xml:space="preserve">as </w:t>
      </w:r>
      <w:r w:rsidR="007C5C3E">
        <w:t>many innovations are easily replicable</w:t>
      </w:r>
      <w:r w:rsidR="00722F41">
        <w:t xml:space="preserve"> and often emerge from outside the sector (Hjalager, 2015)</w:t>
      </w:r>
      <w:proofErr w:type="gramStart"/>
      <w:r w:rsidR="00722F41">
        <w:t>,</w:t>
      </w:r>
      <w:proofErr w:type="gramEnd"/>
      <w:r w:rsidR="00722F41">
        <w:t xml:space="preserve"> creating effective </w:t>
      </w:r>
      <w:r w:rsidR="007C5C3E">
        <w:t xml:space="preserve">regimes of </w:t>
      </w:r>
      <w:proofErr w:type="spellStart"/>
      <w:r w:rsidR="007C5C3E">
        <w:t>appropr</w:t>
      </w:r>
      <w:r w:rsidR="00F062E8">
        <w:t>i</w:t>
      </w:r>
      <w:r w:rsidR="007C5C3E">
        <w:t>ability</w:t>
      </w:r>
      <w:proofErr w:type="spellEnd"/>
      <w:r w:rsidR="007C5C3E">
        <w:t xml:space="preserve"> </w:t>
      </w:r>
      <w:r w:rsidR="00F062E8">
        <w:t>is</w:t>
      </w:r>
      <w:r w:rsidR="00722F41">
        <w:t xml:space="preserve"> a much more challenging prospect</w:t>
      </w:r>
      <w:r w:rsidR="007C5C3E">
        <w:t xml:space="preserve">. </w:t>
      </w:r>
    </w:p>
    <w:p w14:paraId="207E0F49" w14:textId="77777777" w:rsidR="00E80E50" w:rsidRDefault="00E80E50" w:rsidP="00FD2F39">
      <w:pPr>
        <w:spacing w:after="0" w:line="360" w:lineRule="auto"/>
      </w:pPr>
    </w:p>
    <w:p w14:paraId="235824D9" w14:textId="77777777" w:rsidR="00385E55" w:rsidRPr="00E80E50" w:rsidRDefault="00385E55" w:rsidP="00FD2F39">
      <w:pPr>
        <w:spacing w:after="0" w:line="360" w:lineRule="auto"/>
      </w:pPr>
    </w:p>
    <w:p w14:paraId="48CB81B0" w14:textId="521988B8" w:rsidR="00D27C74" w:rsidRDefault="00D27C74" w:rsidP="00B04E42">
      <w:pPr>
        <w:pStyle w:val="ListParagraph"/>
        <w:numPr>
          <w:ilvl w:val="0"/>
          <w:numId w:val="10"/>
        </w:numPr>
        <w:spacing w:after="0" w:line="360" w:lineRule="auto"/>
      </w:pPr>
      <w:r w:rsidRPr="00B04E42">
        <w:t>R</w:t>
      </w:r>
      <w:r w:rsidR="0012448D" w:rsidRPr="00B04E42">
        <w:t>ESEARCH DESIGN AND METHODS</w:t>
      </w:r>
    </w:p>
    <w:p w14:paraId="43C2AF0B" w14:textId="77777777" w:rsidR="00F062E8" w:rsidRDefault="00F062E8" w:rsidP="0030533F">
      <w:pPr>
        <w:spacing w:after="0" w:line="360" w:lineRule="auto"/>
      </w:pPr>
    </w:p>
    <w:p w14:paraId="423B10B5" w14:textId="48CB2217" w:rsidR="00586FD2" w:rsidRDefault="00CE442F" w:rsidP="0030533F">
      <w:pPr>
        <w:spacing w:after="0" w:line="360" w:lineRule="auto"/>
      </w:pPr>
      <w:r>
        <w:t>D</w:t>
      </w:r>
      <w:r w:rsidR="002F2866" w:rsidRPr="00A52FE1">
        <w:t xml:space="preserve">ata </w:t>
      </w:r>
      <w:r w:rsidR="008509AE" w:rsidRPr="00A52FE1">
        <w:t xml:space="preserve">for this project </w:t>
      </w:r>
      <w:r w:rsidR="002F2866" w:rsidRPr="00A52FE1">
        <w:t>were</w:t>
      </w:r>
      <w:r w:rsidR="00DA7777">
        <w:t xml:space="preserve"> collected</w:t>
      </w:r>
      <w:r w:rsidR="00D42B3A" w:rsidRPr="00A52FE1">
        <w:t xml:space="preserve"> in two stages. The first</w:t>
      </w:r>
      <w:r w:rsidR="00EF17DF" w:rsidRPr="00A52FE1">
        <w:t xml:space="preserve"> </w:t>
      </w:r>
      <w:r w:rsidR="00D42B3A" w:rsidRPr="00A52FE1">
        <w:t>involved</w:t>
      </w:r>
      <w:r w:rsidR="00DA7777">
        <w:t xml:space="preserve"> interviewing the</w:t>
      </w:r>
      <w:r w:rsidR="00FB522B" w:rsidRPr="00A52FE1">
        <w:t xml:space="preserve"> Chief Executive Officer (CEO) or director level staff of</w:t>
      </w:r>
      <w:r w:rsidR="00EF17DF" w:rsidRPr="00A52FE1">
        <w:t xml:space="preserve"> </w:t>
      </w:r>
      <w:r w:rsidR="00591710" w:rsidRPr="00A52FE1">
        <w:t xml:space="preserve">four </w:t>
      </w:r>
      <w:r w:rsidR="00FB522B" w:rsidRPr="00A52FE1">
        <w:t xml:space="preserve">Destination Marketing Organisations (DMOs) responsible </w:t>
      </w:r>
      <w:r w:rsidR="002F2866" w:rsidRPr="00A52FE1">
        <w:t xml:space="preserve">for attracting </w:t>
      </w:r>
      <w:r w:rsidR="00D4067F" w:rsidRPr="00A52FE1">
        <w:t xml:space="preserve">major </w:t>
      </w:r>
      <w:r w:rsidR="002F2866" w:rsidRPr="00A52FE1">
        <w:t>meeti</w:t>
      </w:r>
      <w:r w:rsidR="00FB522B" w:rsidRPr="00A52FE1">
        <w:t>ngs to particular destinations</w:t>
      </w:r>
      <w:r w:rsidR="00FC6F06" w:rsidRPr="00A52FE1">
        <w:t xml:space="preserve"> </w:t>
      </w:r>
      <w:r w:rsidR="00FB522B" w:rsidRPr="00A52FE1">
        <w:t>(three of the four were convention bureaus)</w:t>
      </w:r>
      <w:r w:rsidR="00DA7777">
        <w:t xml:space="preserve">. This </w:t>
      </w:r>
      <w:r w:rsidR="00DF67AB">
        <w:t>was followed by interviews with</w:t>
      </w:r>
      <w:r w:rsidR="00E45D9F" w:rsidRPr="00A52FE1">
        <w:t xml:space="preserve"> </w:t>
      </w:r>
      <w:r w:rsidR="00DA7777">
        <w:t xml:space="preserve">similarly senior officers </w:t>
      </w:r>
      <w:r w:rsidR="00DF67AB">
        <w:t xml:space="preserve">at five </w:t>
      </w:r>
      <w:r w:rsidR="00EF17DF" w:rsidRPr="00A52FE1">
        <w:t>pr</w:t>
      </w:r>
      <w:r w:rsidR="00DF67AB">
        <w:t>ofessional conference organising companies</w:t>
      </w:r>
      <w:r w:rsidR="00EF17DF" w:rsidRPr="00A52FE1">
        <w:t xml:space="preserve"> (PCOs)</w:t>
      </w:r>
      <w:r w:rsidR="00DF67AB">
        <w:t xml:space="preserve"> who</w:t>
      </w:r>
      <w:r w:rsidR="00D4067F" w:rsidRPr="00A52FE1">
        <w:t xml:space="preserve"> worked</w:t>
      </w:r>
      <w:r w:rsidR="002F2866" w:rsidRPr="00A52FE1">
        <w:t xml:space="preserve"> internationally</w:t>
      </w:r>
      <w:r w:rsidR="003261C2" w:rsidRPr="00A52FE1">
        <w:t xml:space="preserve">. </w:t>
      </w:r>
      <w:r w:rsidR="002F2866" w:rsidRPr="00A52FE1">
        <w:t xml:space="preserve"> </w:t>
      </w:r>
      <w:r w:rsidR="00FB522B" w:rsidRPr="00A52FE1">
        <w:t>At least two of the latter offered</w:t>
      </w:r>
      <w:r w:rsidR="00FF53D8" w:rsidRPr="00A52FE1">
        <w:t xml:space="preserve"> marketing and other services in addition to</w:t>
      </w:r>
      <w:r w:rsidR="00FB522B" w:rsidRPr="00A52FE1">
        <w:t xml:space="preserve"> organising meetings. </w:t>
      </w:r>
      <w:r w:rsidR="00FF53D8" w:rsidRPr="00A52FE1">
        <w:t xml:space="preserve"> </w:t>
      </w:r>
      <w:r w:rsidR="00586FD2" w:rsidRPr="00A52FE1">
        <w:t xml:space="preserve">Each of the interviewees was </w:t>
      </w:r>
      <w:r w:rsidR="00D4067F" w:rsidRPr="00A52FE1">
        <w:t xml:space="preserve">nominated by a director-level member of </w:t>
      </w:r>
      <w:r w:rsidR="00586FD2" w:rsidRPr="00A52FE1">
        <w:t>the International Congress and Convention Association (ICCA). T</w:t>
      </w:r>
      <w:r w:rsidR="00D4067F" w:rsidRPr="00A52FE1">
        <w:t xml:space="preserve">o qualify for inclusion, each individual had to be seen as a </w:t>
      </w:r>
      <w:r w:rsidR="00586FD2" w:rsidRPr="00A52FE1">
        <w:t>leading and innovative practitioner</w:t>
      </w:r>
      <w:r w:rsidR="00D4067F" w:rsidRPr="00A52FE1">
        <w:t xml:space="preserve"> who operated in</w:t>
      </w:r>
      <w:r w:rsidR="00591710" w:rsidRPr="00A52FE1">
        <w:t xml:space="preserve"> more than one country</w:t>
      </w:r>
      <w:r w:rsidR="00586FD2" w:rsidRPr="00A52FE1">
        <w:t xml:space="preserve">. </w:t>
      </w:r>
      <w:r w:rsidR="00591710" w:rsidRPr="00A52FE1">
        <w:t xml:space="preserve"> </w:t>
      </w:r>
      <w:r w:rsidR="00586FD2" w:rsidRPr="00A52FE1">
        <w:t>This reputational criterion was demonstrated in a number of ways</w:t>
      </w:r>
      <w:r w:rsidR="00D4067F" w:rsidRPr="00A52FE1">
        <w:t xml:space="preserve">; they had </w:t>
      </w:r>
      <w:r w:rsidR="00586FD2" w:rsidRPr="00A52FE1">
        <w:t xml:space="preserve">won awards, </w:t>
      </w:r>
      <w:r w:rsidR="00D4067F" w:rsidRPr="00A52FE1">
        <w:t xml:space="preserve">were </w:t>
      </w:r>
      <w:r w:rsidR="00586FD2" w:rsidRPr="00A52FE1">
        <w:t>prominent in the trade press</w:t>
      </w:r>
      <w:r w:rsidR="00D4067F" w:rsidRPr="00A52FE1">
        <w:t xml:space="preserve"> or</w:t>
      </w:r>
      <w:r w:rsidR="00586FD2" w:rsidRPr="00A52FE1">
        <w:t xml:space="preserve"> led </w:t>
      </w:r>
      <w:r w:rsidR="00723BAA" w:rsidRPr="00A52FE1">
        <w:t xml:space="preserve">what was seen by an ICCA director as </w:t>
      </w:r>
      <w:r w:rsidR="00586FD2" w:rsidRPr="00A52FE1">
        <w:t xml:space="preserve">an iconic </w:t>
      </w:r>
      <w:r w:rsidR="00FC6F06" w:rsidRPr="00A52FE1">
        <w:t xml:space="preserve">organisation.  </w:t>
      </w:r>
      <w:r w:rsidR="00D4067F" w:rsidRPr="00A52FE1">
        <w:t xml:space="preserve">Inevitably, these often overlapped.  Interviewees were located </w:t>
      </w:r>
      <w:r w:rsidR="00B82251">
        <w:t xml:space="preserve">in </w:t>
      </w:r>
      <w:r w:rsidR="00881733" w:rsidRPr="00A52F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nine </w:t>
      </w:r>
      <w:r w:rsidR="00D4067F" w:rsidRPr="00A52FE1">
        <w:t xml:space="preserve">countries which were spread between three continents.  </w:t>
      </w:r>
      <w:r w:rsidR="00FC6F06" w:rsidRPr="00A52FE1">
        <w:t>The availability of these senior personnel was often limited.  As a result, most interviews, even th</w:t>
      </w:r>
      <w:r w:rsidR="00881733" w:rsidRPr="00A52FE1">
        <w:t>ose conducted face-to-face (five</w:t>
      </w:r>
      <w:r w:rsidR="00FC6F06" w:rsidRPr="00A52FE1">
        <w:t xml:space="preserve"> of the </w:t>
      </w:r>
      <w:r w:rsidR="00881733" w:rsidRPr="00A52FE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nine</w:t>
      </w:r>
      <w:r w:rsidR="00FC6F06" w:rsidRPr="00A52FE1">
        <w:t xml:space="preserve">), lasted </w:t>
      </w:r>
      <w:r w:rsidR="00894583" w:rsidRPr="00A52FE1">
        <w:t xml:space="preserve">slightly </w:t>
      </w:r>
      <w:r w:rsidR="00FC6F06" w:rsidRPr="00A52FE1">
        <w:t>less than an hour</w:t>
      </w:r>
      <w:r w:rsidR="00B96CC4" w:rsidRPr="00A52FE1">
        <w:t>.</w:t>
      </w:r>
      <w:r w:rsidR="00FC6F06" w:rsidRPr="00A52FE1">
        <w:t xml:space="preserve">  </w:t>
      </w:r>
    </w:p>
    <w:p w14:paraId="2623AAA8" w14:textId="77777777" w:rsidR="0030533F" w:rsidRPr="00A52FE1" w:rsidRDefault="0030533F" w:rsidP="0030533F">
      <w:pPr>
        <w:spacing w:after="0" w:line="360" w:lineRule="auto"/>
      </w:pPr>
    </w:p>
    <w:p w14:paraId="3AAB6A2E" w14:textId="76732A9D" w:rsidR="00385868" w:rsidRDefault="008509AE" w:rsidP="00385868">
      <w:pPr>
        <w:spacing w:after="0" w:line="360" w:lineRule="auto"/>
      </w:pPr>
      <w:r w:rsidRPr="00A52FE1">
        <w:t xml:space="preserve">The purpose </w:t>
      </w:r>
      <w:r w:rsidR="00B96CC4" w:rsidRPr="00A52FE1">
        <w:t xml:space="preserve">of the interviews </w:t>
      </w:r>
      <w:r w:rsidRPr="00A52FE1">
        <w:t>w</w:t>
      </w:r>
      <w:r w:rsidR="00DB0095">
        <w:t>as two</w:t>
      </w:r>
      <w:r w:rsidRPr="00A52FE1">
        <w:t xml:space="preserve">fold. </w:t>
      </w:r>
      <w:r w:rsidR="002F2866" w:rsidRPr="00A52FE1">
        <w:t xml:space="preserve">The </w:t>
      </w:r>
      <w:r w:rsidR="00586FD2" w:rsidRPr="00A52FE1">
        <w:t>first</w:t>
      </w:r>
      <w:r w:rsidR="002F2866" w:rsidRPr="00A52FE1">
        <w:t xml:space="preserve"> was </w:t>
      </w:r>
      <w:r w:rsidR="00DB0095">
        <w:t>exploratory</w:t>
      </w:r>
      <w:r w:rsidR="00C8400B">
        <w:t xml:space="preserve">. </w:t>
      </w:r>
      <w:r w:rsidR="00B92166" w:rsidRPr="00A52FE1">
        <w:t xml:space="preserve">Each semi-structured interview </w:t>
      </w:r>
      <w:r w:rsidR="00C8400B">
        <w:t>examined</w:t>
      </w:r>
      <w:r w:rsidR="005C793F">
        <w:t xml:space="preserve"> the</w:t>
      </w:r>
      <w:r w:rsidR="00FB1361" w:rsidRPr="00A52FE1">
        <w:t xml:space="preserve"> approach to innovation</w:t>
      </w:r>
      <w:r w:rsidR="005C793F">
        <w:t xml:space="preserve"> of the interviewee’s organisation</w:t>
      </w:r>
      <w:r w:rsidR="00EC3C92" w:rsidRPr="00A52FE1">
        <w:t>, initially</w:t>
      </w:r>
      <w:r w:rsidR="00FB1361" w:rsidRPr="00A52FE1">
        <w:t xml:space="preserve"> </w:t>
      </w:r>
      <w:r w:rsidR="00EC3C92" w:rsidRPr="00A52FE1">
        <w:t xml:space="preserve">via a series of open questions. These were complemented with probing questions to </w:t>
      </w:r>
      <w:r w:rsidR="00C8400B">
        <w:t xml:space="preserve">consider </w:t>
      </w:r>
      <w:r w:rsidR="00EC3C92" w:rsidRPr="00A52FE1">
        <w:t>the potential conceptual value of absorptive capacity as currently theorised.</w:t>
      </w:r>
      <w:r w:rsidR="00FB1361" w:rsidRPr="00A52FE1">
        <w:t xml:space="preserve">  </w:t>
      </w:r>
      <w:r w:rsidR="00DB0095">
        <w:t xml:space="preserve">This helped inform </w:t>
      </w:r>
      <w:r w:rsidR="00586FD2" w:rsidRPr="00A52FE1">
        <w:t xml:space="preserve">the </w:t>
      </w:r>
      <w:r w:rsidR="00CF0CDD">
        <w:t xml:space="preserve">development of the </w:t>
      </w:r>
      <w:r w:rsidR="00586FD2" w:rsidRPr="00A52FE1">
        <w:t>research instrument, a questionnaire, for use in the main part of the study.</w:t>
      </w:r>
      <w:r w:rsidR="00CF0CDD">
        <w:t xml:space="preserve">  </w:t>
      </w:r>
      <w:r w:rsidR="00DB0095">
        <w:t xml:space="preserve">Secondly, </w:t>
      </w:r>
      <w:r w:rsidR="00CF0CDD">
        <w:t xml:space="preserve">the insights gained from the interviews provided </w:t>
      </w:r>
      <w:r w:rsidR="00722F41">
        <w:t xml:space="preserve">perspectives on the meetings industry which informed the interpretation of the findings. </w:t>
      </w:r>
      <w:r w:rsidR="00DB0095">
        <w:t xml:space="preserve"> These included broader questions about the operations of their business and trends in the sector. </w:t>
      </w:r>
    </w:p>
    <w:p w14:paraId="1293DBD2" w14:textId="77777777" w:rsidR="00385868" w:rsidRDefault="00385868" w:rsidP="00385868">
      <w:pPr>
        <w:spacing w:after="0" w:line="360" w:lineRule="auto"/>
      </w:pPr>
    </w:p>
    <w:p w14:paraId="4C71C7D3" w14:textId="1D0683C1" w:rsidR="00385868" w:rsidRPr="00F062E8" w:rsidRDefault="00857485" w:rsidP="00385868">
      <w:pPr>
        <w:spacing w:after="0" w:line="360" w:lineRule="auto"/>
        <w:rPr>
          <w:color w:val="000000" w:themeColor="text1"/>
        </w:rPr>
      </w:pPr>
      <w:r w:rsidRPr="00A52FE1">
        <w:t xml:space="preserve">The second stage consisted of </w:t>
      </w:r>
      <w:r>
        <w:t xml:space="preserve">a </w:t>
      </w:r>
      <w:r w:rsidRPr="00A52FE1">
        <w:t xml:space="preserve">web-based survey of members of ICCA. </w:t>
      </w:r>
      <w:r>
        <w:t xml:space="preserve"> </w:t>
      </w:r>
      <w:r w:rsidR="00385868" w:rsidRPr="00F062E8">
        <w:rPr>
          <w:color w:val="000000" w:themeColor="text1"/>
        </w:rPr>
        <w:t>Many studies of innovation use indicators such as expenditure on research and development as surrogate measures of absorptive</w:t>
      </w:r>
      <w:r w:rsidR="002828E6">
        <w:rPr>
          <w:color w:val="000000" w:themeColor="text1"/>
        </w:rPr>
        <w:t xml:space="preserve"> capacity</w:t>
      </w:r>
      <w:r w:rsidR="00385868" w:rsidRPr="00F062E8">
        <w:rPr>
          <w:color w:val="000000" w:themeColor="text1"/>
        </w:rPr>
        <w:t xml:space="preserve">. </w:t>
      </w:r>
      <w:r w:rsidR="005C793F">
        <w:rPr>
          <w:color w:val="000000" w:themeColor="text1"/>
        </w:rPr>
        <w:t xml:space="preserve"> While several of these </w:t>
      </w:r>
      <w:r w:rsidR="00385868" w:rsidRPr="00F062E8">
        <w:rPr>
          <w:color w:val="000000" w:themeColor="text1"/>
        </w:rPr>
        <w:t xml:space="preserve">have confirmed the four factor model empirically </w:t>
      </w:r>
      <w:r w:rsidR="00385868" w:rsidRPr="00F062E8">
        <w:rPr>
          <w:color w:val="000000" w:themeColor="text1"/>
        </w:rPr>
        <w:lastRenderedPageBreak/>
        <w:t>(</w:t>
      </w:r>
      <w:proofErr w:type="spellStart"/>
      <w:r w:rsidR="00385868" w:rsidRPr="00F062E8">
        <w:rPr>
          <w:color w:val="000000" w:themeColor="text1"/>
        </w:rPr>
        <w:t>Camison</w:t>
      </w:r>
      <w:proofErr w:type="spellEnd"/>
      <w:r w:rsidR="00385868" w:rsidRPr="00F062E8">
        <w:rPr>
          <w:color w:val="000000" w:themeColor="text1"/>
        </w:rPr>
        <w:t xml:space="preserve"> and </w:t>
      </w:r>
      <w:proofErr w:type="spellStart"/>
      <w:r w:rsidR="00385868" w:rsidRPr="00F062E8">
        <w:rPr>
          <w:color w:val="000000" w:themeColor="text1"/>
        </w:rPr>
        <w:t>Fores</w:t>
      </w:r>
      <w:proofErr w:type="spellEnd"/>
      <w:r w:rsidR="00385868" w:rsidRPr="00F062E8">
        <w:rPr>
          <w:color w:val="000000" w:themeColor="text1"/>
        </w:rPr>
        <w:t xml:space="preserve">, 2010; </w:t>
      </w:r>
      <w:proofErr w:type="spellStart"/>
      <w:r w:rsidR="00385868" w:rsidRPr="00F062E8">
        <w:rPr>
          <w:color w:val="000000" w:themeColor="text1"/>
        </w:rPr>
        <w:t>Daspit</w:t>
      </w:r>
      <w:proofErr w:type="spellEnd"/>
      <w:r w:rsidR="00385868" w:rsidRPr="00F062E8">
        <w:rPr>
          <w:color w:val="000000" w:themeColor="text1"/>
        </w:rPr>
        <w:t xml:space="preserve"> and D’Souza, 2013; Flatten, </w:t>
      </w:r>
      <w:proofErr w:type="spellStart"/>
      <w:r w:rsidR="00385868" w:rsidRPr="00F062E8">
        <w:rPr>
          <w:color w:val="000000" w:themeColor="text1"/>
        </w:rPr>
        <w:t>Engelen</w:t>
      </w:r>
      <w:proofErr w:type="spellEnd"/>
      <w:r w:rsidR="00385868" w:rsidRPr="00F062E8">
        <w:rPr>
          <w:color w:val="000000" w:themeColor="text1"/>
        </w:rPr>
        <w:t xml:space="preserve">, Zahra and </w:t>
      </w:r>
      <w:proofErr w:type="spellStart"/>
      <w:r w:rsidR="00385868" w:rsidRPr="00F062E8">
        <w:rPr>
          <w:color w:val="000000" w:themeColor="text1"/>
        </w:rPr>
        <w:t>Brettel</w:t>
      </w:r>
      <w:proofErr w:type="spellEnd"/>
      <w:r w:rsidR="00385868" w:rsidRPr="00F062E8">
        <w:rPr>
          <w:color w:val="000000" w:themeColor="text1"/>
        </w:rPr>
        <w:t>, 2011; Jimenez-</w:t>
      </w:r>
      <w:proofErr w:type="spellStart"/>
      <w:r w:rsidR="00385868" w:rsidRPr="00F062E8">
        <w:rPr>
          <w:color w:val="000000" w:themeColor="text1"/>
        </w:rPr>
        <w:t>Barriouevo</w:t>
      </w:r>
      <w:proofErr w:type="spellEnd"/>
      <w:r w:rsidR="00385868" w:rsidRPr="00F062E8">
        <w:rPr>
          <w:color w:val="000000" w:themeColor="text1"/>
        </w:rPr>
        <w:t xml:space="preserve">, Garcia-Morales and Molina, 2011), the research has been undertaken primarily among manufacturing enterprises.  Although potentially useful in some circumstances, they are deficient in the context of tourism (Hall and Williams, 2008; Hjalager, 2010; Shaw and Williams, 2009) and are too crude to enable an analysis of the components of absorptive capacity.  </w:t>
      </w:r>
    </w:p>
    <w:p w14:paraId="440BC178" w14:textId="77777777" w:rsidR="00385868" w:rsidRPr="00F062E8" w:rsidRDefault="00385868" w:rsidP="00385868">
      <w:pPr>
        <w:pStyle w:val="ListParagraph"/>
        <w:spacing w:after="0" w:line="360" w:lineRule="auto"/>
        <w:ind w:left="360"/>
        <w:rPr>
          <w:b/>
          <w:color w:val="000000" w:themeColor="text1"/>
        </w:rPr>
      </w:pPr>
    </w:p>
    <w:p w14:paraId="1209EDF1" w14:textId="507F7E4D" w:rsidR="00385868" w:rsidRDefault="00385868" w:rsidP="00385868">
      <w:pPr>
        <w:spacing w:after="0" w:line="360" w:lineRule="auto"/>
      </w:pPr>
      <w:r w:rsidRPr="00385868">
        <w:rPr>
          <w:color w:val="000000" w:themeColor="text1"/>
        </w:rPr>
        <w:t xml:space="preserve">Other researchers have </w:t>
      </w:r>
      <w:r>
        <w:rPr>
          <w:color w:val="000000" w:themeColor="text1"/>
        </w:rPr>
        <w:t xml:space="preserve">more </w:t>
      </w:r>
      <w:r w:rsidRPr="00385868">
        <w:rPr>
          <w:color w:val="000000" w:themeColor="text1"/>
        </w:rPr>
        <w:t xml:space="preserve">recently developed multi-dimensional scales to interrogate the conceptual dimensions of absorptive capacity (notably </w:t>
      </w:r>
      <w:proofErr w:type="spellStart"/>
      <w:r w:rsidRPr="00385868">
        <w:rPr>
          <w:color w:val="000000" w:themeColor="text1"/>
        </w:rPr>
        <w:t>Camison</w:t>
      </w:r>
      <w:proofErr w:type="spellEnd"/>
      <w:r w:rsidRPr="00385868">
        <w:rPr>
          <w:color w:val="000000" w:themeColor="text1"/>
        </w:rPr>
        <w:t xml:space="preserve"> and </w:t>
      </w:r>
      <w:proofErr w:type="spellStart"/>
      <w:r w:rsidRPr="00385868">
        <w:rPr>
          <w:color w:val="000000" w:themeColor="text1"/>
        </w:rPr>
        <w:t>Fores</w:t>
      </w:r>
      <w:proofErr w:type="spellEnd"/>
      <w:r w:rsidRPr="00385868">
        <w:rPr>
          <w:color w:val="000000" w:themeColor="text1"/>
        </w:rPr>
        <w:t xml:space="preserve">, 2010; </w:t>
      </w:r>
      <w:proofErr w:type="spellStart"/>
      <w:r w:rsidRPr="00385868">
        <w:rPr>
          <w:color w:val="000000" w:themeColor="text1"/>
        </w:rPr>
        <w:t>Daspit</w:t>
      </w:r>
      <w:proofErr w:type="spellEnd"/>
      <w:r w:rsidRPr="00385868">
        <w:rPr>
          <w:color w:val="000000" w:themeColor="text1"/>
        </w:rPr>
        <w:t xml:space="preserve"> and D’Souza, 2013; </w:t>
      </w:r>
      <w:proofErr w:type="spellStart"/>
      <w:r w:rsidRPr="00385868">
        <w:rPr>
          <w:color w:val="000000" w:themeColor="text1"/>
        </w:rPr>
        <w:t>Delmas</w:t>
      </w:r>
      <w:proofErr w:type="spellEnd"/>
      <w:r w:rsidRPr="00385868">
        <w:rPr>
          <w:color w:val="000000" w:themeColor="text1"/>
        </w:rPr>
        <w:t xml:space="preserve">, Hoffman and </w:t>
      </w:r>
      <w:proofErr w:type="spellStart"/>
      <w:r w:rsidRPr="00385868">
        <w:rPr>
          <w:color w:val="000000" w:themeColor="text1"/>
        </w:rPr>
        <w:t>Kuss</w:t>
      </w:r>
      <w:proofErr w:type="spellEnd"/>
      <w:r w:rsidRPr="00385868">
        <w:rPr>
          <w:color w:val="000000" w:themeColor="text1"/>
        </w:rPr>
        <w:t xml:space="preserve">, 2011; Flatten, </w:t>
      </w:r>
      <w:proofErr w:type="spellStart"/>
      <w:r w:rsidRPr="00385868">
        <w:rPr>
          <w:color w:val="000000" w:themeColor="text1"/>
        </w:rPr>
        <w:t>Engelen</w:t>
      </w:r>
      <w:proofErr w:type="spellEnd"/>
      <w:r w:rsidRPr="00385868">
        <w:rPr>
          <w:color w:val="000000" w:themeColor="text1"/>
        </w:rPr>
        <w:t xml:space="preserve">, Zahra and </w:t>
      </w:r>
      <w:proofErr w:type="spellStart"/>
      <w:r w:rsidRPr="00385868">
        <w:rPr>
          <w:color w:val="000000" w:themeColor="text1"/>
        </w:rPr>
        <w:t>Brettel</w:t>
      </w:r>
      <w:proofErr w:type="spellEnd"/>
      <w:r w:rsidRPr="00385868">
        <w:rPr>
          <w:color w:val="000000" w:themeColor="text1"/>
        </w:rPr>
        <w:t>, 2011; Jimenez-</w:t>
      </w:r>
      <w:proofErr w:type="spellStart"/>
      <w:r w:rsidRPr="00385868">
        <w:rPr>
          <w:color w:val="000000" w:themeColor="text1"/>
        </w:rPr>
        <w:t>Barriouevo</w:t>
      </w:r>
      <w:proofErr w:type="spellEnd"/>
      <w:r w:rsidRPr="00385868">
        <w:rPr>
          <w:color w:val="000000" w:themeColor="text1"/>
        </w:rPr>
        <w:t>, Garcia-Morales and Molina, 2011; Jiménez-Castillo and Sánchez-Pérez, 2013; Thomas and Wood, 2014).  Even though each of those cited used</w:t>
      </w:r>
      <w:r>
        <w:t xml:space="preserve"> slightly differing</w:t>
      </w:r>
      <w:r w:rsidRPr="00A52FE1">
        <w:t xml:space="preserve"> format</w:t>
      </w:r>
      <w:r>
        <w:t>s</w:t>
      </w:r>
      <w:r w:rsidRPr="00A52FE1">
        <w:t xml:space="preserve">, wording and </w:t>
      </w:r>
      <w:r>
        <w:t xml:space="preserve">approaches to </w:t>
      </w:r>
      <w:r w:rsidRPr="00A52FE1">
        <w:t>item development</w:t>
      </w:r>
      <w:r>
        <w:t>, they all</w:t>
      </w:r>
      <w:r w:rsidRPr="00A52FE1">
        <w:t xml:space="preserve"> indicate</w:t>
      </w:r>
      <w:r>
        <w:t>d</w:t>
      </w:r>
      <w:r w:rsidRPr="00A52FE1">
        <w:t xml:space="preserve"> some convergence in the measurement of absorptive capacity as a multi-dimensional construct</w:t>
      </w:r>
      <w:r>
        <w:t xml:space="preserve">.  Initially, this study also used </w:t>
      </w:r>
      <w:r w:rsidRPr="00A52FE1">
        <w:t xml:space="preserve">a scale </w:t>
      </w:r>
      <w:r>
        <w:t xml:space="preserve">with a </w:t>
      </w:r>
      <w:r w:rsidRPr="00A52FE1">
        <w:t>relatively large number of items (adapted from previously validated scales) within each of the four h</w:t>
      </w:r>
      <w:r>
        <w:t>ypothesised factors. This allowed</w:t>
      </w:r>
      <w:r w:rsidRPr="00A52FE1">
        <w:t xml:space="preserve"> for further validation </w:t>
      </w:r>
      <w:r w:rsidR="00F00C88">
        <w:t xml:space="preserve">of the existing items and </w:t>
      </w:r>
      <w:r w:rsidRPr="00A52FE1">
        <w:t xml:space="preserve">elimination of </w:t>
      </w:r>
      <w:r w:rsidR="00F00C88">
        <w:t xml:space="preserve">‘unhelpful’ items. The aim of this was to </w:t>
      </w:r>
      <w:r w:rsidRPr="00A52FE1">
        <w:t xml:space="preserve">develop a more parsimonious scale </w:t>
      </w:r>
      <w:r w:rsidR="00F00C88">
        <w:t xml:space="preserve">(with no extraneous items and fewer questions) fitting the specificities of the </w:t>
      </w:r>
      <w:r w:rsidRPr="00A52FE1">
        <w:t>meetings ind</w:t>
      </w:r>
      <w:r>
        <w:t>ustry.</w:t>
      </w:r>
    </w:p>
    <w:p w14:paraId="4D64CA20" w14:textId="77777777" w:rsidR="00385868" w:rsidRDefault="00385868" w:rsidP="00385868">
      <w:pPr>
        <w:spacing w:after="0" w:line="360" w:lineRule="auto"/>
      </w:pPr>
    </w:p>
    <w:p w14:paraId="0F390BA2" w14:textId="347D4775" w:rsidR="00462024" w:rsidRDefault="00F62892" w:rsidP="0030533F">
      <w:pPr>
        <w:spacing w:after="0" w:line="360" w:lineRule="auto"/>
      </w:pPr>
      <w:r>
        <w:t>The survey instrument comprised</w:t>
      </w:r>
      <w:r w:rsidR="00997A5D" w:rsidRPr="00A52FE1">
        <w:t xml:space="preserve"> </w:t>
      </w:r>
      <w:r w:rsidR="00E45D9F" w:rsidRPr="00A52FE1">
        <w:t>a number of distinct sections</w:t>
      </w:r>
      <w:r w:rsidR="00997A5D" w:rsidRPr="00A52FE1">
        <w:t xml:space="preserve">. The first part </w:t>
      </w:r>
      <w:r w:rsidR="00E45D9F" w:rsidRPr="00A52FE1">
        <w:t>gather</w:t>
      </w:r>
      <w:r w:rsidR="00997A5D" w:rsidRPr="00A52FE1">
        <w:t>ed</w:t>
      </w:r>
      <w:r w:rsidR="00E45D9F" w:rsidRPr="00A52FE1">
        <w:t xml:space="preserve"> categorisation data on the respondent (role, length of time in role</w:t>
      </w:r>
      <w:r w:rsidR="00997A5D" w:rsidRPr="00A52FE1">
        <w:t>, length of time in organisation</w:t>
      </w:r>
      <w:r w:rsidR="00E45D9F" w:rsidRPr="00A52FE1">
        <w:t>) a</w:t>
      </w:r>
      <w:r w:rsidR="00997A5D" w:rsidRPr="00A52FE1">
        <w:t>n</w:t>
      </w:r>
      <w:r w:rsidR="00E45D9F" w:rsidRPr="00A52FE1">
        <w:t>d the organisation (type, years in operation, size)</w:t>
      </w:r>
      <w:r w:rsidR="00997A5D" w:rsidRPr="00A52FE1">
        <w:t xml:space="preserve">. This allowed </w:t>
      </w:r>
      <w:r w:rsidR="00B96CC4" w:rsidRPr="00A52FE1">
        <w:t>for</w:t>
      </w:r>
      <w:r w:rsidR="00997A5D" w:rsidRPr="00A52FE1">
        <w:t xml:space="preserve"> sub-group analysis within the overall sample. The second section contained a s</w:t>
      </w:r>
      <w:r w:rsidR="000472F7">
        <w:t xml:space="preserve">imple </w:t>
      </w:r>
      <w:proofErr w:type="spellStart"/>
      <w:r w:rsidR="000472F7">
        <w:t>uni</w:t>
      </w:r>
      <w:proofErr w:type="spellEnd"/>
      <w:r w:rsidR="000472F7">
        <w:t>-dimensional measure (“D</w:t>
      </w:r>
      <w:r w:rsidR="00997A5D" w:rsidRPr="00A52FE1">
        <w:t>oes your organisation learn from other organisations</w:t>
      </w:r>
      <w:r w:rsidR="000472F7">
        <w:t xml:space="preserve">?”  </w:t>
      </w:r>
      <w:proofErr w:type="gramStart"/>
      <w:r w:rsidR="000472F7">
        <w:t>and</w:t>
      </w:r>
      <w:proofErr w:type="gramEnd"/>
      <w:r w:rsidR="000472F7">
        <w:t xml:space="preserve"> “</w:t>
      </w:r>
      <w:r w:rsidR="00997A5D" w:rsidRPr="00A52FE1">
        <w:t>If, so, how many does it learn from regularly</w:t>
      </w:r>
      <w:r w:rsidR="000472F7">
        <w:t>?”</w:t>
      </w:r>
      <w:r w:rsidR="00997A5D" w:rsidRPr="00A52FE1">
        <w:t xml:space="preserve">) </w:t>
      </w:r>
      <w:proofErr w:type="gramStart"/>
      <w:r w:rsidR="00997A5D" w:rsidRPr="00A52FE1">
        <w:t>to</w:t>
      </w:r>
      <w:proofErr w:type="gramEnd"/>
      <w:r w:rsidR="00997A5D" w:rsidRPr="00A52FE1">
        <w:t xml:space="preserve"> help ascertain construct validity and to encourage the respondent to begin thinking about absorptive capacity. The survey then moved on to four separate section</w:t>
      </w:r>
      <w:r w:rsidR="00E56EE1" w:rsidRPr="00A52FE1">
        <w:t>s</w:t>
      </w:r>
      <w:r w:rsidR="00997A5D" w:rsidRPr="00A52FE1">
        <w:t xml:space="preserve"> on each of the hypothesised sub-constructs (acquisition, assimilation, transformation and exploitation). </w:t>
      </w:r>
    </w:p>
    <w:p w14:paraId="4A64C5AB" w14:textId="77777777" w:rsidR="0030533F" w:rsidRDefault="0030533F" w:rsidP="0030533F">
      <w:pPr>
        <w:spacing w:after="0" w:line="360" w:lineRule="auto"/>
      </w:pPr>
    </w:p>
    <w:p w14:paraId="733BD8F9" w14:textId="0A84330E" w:rsidR="00E56EE1" w:rsidRDefault="004D40D6" w:rsidP="0030533F">
      <w:pPr>
        <w:spacing w:after="0" w:line="360" w:lineRule="auto"/>
      </w:pPr>
      <w:r>
        <w:t>D</w:t>
      </w:r>
      <w:r w:rsidR="00997A5D" w:rsidRPr="00A52FE1">
        <w:t xml:space="preserve">iffering </w:t>
      </w:r>
      <w:r w:rsidR="003A6653" w:rsidRPr="00A52FE1">
        <w:t>slightly</w:t>
      </w:r>
      <w:r w:rsidR="00997A5D" w:rsidRPr="00A52FE1">
        <w:t xml:space="preserve"> in the nu</w:t>
      </w:r>
      <w:r w:rsidR="003A6653" w:rsidRPr="00A52FE1">
        <w:t>m</w:t>
      </w:r>
      <w:r w:rsidR="00997A5D" w:rsidRPr="00A52FE1">
        <w:t xml:space="preserve">ber of items </w:t>
      </w:r>
      <w:r w:rsidR="003A6653" w:rsidRPr="00A52FE1">
        <w:t>used</w:t>
      </w:r>
      <w:r w:rsidR="00E56EE1" w:rsidRPr="00A52FE1">
        <w:t>,</w:t>
      </w:r>
      <w:r w:rsidR="003A6653" w:rsidRPr="00A52FE1">
        <w:t xml:space="preserve"> </w:t>
      </w:r>
      <w:r w:rsidR="00997A5D" w:rsidRPr="00A52FE1">
        <w:t xml:space="preserve">each </w:t>
      </w:r>
      <w:r w:rsidR="003A6653" w:rsidRPr="00A52FE1">
        <w:t xml:space="preserve">section included </w:t>
      </w:r>
      <w:r w:rsidR="00E56EE1" w:rsidRPr="00A52FE1">
        <w:t xml:space="preserve">three </w:t>
      </w:r>
      <w:r w:rsidR="00B82251">
        <w:t>question banks which</w:t>
      </w:r>
      <w:r w:rsidR="003A6653" w:rsidRPr="00A52FE1">
        <w:t xml:space="preserve"> asked the respondent to think about one organisatio</w:t>
      </w:r>
      <w:r w:rsidR="00B82251">
        <w:t xml:space="preserve">n they learn from regularly, </w:t>
      </w:r>
      <w:r w:rsidR="003A6653" w:rsidRPr="00A52FE1">
        <w:t xml:space="preserve">to </w:t>
      </w:r>
      <w:r w:rsidR="00B82251">
        <w:t>then compare their organisation with</w:t>
      </w:r>
      <w:r w:rsidR="003A6653" w:rsidRPr="00A52FE1">
        <w:t xml:space="preserve"> others in the industry and</w:t>
      </w:r>
      <w:r w:rsidR="00B82251">
        <w:t>, finally,</w:t>
      </w:r>
      <w:r w:rsidR="003A6653" w:rsidRPr="00A52FE1">
        <w:t xml:space="preserve"> to describe their own organisation</w:t>
      </w:r>
      <w:r w:rsidR="00B82251">
        <w:t>’</w:t>
      </w:r>
      <w:r w:rsidR="003A6653" w:rsidRPr="00A52FE1">
        <w:t xml:space="preserve">s activity. </w:t>
      </w:r>
      <w:r w:rsidR="00B82251">
        <w:t xml:space="preserve"> </w:t>
      </w:r>
      <w:r w:rsidR="003A6653" w:rsidRPr="00A52FE1">
        <w:t xml:space="preserve">The statements were generated using previously validated scales </w:t>
      </w:r>
      <w:r w:rsidR="00B82251">
        <w:t xml:space="preserve">which were </w:t>
      </w:r>
      <w:r w:rsidR="003A6653" w:rsidRPr="00A52FE1">
        <w:t>a</w:t>
      </w:r>
      <w:r w:rsidR="008B5216">
        <w:t xml:space="preserve">dapted for the meetings industry </w:t>
      </w:r>
      <w:r w:rsidR="003A6653" w:rsidRPr="00A52FE1">
        <w:t xml:space="preserve">using the terminology that arose in the pre-survey interviews.  A five point response scale was used for each statement. </w:t>
      </w:r>
      <w:r w:rsidR="00E56EE1" w:rsidRPr="00A52FE1">
        <w:t>Further statement</w:t>
      </w:r>
      <w:r w:rsidR="00B96CC4" w:rsidRPr="00A52FE1">
        <w:t>s were then used to assess the</w:t>
      </w:r>
      <w:r w:rsidR="00E56EE1" w:rsidRPr="00A52FE1">
        <w:t xml:space="preserve"> overall rating of </w:t>
      </w:r>
      <w:r w:rsidR="001021D7" w:rsidRPr="00A52FE1">
        <w:t xml:space="preserve">their potential (acquisition and assimilation) and realized (transformation and </w:t>
      </w:r>
      <w:r w:rsidR="001021D7" w:rsidRPr="00A52FE1">
        <w:lastRenderedPageBreak/>
        <w:t>exploitation)</w:t>
      </w:r>
      <w:r w:rsidR="00B96CC4" w:rsidRPr="00A52FE1">
        <w:t xml:space="preserve"> absorptive capacity,</w:t>
      </w:r>
      <w:r w:rsidR="001021D7" w:rsidRPr="00A52FE1">
        <w:t xml:space="preserve"> asked as a comparison with others in the industry. The survey conclude</w:t>
      </w:r>
      <w:r w:rsidR="006A3331" w:rsidRPr="00A52FE1">
        <w:t>d</w:t>
      </w:r>
      <w:r w:rsidR="001021D7" w:rsidRPr="00A52FE1">
        <w:t xml:space="preserve"> with open questions</w:t>
      </w:r>
      <w:r w:rsidR="00B96CC4" w:rsidRPr="00A52FE1">
        <w:t xml:space="preserve"> inviting </w:t>
      </w:r>
      <w:r w:rsidR="006A3331" w:rsidRPr="00A52FE1">
        <w:t xml:space="preserve">a description of </w:t>
      </w:r>
      <w:r w:rsidR="001021D7" w:rsidRPr="00A52FE1">
        <w:t xml:space="preserve">a recent innovation in the business and </w:t>
      </w:r>
      <w:r w:rsidR="006A3331" w:rsidRPr="00A52FE1">
        <w:t xml:space="preserve">an </w:t>
      </w:r>
      <w:r w:rsidR="001021D7" w:rsidRPr="00A52FE1">
        <w:t>expla</w:t>
      </w:r>
      <w:r w:rsidR="006A3331" w:rsidRPr="00A52FE1">
        <w:t xml:space="preserve">nation of </w:t>
      </w:r>
      <w:r w:rsidR="001021D7" w:rsidRPr="00A52FE1">
        <w:t>how it came about</w:t>
      </w:r>
      <w:r w:rsidR="00B96CC4" w:rsidRPr="00A52FE1">
        <w:t>,</w:t>
      </w:r>
      <w:r w:rsidR="001021D7" w:rsidRPr="00A52FE1">
        <w:t xml:space="preserve"> </w:t>
      </w:r>
      <w:r w:rsidR="006A3331" w:rsidRPr="00A52FE1">
        <w:t>potentially providing examples of absorptive capacity in practice. A</w:t>
      </w:r>
      <w:r w:rsidR="001021D7" w:rsidRPr="00A52FE1">
        <w:t xml:space="preserve"> final scale question rat</w:t>
      </w:r>
      <w:r w:rsidR="006A3331" w:rsidRPr="00A52FE1">
        <w:t>ing</w:t>
      </w:r>
      <w:r w:rsidR="00B96CC4" w:rsidRPr="00A52FE1">
        <w:t xml:space="preserve"> the</w:t>
      </w:r>
      <w:r w:rsidR="001021D7" w:rsidRPr="00A52FE1">
        <w:t xml:space="preserve"> organisation’s innovativeness against the sector as a whole</w:t>
      </w:r>
      <w:r w:rsidR="006A3331" w:rsidRPr="00A52FE1">
        <w:t xml:space="preserve"> allowed for a</w:t>
      </w:r>
      <w:r w:rsidR="001021D7" w:rsidRPr="00A52FE1">
        <w:t xml:space="preserve"> comparison between the absorptive </w:t>
      </w:r>
      <w:proofErr w:type="gramStart"/>
      <w:r w:rsidR="001021D7" w:rsidRPr="00A52FE1">
        <w:t>capacity</w:t>
      </w:r>
      <w:proofErr w:type="gramEnd"/>
      <w:r w:rsidR="001021D7" w:rsidRPr="00A52FE1">
        <w:t xml:space="preserve"> of those who thought of their organisation as highly innovative with those who thought they were less so.</w:t>
      </w:r>
    </w:p>
    <w:p w14:paraId="38DE7CC1" w14:textId="77777777" w:rsidR="0030533F" w:rsidRPr="00A52FE1" w:rsidRDefault="0030533F" w:rsidP="0030533F">
      <w:pPr>
        <w:spacing w:after="0" w:line="360" w:lineRule="auto"/>
      </w:pPr>
    </w:p>
    <w:p w14:paraId="337C563D" w14:textId="0E758820" w:rsidR="00B96CC4" w:rsidRDefault="007E1922" w:rsidP="0030533F">
      <w:pPr>
        <w:spacing w:after="0" w:line="360" w:lineRule="auto"/>
      </w:pPr>
      <w:r w:rsidRPr="00A52FE1">
        <w:t xml:space="preserve">A pilot test of twenty organisations in the meetings industry gave an estimate of the </w:t>
      </w:r>
      <w:r w:rsidR="00CF64EB" w:rsidRPr="00A52FE1">
        <w:t xml:space="preserve">expected </w:t>
      </w:r>
      <w:r w:rsidRPr="00A52FE1">
        <w:t>level of non-response (5 out of 20)</w:t>
      </w:r>
      <w:r w:rsidR="0088676C" w:rsidRPr="00A52FE1">
        <w:t>. F</w:t>
      </w:r>
      <w:r w:rsidR="00B96CC4" w:rsidRPr="00A52FE1">
        <w:t>ollow-</w:t>
      </w:r>
      <w:r w:rsidRPr="00A52FE1">
        <w:t>up telephone interviews were used to identify the</w:t>
      </w:r>
      <w:r w:rsidR="00B82251">
        <w:t xml:space="preserve"> reasons for this and design weaknesses</w:t>
      </w:r>
      <w:r w:rsidRPr="00A52FE1">
        <w:t xml:space="preserve"> with</w:t>
      </w:r>
      <w:r w:rsidR="00B82251">
        <w:t>in</w:t>
      </w:r>
      <w:r w:rsidRPr="00A52FE1">
        <w:t xml:space="preserve"> the questionnaire.</w:t>
      </w:r>
      <w:r w:rsidR="00B82251">
        <w:t xml:space="preserve">  </w:t>
      </w:r>
      <w:r w:rsidRPr="00A52FE1">
        <w:t xml:space="preserve">Based on the pilot </w:t>
      </w:r>
      <w:r w:rsidR="00CF64EB" w:rsidRPr="00A52FE1">
        <w:t>test</w:t>
      </w:r>
      <w:r w:rsidR="00B96CC4" w:rsidRPr="00A52FE1">
        <w:t>,</w:t>
      </w:r>
      <w:r w:rsidR="00CF64EB" w:rsidRPr="00A52FE1">
        <w:t xml:space="preserve"> </w:t>
      </w:r>
      <w:r w:rsidRPr="00A52FE1">
        <w:t xml:space="preserve">changes were made to wording, format and the introductory text. </w:t>
      </w:r>
      <w:r w:rsidR="001021D7" w:rsidRPr="00A52FE1">
        <w:t xml:space="preserve">Using the ICCA </w:t>
      </w:r>
      <w:r w:rsidR="00F4111E" w:rsidRPr="00A52FE1">
        <w:t xml:space="preserve">global </w:t>
      </w:r>
      <w:r w:rsidR="001021D7" w:rsidRPr="00A52FE1">
        <w:t>membership database</w:t>
      </w:r>
      <w:r w:rsidR="00B96CC4" w:rsidRPr="00A52FE1">
        <w:t>,</w:t>
      </w:r>
      <w:r w:rsidR="001021D7" w:rsidRPr="00A52FE1">
        <w:t xml:space="preserve"> a sampling frame of </w:t>
      </w:r>
      <w:r w:rsidR="00E42C62" w:rsidRPr="00A52FE1">
        <w:t>1018</w:t>
      </w:r>
      <w:r w:rsidR="001021D7" w:rsidRPr="00A52FE1">
        <w:t xml:space="preserve"> was identified</w:t>
      </w:r>
      <w:r w:rsidR="00B96CC4" w:rsidRPr="00A52FE1">
        <w:t xml:space="preserve">, comprising </w:t>
      </w:r>
      <w:r w:rsidR="00541386" w:rsidRPr="00A52FE1">
        <w:t>3</w:t>
      </w:r>
      <w:r w:rsidR="00A47860" w:rsidRPr="00A52FE1">
        <w:t>32 venues, 257</w:t>
      </w:r>
      <w:r w:rsidR="00E42C62" w:rsidRPr="00A52FE1">
        <w:t xml:space="preserve"> meeting management </w:t>
      </w:r>
      <w:r w:rsidR="00541386" w:rsidRPr="00A52FE1">
        <w:t xml:space="preserve">businesses, </w:t>
      </w:r>
      <w:r w:rsidR="00E42C62" w:rsidRPr="00A52FE1">
        <w:t>3</w:t>
      </w:r>
      <w:r w:rsidR="00A47860" w:rsidRPr="00A52FE1">
        <w:t>31</w:t>
      </w:r>
      <w:r w:rsidR="00E42C62" w:rsidRPr="00A52FE1">
        <w:t xml:space="preserve"> destination marketing</w:t>
      </w:r>
      <w:r w:rsidR="00541386" w:rsidRPr="00A52FE1">
        <w:t xml:space="preserve"> organisations</w:t>
      </w:r>
      <w:r w:rsidR="00E42C62" w:rsidRPr="00A52FE1">
        <w:t xml:space="preserve"> </w:t>
      </w:r>
      <w:r w:rsidR="00541386" w:rsidRPr="00A52FE1">
        <w:t xml:space="preserve"> and around </w:t>
      </w:r>
      <w:r w:rsidR="00A47860" w:rsidRPr="00A52FE1">
        <w:t>98</w:t>
      </w:r>
      <w:r w:rsidR="00541386" w:rsidRPr="00A52FE1">
        <w:t xml:space="preserve"> meeting support companies</w:t>
      </w:r>
      <w:r w:rsidR="00F4111E" w:rsidRPr="00A52FE1">
        <w:t xml:space="preserve"> from around the world</w:t>
      </w:r>
      <w:r w:rsidR="00B96CC4" w:rsidRPr="00A52FE1">
        <w:t xml:space="preserve"> (85 Africa/Middle E</w:t>
      </w:r>
      <w:r w:rsidR="00541386" w:rsidRPr="00A52FE1">
        <w:t>ast, 212 Asia Pacific, 572 Europe, 77 Latin</w:t>
      </w:r>
      <w:r w:rsidR="00A47860" w:rsidRPr="00A52FE1">
        <w:t xml:space="preserve"> America and 114 North America)</w:t>
      </w:r>
      <w:r w:rsidR="001021D7" w:rsidRPr="00A52FE1">
        <w:t>.</w:t>
      </w:r>
      <w:r w:rsidR="00F4111E" w:rsidRPr="00A52FE1">
        <w:t xml:space="preserve"> </w:t>
      </w:r>
      <w:r w:rsidR="001021D7" w:rsidRPr="00A52FE1">
        <w:t xml:space="preserve"> Due to the relatively low response rates encountered in previous studies (</w:t>
      </w:r>
      <w:r w:rsidR="00945287" w:rsidRPr="00A52FE1">
        <w:t>Jimenez-</w:t>
      </w:r>
      <w:proofErr w:type="spellStart"/>
      <w:r w:rsidR="00945287" w:rsidRPr="00A52FE1">
        <w:t>Barriouevo</w:t>
      </w:r>
      <w:proofErr w:type="spellEnd"/>
      <w:r w:rsidR="00945287" w:rsidRPr="00A52FE1">
        <w:t xml:space="preserve"> et al, 2011; Flatten et al 2011; </w:t>
      </w:r>
      <w:proofErr w:type="spellStart"/>
      <w:r w:rsidR="00945287" w:rsidRPr="00A52FE1">
        <w:t>Daspi</w:t>
      </w:r>
      <w:r w:rsidR="00DB0095">
        <w:t>t</w:t>
      </w:r>
      <w:proofErr w:type="spellEnd"/>
      <w:r w:rsidR="00DB0095">
        <w:t xml:space="preserve"> and</w:t>
      </w:r>
      <w:r w:rsidR="00945287" w:rsidRPr="00A52FE1">
        <w:t xml:space="preserve"> D’Souza</w:t>
      </w:r>
      <w:r w:rsidR="00DB0095">
        <w:t>, 2013 and Thomas and</w:t>
      </w:r>
      <w:r w:rsidR="00B96CC4" w:rsidRPr="00A52FE1">
        <w:t xml:space="preserve"> Wood, 2014), </w:t>
      </w:r>
      <w:r w:rsidR="001021D7" w:rsidRPr="00A52FE1">
        <w:t xml:space="preserve">the survey was sent to named individuals in </w:t>
      </w:r>
      <w:r w:rsidR="00D1442D" w:rsidRPr="00A52FE1">
        <w:t>all 1018</w:t>
      </w:r>
      <w:r w:rsidR="001021D7" w:rsidRPr="00A52FE1">
        <w:t xml:space="preserve"> organisations. </w:t>
      </w:r>
      <w:r w:rsidR="00136621" w:rsidRPr="00A52FE1">
        <w:t xml:space="preserve"> </w:t>
      </w:r>
    </w:p>
    <w:p w14:paraId="02EC289B" w14:textId="77777777" w:rsidR="0030533F" w:rsidRPr="00A52FE1" w:rsidRDefault="0030533F" w:rsidP="0030533F">
      <w:pPr>
        <w:spacing w:after="0" w:line="360" w:lineRule="auto"/>
      </w:pPr>
    </w:p>
    <w:p w14:paraId="3CFCA120" w14:textId="06104D14" w:rsidR="00462024" w:rsidRDefault="00136621" w:rsidP="0030533F">
      <w:pPr>
        <w:spacing w:after="0" w:line="360" w:lineRule="auto"/>
      </w:pPr>
      <w:r w:rsidRPr="00A52FE1">
        <w:t xml:space="preserve">Emails were sent from </w:t>
      </w:r>
      <w:r w:rsidR="00945287" w:rsidRPr="00A52FE1">
        <w:t>a known source (</w:t>
      </w:r>
      <w:r w:rsidRPr="00A52FE1">
        <w:t>ICCA</w:t>
      </w:r>
      <w:r w:rsidR="00945287" w:rsidRPr="00A52FE1">
        <w:t>)</w:t>
      </w:r>
      <w:r w:rsidRPr="00A52FE1">
        <w:t xml:space="preserve"> explaining the project and including the </w:t>
      </w:r>
      <w:proofErr w:type="spellStart"/>
      <w:r w:rsidRPr="00A52FE1">
        <w:t>weblink</w:t>
      </w:r>
      <w:proofErr w:type="spellEnd"/>
      <w:r w:rsidRPr="00A52FE1">
        <w:t xml:space="preserve"> to the survey. </w:t>
      </w:r>
      <w:r w:rsidR="00723BAA" w:rsidRPr="00A52FE1">
        <w:t>In order to avoid duplication by having more than one member from each organisation, emails w</w:t>
      </w:r>
      <w:r w:rsidRPr="00A52FE1">
        <w:t>ere</w:t>
      </w:r>
      <w:r w:rsidR="00723BAA" w:rsidRPr="00A52FE1">
        <w:t xml:space="preserve"> sent to the most senior member of the subscribing organisation</w:t>
      </w:r>
      <w:r w:rsidRPr="00A52FE1">
        <w:t xml:space="preserve"> only</w:t>
      </w:r>
      <w:r w:rsidR="00723BAA" w:rsidRPr="00A52FE1">
        <w:t>.</w:t>
      </w:r>
      <w:r w:rsidR="004D44C1" w:rsidRPr="00A52FE1">
        <w:t xml:space="preserve"> Although other studies have gathered data from employees (</w:t>
      </w:r>
      <w:r w:rsidR="00DE54FD" w:rsidRPr="00A52FE1">
        <w:t>Flatten et al, 2011</w:t>
      </w:r>
      <w:r w:rsidR="004D44C1" w:rsidRPr="00A52FE1">
        <w:t>)</w:t>
      </w:r>
      <w:r w:rsidR="00895496" w:rsidRPr="00A52FE1">
        <w:t>,</w:t>
      </w:r>
      <w:r w:rsidR="004D44C1" w:rsidRPr="00A52FE1">
        <w:t xml:space="preserve"> it was felt that those in more seni</w:t>
      </w:r>
      <w:r w:rsidR="00F90E7C">
        <w:t xml:space="preserve">or positions would provide better informed </w:t>
      </w:r>
      <w:r w:rsidR="004D44C1" w:rsidRPr="00A52FE1">
        <w:t>responses given the role they play in influen</w:t>
      </w:r>
      <w:r w:rsidR="00895496" w:rsidRPr="00A52FE1">
        <w:t>cing the organisational culture</w:t>
      </w:r>
      <w:r w:rsidR="004D44C1" w:rsidRPr="00A52FE1">
        <w:t xml:space="preserve"> within which innovat</w:t>
      </w:r>
      <w:r w:rsidR="00B82251">
        <w:t>ion takes place</w:t>
      </w:r>
      <w:r w:rsidR="00F90E7C">
        <w:t xml:space="preserve"> (</w:t>
      </w:r>
      <w:proofErr w:type="spellStart"/>
      <w:r w:rsidR="00DB0095">
        <w:t>DeGroot</w:t>
      </w:r>
      <w:proofErr w:type="spellEnd"/>
      <w:r w:rsidR="00DB0095">
        <w:t xml:space="preserve">, </w:t>
      </w:r>
      <w:proofErr w:type="spellStart"/>
      <w:r w:rsidR="00DB0095">
        <w:t>Kiker</w:t>
      </w:r>
      <w:proofErr w:type="spellEnd"/>
      <w:r w:rsidR="00DB0095">
        <w:t xml:space="preserve"> and</w:t>
      </w:r>
      <w:r w:rsidR="00E27676">
        <w:t xml:space="preserve"> Cross, 2009; </w:t>
      </w:r>
      <w:proofErr w:type="spellStart"/>
      <w:r w:rsidR="00DB0095">
        <w:t>Elenkov</w:t>
      </w:r>
      <w:proofErr w:type="spellEnd"/>
      <w:r w:rsidR="00DB0095">
        <w:t>, Judge and</w:t>
      </w:r>
      <w:r w:rsidR="00F90E7C">
        <w:t xml:space="preserve"> Wright, 2005)</w:t>
      </w:r>
      <w:r w:rsidR="00895496" w:rsidRPr="00A52FE1">
        <w:t>.</w:t>
      </w:r>
      <w:r w:rsidR="00723BAA" w:rsidRPr="00A52FE1">
        <w:t xml:space="preserve">  </w:t>
      </w:r>
      <w:r w:rsidR="00895496" w:rsidRPr="00A52FE1">
        <w:t>I</w:t>
      </w:r>
      <w:r w:rsidR="00723BAA" w:rsidRPr="00A52FE1">
        <w:t xml:space="preserve">n addition to the initial invitation, two reminders were sent.  This resulted in </w:t>
      </w:r>
      <w:r w:rsidR="009E5E0B" w:rsidRPr="00A52FE1">
        <w:t>322</w:t>
      </w:r>
      <w:r w:rsidR="00723BAA" w:rsidRPr="00A52FE1">
        <w:t xml:space="preserve"> replies which represents a</w:t>
      </w:r>
      <w:r w:rsidR="004D44C1" w:rsidRPr="00A52FE1">
        <w:t>n initial</w:t>
      </w:r>
      <w:r w:rsidR="00723BAA" w:rsidRPr="00A52FE1">
        <w:t xml:space="preserve"> response rate of </w:t>
      </w:r>
      <w:r w:rsidR="00541386" w:rsidRPr="00A52FE1">
        <w:t>31.6%</w:t>
      </w:r>
      <w:r w:rsidR="00723BAA" w:rsidRPr="00A52FE1">
        <w:t xml:space="preserve">. </w:t>
      </w:r>
      <w:r w:rsidR="009E5E0B" w:rsidRPr="00A52FE1">
        <w:t>After data cleaning and removal of those with substantial missing data</w:t>
      </w:r>
      <w:r w:rsidR="00895496" w:rsidRPr="00A52FE1">
        <w:t>,</w:t>
      </w:r>
      <w:r w:rsidR="009E5E0B" w:rsidRPr="00A52FE1">
        <w:t xml:space="preserve"> there were </w:t>
      </w:r>
      <w:r w:rsidR="0024711E" w:rsidRPr="00A52FE1">
        <w:t>208</w:t>
      </w:r>
      <w:r w:rsidR="009E5E0B" w:rsidRPr="00A52FE1">
        <w:t xml:space="preserve"> </w:t>
      </w:r>
      <w:r w:rsidR="0024711E" w:rsidRPr="00A52FE1">
        <w:t xml:space="preserve">full </w:t>
      </w:r>
      <w:r w:rsidR="009E5E0B" w:rsidRPr="00A52FE1">
        <w:t>responses</w:t>
      </w:r>
      <w:r w:rsidR="00895496" w:rsidRPr="00A52FE1">
        <w:t>,</w:t>
      </w:r>
      <w:r w:rsidR="009E5E0B" w:rsidRPr="00A52FE1">
        <w:t xml:space="preserve"> </w:t>
      </w:r>
      <w:r w:rsidR="005D6C94" w:rsidRPr="00A52FE1">
        <w:t xml:space="preserve">giving a final </w:t>
      </w:r>
      <w:r w:rsidR="004D44C1" w:rsidRPr="00A52FE1">
        <w:t>response</w:t>
      </w:r>
      <w:r w:rsidR="005D6C94" w:rsidRPr="00A52FE1">
        <w:t xml:space="preserve"> ra</w:t>
      </w:r>
      <w:r w:rsidR="00541386" w:rsidRPr="00A52FE1">
        <w:t>te of 20.4</w:t>
      </w:r>
      <w:r w:rsidR="005D6C94" w:rsidRPr="00A52FE1">
        <w:t>%</w:t>
      </w:r>
      <w:r w:rsidR="009E5E0B" w:rsidRPr="00A52FE1">
        <w:t>.</w:t>
      </w:r>
      <w:r w:rsidR="005D6C94" w:rsidRPr="00A52FE1">
        <w:t xml:space="preserve"> </w:t>
      </w:r>
      <w:r w:rsidR="00895496" w:rsidRPr="00A52FE1">
        <w:t xml:space="preserve">This is </w:t>
      </w:r>
      <w:r w:rsidR="004D44C1" w:rsidRPr="00A52FE1">
        <w:t>typical</w:t>
      </w:r>
      <w:r w:rsidR="005D6C94" w:rsidRPr="00A52FE1">
        <w:t xml:space="preserve"> of similar surveys</w:t>
      </w:r>
      <w:r w:rsidR="00541386" w:rsidRPr="00A52FE1">
        <w:t xml:space="preserve"> and higher than many. Some level of non-response</w:t>
      </w:r>
      <w:r w:rsidR="004D44C1" w:rsidRPr="00A52FE1">
        <w:t xml:space="preserve"> </w:t>
      </w:r>
      <w:r w:rsidR="00895496" w:rsidRPr="00A52FE1">
        <w:t>wa</w:t>
      </w:r>
      <w:r w:rsidR="00541386" w:rsidRPr="00A52FE1">
        <w:t xml:space="preserve">s </w:t>
      </w:r>
      <w:r w:rsidR="00895496" w:rsidRPr="00A52FE1">
        <w:t>expected because of</w:t>
      </w:r>
      <w:r w:rsidR="005D6C94" w:rsidRPr="00A52FE1">
        <w:t xml:space="preserve"> the </w:t>
      </w:r>
      <w:r w:rsidR="0024711E" w:rsidRPr="00A52FE1">
        <w:t xml:space="preserve">complexity of the questions and the time constraints on those in </w:t>
      </w:r>
      <w:r w:rsidR="005D6C94" w:rsidRPr="00A52FE1">
        <w:t>s</w:t>
      </w:r>
      <w:r w:rsidR="004D44C1" w:rsidRPr="00A52FE1">
        <w:t>e</w:t>
      </w:r>
      <w:r w:rsidR="005D6C94" w:rsidRPr="00A52FE1">
        <w:t>nior position</w:t>
      </w:r>
      <w:r w:rsidR="0024711E" w:rsidRPr="00A52FE1">
        <w:t>s</w:t>
      </w:r>
      <w:r w:rsidR="004D44C1" w:rsidRPr="00A52FE1">
        <w:t xml:space="preserve"> </w:t>
      </w:r>
      <w:r w:rsidR="005D6C94" w:rsidRPr="00A52FE1">
        <w:t>b</w:t>
      </w:r>
      <w:r w:rsidR="004D44C1" w:rsidRPr="00A52FE1">
        <w:t>e</w:t>
      </w:r>
      <w:r w:rsidR="005D6C94" w:rsidRPr="00A52FE1">
        <w:t xml:space="preserve">ing surveyed. </w:t>
      </w:r>
    </w:p>
    <w:p w14:paraId="612FD430" w14:textId="77777777" w:rsidR="0030533F" w:rsidRDefault="0030533F" w:rsidP="0030533F">
      <w:pPr>
        <w:spacing w:after="0" w:line="360" w:lineRule="auto"/>
      </w:pPr>
    </w:p>
    <w:p w14:paraId="59FFC510" w14:textId="17E43F23" w:rsidR="00136621" w:rsidRDefault="00462024" w:rsidP="0030533F">
      <w:pPr>
        <w:spacing w:after="0" w:line="360" w:lineRule="auto"/>
      </w:pPr>
      <w:r>
        <w:t>N</w:t>
      </w:r>
      <w:r w:rsidR="005D6C94" w:rsidRPr="00A52FE1">
        <w:t>on-</w:t>
      </w:r>
      <w:r w:rsidR="004D44C1" w:rsidRPr="00A52FE1">
        <w:t>response</w:t>
      </w:r>
      <w:r w:rsidR="005D6C94" w:rsidRPr="00A52FE1">
        <w:t xml:space="preserve"> bias using Armstrong and Overton’s (1977) extrapolation method (comparing early </w:t>
      </w:r>
      <w:r w:rsidR="004D44C1" w:rsidRPr="00A52FE1">
        <w:t>and late responders</w:t>
      </w:r>
      <w:r w:rsidR="005D6C94" w:rsidRPr="00A52FE1">
        <w:t>)</w:t>
      </w:r>
      <w:r>
        <w:t xml:space="preserve"> revealed</w:t>
      </w:r>
      <w:r w:rsidR="005D6C94" w:rsidRPr="00A52FE1">
        <w:t xml:space="preserve"> no significant difference</w:t>
      </w:r>
      <w:r w:rsidR="00DE54FD" w:rsidRPr="00A52FE1">
        <w:t>s</w:t>
      </w:r>
      <w:r w:rsidR="005D6C94" w:rsidRPr="00A52FE1">
        <w:t xml:space="preserve"> betw</w:t>
      </w:r>
      <w:r w:rsidR="00895496" w:rsidRPr="00A52FE1">
        <w:t>ee</w:t>
      </w:r>
      <w:r w:rsidR="003E48A5">
        <w:t>n the two groups</w:t>
      </w:r>
      <w:r w:rsidR="00895496" w:rsidRPr="00A52FE1">
        <w:t xml:space="preserve"> (t</w:t>
      </w:r>
      <w:r w:rsidR="005D6C94" w:rsidRPr="00A52FE1">
        <w:t xml:space="preserve">he assumption </w:t>
      </w:r>
      <w:r w:rsidR="00DE54FD" w:rsidRPr="00A52FE1">
        <w:t xml:space="preserve">being </w:t>
      </w:r>
      <w:r w:rsidR="005D6C94" w:rsidRPr="00A52FE1">
        <w:t>that non-</w:t>
      </w:r>
      <w:r w:rsidR="00DE54FD" w:rsidRPr="00A52FE1">
        <w:t>responders</w:t>
      </w:r>
      <w:r w:rsidR="005D6C94" w:rsidRPr="00A52FE1">
        <w:t xml:space="preserve"> </w:t>
      </w:r>
      <w:r w:rsidR="00DE54FD" w:rsidRPr="00A52FE1">
        <w:t xml:space="preserve">are similar to late </w:t>
      </w:r>
      <w:r w:rsidR="005D6C94" w:rsidRPr="00A52FE1">
        <w:t>re</w:t>
      </w:r>
      <w:r w:rsidR="00DE54FD" w:rsidRPr="00A52FE1">
        <w:t>s</w:t>
      </w:r>
      <w:r w:rsidR="005D6C94" w:rsidRPr="00A52FE1">
        <w:t>ponders</w:t>
      </w:r>
      <w:r w:rsidR="00895496" w:rsidRPr="00A52FE1">
        <w:t>)</w:t>
      </w:r>
      <w:r w:rsidR="00DE54FD" w:rsidRPr="00A52FE1">
        <w:t>.</w:t>
      </w:r>
      <w:r w:rsidR="00895496" w:rsidRPr="00A52FE1">
        <w:t xml:space="preserve"> </w:t>
      </w:r>
      <w:r w:rsidR="00DE54FD" w:rsidRPr="00A52FE1">
        <w:t xml:space="preserve"> A further</w:t>
      </w:r>
      <w:r w:rsidR="005D6C94" w:rsidRPr="00A52FE1">
        <w:t xml:space="preserve"> investigation o</w:t>
      </w:r>
      <w:r w:rsidR="00DE54FD" w:rsidRPr="00A52FE1">
        <w:t>f the reasons for</w:t>
      </w:r>
      <w:r w:rsidR="005D6C94" w:rsidRPr="00A52FE1">
        <w:t xml:space="preserve"> </w:t>
      </w:r>
      <w:r w:rsidR="005D6C94" w:rsidRPr="00A52FE1">
        <w:lastRenderedPageBreak/>
        <w:t>non-</w:t>
      </w:r>
      <w:r w:rsidR="00DE54FD" w:rsidRPr="00A52FE1">
        <w:t>response</w:t>
      </w:r>
      <w:r w:rsidR="005D6C94" w:rsidRPr="00A52FE1">
        <w:t xml:space="preserve"> showed that most were related to changes in position, leave</w:t>
      </w:r>
      <w:r w:rsidR="0068643B" w:rsidRPr="00A52FE1">
        <w:t>/holiday</w:t>
      </w:r>
      <w:r w:rsidR="005D6C94" w:rsidRPr="00A52FE1">
        <w:t xml:space="preserve"> </w:t>
      </w:r>
      <w:r w:rsidR="00895496" w:rsidRPr="00A52FE1">
        <w:t xml:space="preserve">period </w:t>
      </w:r>
      <w:r w:rsidR="005D6C94" w:rsidRPr="00A52FE1">
        <w:t xml:space="preserve">or the survey </w:t>
      </w:r>
      <w:r w:rsidR="00895496" w:rsidRPr="00A52FE1">
        <w:t xml:space="preserve">being undertaken during a </w:t>
      </w:r>
      <w:r w:rsidR="005D6C94" w:rsidRPr="00A52FE1">
        <w:t>busy period. Given the relative homogeneity of the target popula</w:t>
      </w:r>
      <w:r w:rsidR="003E48A5">
        <w:t>tion (i</w:t>
      </w:r>
      <w:r w:rsidR="002F274D">
        <w:t>.</w:t>
      </w:r>
      <w:r w:rsidR="003E48A5">
        <w:t>e</w:t>
      </w:r>
      <w:r w:rsidR="002F274D">
        <w:t>.</w:t>
      </w:r>
      <w:r w:rsidR="003E48A5">
        <w:t xml:space="preserve"> a well-defined</w:t>
      </w:r>
      <w:r w:rsidR="005D6C94" w:rsidRPr="00A52FE1">
        <w:t xml:space="preserve"> sector)</w:t>
      </w:r>
      <w:r w:rsidR="004D44C1" w:rsidRPr="00A52FE1">
        <w:t xml:space="preserve"> albeit with hypothesised differences on the topic being researched, the level of confidence (95%) and the accuracy required</w:t>
      </w:r>
      <w:r w:rsidR="00895496" w:rsidRPr="00A52FE1">
        <w:t>,</w:t>
      </w:r>
      <w:r w:rsidR="004D44C1" w:rsidRPr="00A52FE1">
        <w:t xml:space="preserve"> </w:t>
      </w:r>
      <w:r w:rsidR="00D1442D" w:rsidRPr="00A52FE1">
        <w:t xml:space="preserve">suggested </w:t>
      </w:r>
      <w:r w:rsidR="004D44C1" w:rsidRPr="00A52FE1">
        <w:t xml:space="preserve">a final sample of over 200 was deemed acceptable for the analysis to be undertaken </w:t>
      </w:r>
      <w:r w:rsidR="00895496" w:rsidRPr="00A52FE1">
        <w:t>(</w:t>
      </w:r>
      <w:proofErr w:type="spellStart"/>
      <w:r w:rsidR="00895496" w:rsidRPr="00A52FE1">
        <w:t>Blunch</w:t>
      </w:r>
      <w:proofErr w:type="spellEnd"/>
      <w:r w:rsidR="00895496" w:rsidRPr="00A52FE1">
        <w:t>, 2013)</w:t>
      </w:r>
      <w:r w:rsidR="00206218">
        <w:t>,</w:t>
      </w:r>
      <w:r w:rsidR="00895496" w:rsidRPr="00A52FE1">
        <w:t xml:space="preserve"> </w:t>
      </w:r>
      <w:r w:rsidR="004D44C1" w:rsidRPr="00A52FE1">
        <w:t xml:space="preserve">including some sub-group analysis where numbers were sufficient. </w:t>
      </w:r>
    </w:p>
    <w:p w14:paraId="1B0D1D75" w14:textId="77777777" w:rsidR="0030533F" w:rsidRDefault="0030533F" w:rsidP="0030533F">
      <w:pPr>
        <w:spacing w:after="0" w:line="360" w:lineRule="auto"/>
      </w:pPr>
    </w:p>
    <w:p w14:paraId="2A56D03F" w14:textId="77777777" w:rsidR="009E3AB1" w:rsidRDefault="009E3AB1" w:rsidP="009E3AB1">
      <w:pPr>
        <w:spacing w:after="0" w:line="360" w:lineRule="auto"/>
        <w:rPr>
          <w:rFonts w:cstheme="minorHAnsi"/>
        </w:rPr>
      </w:pPr>
      <w:r w:rsidRPr="00A52FE1">
        <w:rPr>
          <w:rFonts w:cstheme="minorHAnsi"/>
        </w:rPr>
        <w:t>Inevitably, the study has limitations. Principal among these is the uncertainty about the extent to which the sampling frame is representative of the meetings industry.  It is possible to argue that the leading international representative association from which the sample was de</w:t>
      </w:r>
      <w:r>
        <w:rPr>
          <w:rFonts w:cstheme="minorHAnsi"/>
        </w:rPr>
        <w:t>rived</w:t>
      </w:r>
      <w:r w:rsidRPr="00A52FE1">
        <w:rPr>
          <w:rFonts w:cstheme="minorHAnsi"/>
        </w:rPr>
        <w:t xml:space="preserve"> </w:t>
      </w:r>
      <w:r>
        <w:rPr>
          <w:rFonts w:cstheme="minorHAnsi"/>
        </w:rPr>
        <w:t>will</w:t>
      </w:r>
      <w:r w:rsidRPr="00A52FE1">
        <w:rPr>
          <w:rFonts w:cstheme="minorHAnsi"/>
        </w:rPr>
        <w:t xml:space="preserve"> contain the most innovative of organisations in that sector.</w:t>
      </w:r>
      <w:r>
        <w:rPr>
          <w:rFonts w:cstheme="minorHAnsi"/>
        </w:rPr>
        <w:t xml:space="preserve"> Yet, t</w:t>
      </w:r>
      <w:r w:rsidRPr="00A52FE1">
        <w:rPr>
          <w:rFonts w:cstheme="minorHAnsi"/>
        </w:rPr>
        <w:t xml:space="preserve">his is equally difficult to substantiate.  </w:t>
      </w:r>
      <w:r>
        <w:rPr>
          <w:rFonts w:cstheme="minorHAnsi"/>
        </w:rPr>
        <w:t xml:space="preserve">It is possible, that by relying on the kind of formal network used in this study, important characteristics of organisations that choose not to belong, the majority, remain unearthed. </w:t>
      </w:r>
    </w:p>
    <w:p w14:paraId="5F7FD302" w14:textId="77777777" w:rsidR="009E3AB1" w:rsidRDefault="009E3AB1" w:rsidP="009E3AB1">
      <w:pPr>
        <w:spacing w:after="0" w:line="360" w:lineRule="auto"/>
        <w:rPr>
          <w:rFonts w:cstheme="minorHAnsi"/>
        </w:rPr>
      </w:pPr>
    </w:p>
    <w:p w14:paraId="2C8C27EB" w14:textId="6EA11FD6" w:rsidR="009E3AB1" w:rsidRPr="009E3AB1" w:rsidRDefault="009E3AB1" w:rsidP="0030533F">
      <w:pPr>
        <w:spacing w:after="0" w:line="360" w:lineRule="auto"/>
        <w:rPr>
          <w:rFonts w:cstheme="minorHAnsi"/>
        </w:rPr>
      </w:pPr>
      <w:r w:rsidRPr="00A52FE1">
        <w:rPr>
          <w:rFonts w:cstheme="minorHAnsi"/>
        </w:rPr>
        <w:t xml:space="preserve">The second limitation relates to the reliance on only one respondent from each organisation.  Though not unusual in this kind of research, a more reliable picture would emerge from multiple perspectives on each organisation.  </w:t>
      </w:r>
      <w:r>
        <w:rPr>
          <w:rFonts w:cstheme="minorHAnsi"/>
        </w:rPr>
        <w:t xml:space="preserve">Additional insights would also emerge from knowing more about the kinds of knowledge utilised by organisations in the meetings industry and its perceived relative value.  </w:t>
      </w:r>
    </w:p>
    <w:p w14:paraId="6ADF2B7B" w14:textId="77777777" w:rsidR="0030533F" w:rsidRPr="00A52FE1" w:rsidRDefault="0030533F" w:rsidP="0030533F">
      <w:pPr>
        <w:spacing w:after="0" w:line="360" w:lineRule="auto"/>
      </w:pPr>
    </w:p>
    <w:p w14:paraId="0F2D43EC" w14:textId="065A81D9" w:rsidR="0012448D" w:rsidRPr="00B04E42" w:rsidRDefault="00B04E42" w:rsidP="0030533F">
      <w:pPr>
        <w:spacing w:after="0" w:line="360" w:lineRule="auto"/>
      </w:pPr>
      <w:r>
        <w:t xml:space="preserve">4.0 </w:t>
      </w:r>
      <w:r w:rsidR="005D6866" w:rsidRPr="00B04E42">
        <w:t>A</w:t>
      </w:r>
      <w:r w:rsidR="0012448D" w:rsidRPr="00B04E42">
        <w:t>BSORPTIVE CAPACITY IN THE MEETINGS INDUSTRY</w:t>
      </w:r>
      <w:r w:rsidR="00B3502A" w:rsidRPr="00B04E42">
        <w:t xml:space="preserve"> </w:t>
      </w:r>
    </w:p>
    <w:p w14:paraId="64F649BA" w14:textId="77777777" w:rsidR="00F242D8" w:rsidRDefault="00F242D8" w:rsidP="0030533F">
      <w:pPr>
        <w:spacing w:after="0" w:line="360" w:lineRule="auto"/>
      </w:pPr>
    </w:p>
    <w:p w14:paraId="1D51362D" w14:textId="28E88EA1" w:rsidR="008C7FB4" w:rsidRDefault="00CF0CDD" w:rsidP="0030533F">
      <w:pPr>
        <w:spacing w:after="0" w:line="360" w:lineRule="auto"/>
        <w:rPr>
          <w:i/>
        </w:rPr>
      </w:pPr>
      <w:r>
        <w:rPr>
          <w:i/>
        </w:rPr>
        <w:t>4.1</w:t>
      </w:r>
      <w:r w:rsidR="00B04E42">
        <w:rPr>
          <w:i/>
        </w:rPr>
        <w:t xml:space="preserve"> </w:t>
      </w:r>
      <w:r w:rsidR="00B3502A" w:rsidRPr="00B04E42">
        <w:rPr>
          <w:i/>
        </w:rPr>
        <w:t xml:space="preserve">Survey </w:t>
      </w:r>
      <w:r w:rsidR="0012448D" w:rsidRPr="00B04E42">
        <w:rPr>
          <w:i/>
        </w:rPr>
        <w:t>s</w:t>
      </w:r>
      <w:r w:rsidR="00052F61" w:rsidRPr="00B04E42">
        <w:rPr>
          <w:i/>
        </w:rPr>
        <w:t>ample characteristics</w:t>
      </w:r>
    </w:p>
    <w:p w14:paraId="6CC5C23D" w14:textId="77777777" w:rsidR="00B04E42" w:rsidRPr="00B04E42" w:rsidRDefault="00B04E42" w:rsidP="0030533F">
      <w:pPr>
        <w:spacing w:after="0" w:line="360" w:lineRule="auto"/>
        <w:rPr>
          <w:i/>
        </w:rPr>
      </w:pPr>
    </w:p>
    <w:p w14:paraId="4F981F55" w14:textId="1DDE39D8" w:rsidR="00616329" w:rsidRDefault="004E1F1D" w:rsidP="0030533F">
      <w:pPr>
        <w:spacing w:after="0" w:line="360" w:lineRule="auto"/>
      </w:pPr>
      <w:r w:rsidRPr="00A52FE1">
        <w:t>The survey resulted in 39% of responses from dest</w:t>
      </w:r>
      <w:r w:rsidR="00D57D93">
        <w:t>ination marketing organisations,</w:t>
      </w:r>
      <w:r w:rsidRPr="00A52FE1">
        <w:t xml:space="preserve"> 35% from venues, 20% from </w:t>
      </w:r>
      <w:r w:rsidR="00895496" w:rsidRPr="00A52FE1">
        <w:t>PCOs</w:t>
      </w:r>
      <w:r w:rsidRPr="00A52FE1">
        <w:t xml:space="preserve"> and 6% </w:t>
      </w:r>
      <w:r w:rsidR="008C7FB4" w:rsidRPr="00A52FE1">
        <w:t xml:space="preserve">from meetings support companies. This represented a similar proportional breakdown to that found in the overall population (based on ICCA membership).  </w:t>
      </w:r>
      <w:r w:rsidR="00A004CC" w:rsidRPr="00A52FE1">
        <w:t>T</w:t>
      </w:r>
      <w:r w:rsidRPr="00A52FE1">
        <w:t xml:space="preserve">he majority </w:t>
      </w:r>
      <w:r w:rsidR="00D127AD" w:rsidRPr="00A52FE1">
        <w:t>of respondents</w:t>
      </w:r>
      <w:r w:rsidR="008C7FB4" w:rsidRPr="00A52FE1">
        <w:t xml:space="preserve"> within these organisations</w:t>
      </w:r>
      <w:r w:rsidR="00D127AD" w:rsidRPr="00A52FE1">
        <w:t xml:space="preserve"> held senior positions with 39%</w:t>
      </w:r>
      <w:r w:rsidR="008C7FB4" w:rsidRPr="00A52FE1">
        <w:t xml:space="preserve"> </w:t>
      </w:r>
      <w:r w:rsidR="00895496" w:rsidRPr="00A52FE1">
        <w:t xml:space="preserve">reporting themselves as </w:t>
      </w:r>
      <w:r w:rsidR="00D127AD" w:rsidRPr="00A52FE1">
        <w:t xml:space="preserve">CEOs, directors or owners, 11% </w:t>
      </w:r>
      <w:r w:rsidR="00895496" w:rsidRPr="00A52FE1">
        <w:t xml:space="preserve">as </w:t>
      </w:r>
      <w:r w:rsidR="00D127AD" w:rsidRPr="00A52FE1">
        <w:t xml:space="preserve">general managers and 23% </w:t>
      </w:r>
      <w:r w:rsidR="00895496" w:rsidRPr="00A52FE1">
        <w:t>as other senior manager</w:t>
      </w:r>
      <w:r w:rsidR="00D127AD" w:rsidRPr="00A52FE1">
        <w:t xml:space="preserve">s. </w:t>
      </w:r>
      <w:r w:rsidR="008C7FB4" w:rsidRPr="00A52FE1">
        <w:t xml:space="preserve"> A further </w:t>
      </w:r>
      <w:r w:rsidR="00D127AD" w:rsidRPr="00A52FE1">
        <w:t>28% were heads o</w:t>
      </w:r>
      <w:r w:rsidR="004B60DC" w:rsidRPr="00A52FE1">
        <w:t xml:space="preserve">f department or middle managers. </w:t>
      </w:r>
      <w:r w:rsidR="008C7FB4" w:rsidRPr="00A52FE1">
        <w:t>The l</w:t>
      </w:r>
      <w:r w:rsidR="004B60DC" w:rsidRPr="00A52FE1">
        <w:t>ength of time</w:t>
      </w:r>
      <w:r w:rsidR="008C7FB4" w:rsidRPr="00A52FE1">
        <w:t xml:space="preserve"> these respondents had held their </w:t>
      </w:r>
      <w:r w:rsidR="004B60DC" w:rsidRPr="00A52FE1">
        <w:t>post rang</w:t>
      </w:r>
      <w:r w:rsidR="008C7FB4" w:rsidRPr="00A52FE1">
        <w:t xml:space="preserve">ed </w:t>
      </w:r>
      <w:r w:rsidR="00A004CC" w:rsidRPr="00A52FE1">
        <w:t>from two months to twenty</w:t>
      </w:r>
      <w:r w:rsidR="008C7FB4" w:rsidRPr="00A52FE1">
        <w:t xml:space="preserve"> </w:t>
      </w:r>
      <w:r w:rsidR="004B60DC" w:rsidRPr="00A52FE1">
        <w:t xml:space="preserve">years </w:t>
      </w:r>
      <w:r w:rsidR="008C7FB4" w:rsidRPr="00A52FE1">
        <w:t xml:space="preserve">and their time with the organisation also showed a wide spread from less </w:t>
      </w:r>
      <w:r w:rsidR="00895496" w:rsidRPr="00A52FE1">
        <w:t>than a year to more than</w:t>
      </w:r>
      <w:r w:rsidR="00FB373B" w:rsidRPr="00A52FE1">
        <w:t xml:space="preserve"> forty years with a similar range for the age of the organisation. </w:t>
      </w:r>
    </w:p>
    <w:p w14:paraId="5FE2563A" w14:textId="77777777" w:rsidR="0030533F" w:rsidRPr="00A52FE1" w:rsidRDefault="0030533F" w:rsidP="0030533F">
      <w:pPr>
        <w:spacing w:after="0" w:line="360" w:lineRule="auto"/>
      </w:pPr>
    </w:p>
    <w:p w14:paraId="58CC3E36" w14:textId="715DC345" w:rsidR="008C7FB4" w:rsidRDefault="008C7FB4" w:rsidP="0030533F">
      <w:pPr>
        <w:spacing w:after="0" w:line="360" w:lineRule="auto"/>
      </w:pPr>
      <w:r w:rsidRPr="00A52FE1">
        <w:lastRenderedPageBreak/>
        <w:t>Organisational</w:t>
      </w:r>
      <w:r w:rsidR="002466CE" w:rsidRPr="00A52FE1">
        <w:t xml:space="preserve"> s</w:t>
      </w:r>
      <w:r w:rsidRPr="00A52FE1">
        <w:t>ize was measured using the number of full time equivalent employees</w:t>
      </w:r>
      <w:r w:rsidR="00895496" w:rsidRPr="00A52FE1">
        <w:t>.</w:t>
      </w:r>
      <w:r w:rsidR="00857485">
        <w:t xml:space="preserve"> </w:t>
      </w:r>
      <w:r w:rsidR="00895496" w:rsidRPr="00A52FE1">
        <w:t xml:space="preserve"> </w:t>
      </w:r>
      <w:r w:rsidR="00A004CC" w:rsidRPr="00A52FE1">
        <w:t>Predictably,</w:t>
      </w:r>
      <w:r w:rsidR="00FB373B" w:rsidRPr="00A52FE1">
        <w:t xml:space="preserve"> the majority of companies could be categoris</w:t>
      </w:r>
      <w:r w:rsidR="00B3502A" w:rsidRPr="00A52FE1">
        <w:t>ed</w:t>
      </w:r>
      <w:r w:rsidR="00FB373B" w:rsidRPr="00A52FE1">
        <w:t xml:space="preserve"> as small to medium sized but with a number of micro-businesses/sole traders and a small proportion of large companies (3.8% with more than 500 employees). This again gives a useful range of sample characteristics which can be used to explore </w:t>
      </w:r>
      <w:r w:rsidR="002F274D">
        <w:t xml:space="preserve">levels of </w:t>
      </w:r>
      <w:r w:rsidR="00FB373B" w:rsidRPr="00A52FE1">
        <w:t>absorptive capacity within the sector</w:t>
      </w:r>
      <w:r w:rsidR="00A004CC" w:rsidRPr="00A52FE1">
        <w:t>.</w:t>
      </w:r>
      <w:r w:rsidR="00FB373B" w:rsidRPr="00A52FE1">
        <w:t xml:space="preserve"> </w:t>
      </w:r>
    </w:p>
    <w:p w14:paraId="7F078E12" w14:textId="77777777" w:rsidR="0030533F" w:rsidRPr="00A52FE1" w:rsidRDefault="0030533F" w:rsidP="0030533F">
      <w:pPr>
        <w:spacing w:after="0" w:line="360" w:lineRule="auto"/>
      </w:pPr>
    </w:p>
    <w:p w14:paraId="34C89062" w14:textId="39797B0D" w:rsidR="00D127AD" w:rsidRDefault="00FB373B" w:rsidP="0030533F">
      <w:pPr>
        <w:spacing w:after="0" w:line="360" w:lineRule="auto"/>
      </w:pPr>
      <w:r w:rsidRPr="00A52FE1">
        <w:t>The final sam</w:t>
      </w:r>
      <w:r w:rsidR="00A004CC" w:rsidRPr="00A52FE1">
        <w:t>ple characteristic of</w:t>
      </w:r>
      <w:r w:rsidRPr="00A52FE1">
        <w:t xml:space="preserve"> </w:t>
      </w:r>
      <w:r w:rsidR="00A004CC" w:rsidRPr="00A52FE1">
        <w:t>interest was the number of</w:t>
      </w:r>
      <w:r w:rsidRPr="00A52FE1">
        <w:t xml:space="preserve"> organisations </w:t>
      </w:r>
      <w:r w:rsidR="00A004CC" w:rsidRPr="00A52FE1">
        <w:t xml:space="preserve">from whom </w:t>
      </w:r>
      <w:r w:rsidR="00886510">
        <w:t>respondents</w:t>
      </w:r>
      <w:r w:rsidR="00A004CC" w:rsidRPr="00A52FE1">
        <w:t xml:space="preserve"> regularly acquire knowledge, a</w:t>
      </w:r>
      <w:r w:rsidRPr="00A52FE1">
        <w:t xml:space="preserve">s this is </w:t>
      </w:r>
      <w:r w:rsidR="0062636D" w:rsidRPr="00A52FE1">
        <w:t>theorised</w:t>
      </w:r>
      <w:r w:rsidRPr="00A52FE1">
        <w:t xml:space="preserve"> </w:t>
      </w:r>
      <w:r w:rsidR="00A004CC" w:rsidRPr="00A52FE1">
        <w:t xml:space="preserve">to be </w:t>
      </w:r>
      <w:r w:rsidRPr="00A52FE1">
        <w:t>an important element of absorptive capacity</w:t>
      </w:r>
      <w:r w:rsidR="00895496" w:rsidRPr="00A52FE1">
        <w:t>.  In this case, almost a quarter (24%) reported learning from between one and three organisations regularly, almost half (49%) between four and six, eight per cent between seven and nin</w:t>
      </w:r>
      <w:r w:rsidR="00886510">
        <w:t>e, and eighteen percent claimed</w:t>
      </w:r>
      <w:r w:rsidR="00895496" w:rsidRPr="00A52FE1">
        <w:t xml:space="preserve"> to learn from ten or more organisations. </w:t>
      </w:r>
    </w:p>
    <w:p w14:paraId="6075742E" w14:textId="77777777" w:rsidR="0030533F" w:rsidRDefault="0030533F" w:rsidP="0030533F">
      <w:pPr>
        <w:spacing w:after="0" w:line="360" w:lineRule="auto"/>
      </w:pPr>
    </w:p>
    <w:p w14:paraId="11CCE2CB" w14:textId="77777777" w:rsidR="00E27676" w:rsidRPr="00A52FE1" w:rsidRDefault="00E27676" w:rsidP="0030533F">
      <w:pPr>
        <w:spacing w:after="0" w:line="360" w:lineRule="auto"/>
      </w:pPr>
    </w:p>
    <w:p w14:paraId="7B4B9E7D" w14:textId="6E2EAF70" w:rsidR="00052F61" w:rsidRDefault="000B4EB5" w:rsidP="0030533F">
      <w:pPr>
        <w:spacing w:after="0" w:line="360" w:lineRule="auto"/>
        <w:rPr>
          <w:i/>
        </w:rPr>
      </w:pPr>
      <w:proofErr w:type="gramStart"/>
      <w:r>
        <w:rPr>
          <w:i/>
        </w:rPr>
        <w:t xml:space="preserve">4.2 </w:t>
      </w:r>
      <w:r w:rsidR="00B04E42">
        <w:rPr>
          <w:i/>
        </w:rPr>
        <w:t xml:space="preserve"> </w:t>
      </w:r>
      <w:r w:rsidR="00052F61" w:rsidRPr="00B04E42">
        <w:rPr>
          <w:i/>
        </w:rPr>
        <w:t>Scale</w:t>
      </w:r>
      <w:proofErr w:type="gramEnd"/>
      <w:r w:rsidR="00052F61" w:rsidRPr="00B04E42">
        <w:rPr>
          <w:i/>
        </w:rPr>
        <w:t xml:space="preserve"> refinement</w:t>
      </w:r>
    </w:p>
    <w:p w14:paraId="60A12BAB" w14:textId="77777777" w:rsidR="00B04E42" w:rsidRPr="00B04E42" w:rsidRDefault="00B04E42" w:rsidP="0030533F">
      <w:pPr>
        <w:spacing w:after="0" w:line="360" w:lineRule="auto"/>
        <w:rPr>
          <w:i/>
        </w:rPr>
      </w:pPr>
    </w:p>
    <w:p w14:paraId="1F0C2D01" w14:textId="2541A286" w:rsidR="003615EC" w:rsidRDefault="00895496" w:rsidP="0030533F">
      <w:pPr>
        <w:spacing w:after="0" w:line="360" w:lineRule="auto"/>
      </w:pPr>
      <w:r w:rsidRPr="00A52FE1">
        <w:t xml:space="preserve">Before analysing the data </w:t>
      </w:r>
      <w:r w:rsidR="003615EC" w:rsidRPr="00A52FE1">
        <w:t xml:space="preserve">to explore absorptive </w:t>
      </w:r>
      <w:r w:rsidR="00052F61" w:rsidRPr="00A52FE1">
        <w:t>capacity</w:t>
      </w:r>
      <w:r w:rsidRPr="00A52FE1">
        <w:t xml:space="preserve"> within the meetings industry</w:t>
      </w:r>
      <w:r w:rsidR="004012AE">
        <w:t xml:space="preserve"> it wa</w:t>
      </w:r>
      <w:r w:rsidR="003615EC" w:rsidRPr="00A52FE1">
        <w:t xml:space="preserve">s necessary to conduct a preliminary analysis of each of the items within the scale. Several items were found to have very high means and/or a low variance. These were excluded from the scale as </w:t>
      </w:r>
      <w:r w:rsidR="008B113C" w:rsidRPr="00A52FE1">
        <w:t xml:space="preserve">they </w:t>
      </w:r>
      <w:r w:rsidR="003615EC" w:rsidRPr="00A52FE1">
        <w:t xml:space="preserve">were likely to be affected by positive response bias and contribute little to differentiating between </w:t>
      </w:r>
      <w:r w:rsidR="00C976B2" w:rsidRPr="00A52FE1">
        <w:t>re</w:t>
      </w:r>
      <w:r w:rsidR="00F33388" w:rsidRPr="00A52FE1">
        <w:t>s</w:t>
      </w:r>
      <w:r w:rsidR="00C976B2" w:rsidRPr="00A52FE1">
        <w:t>pondents</w:t>
      </w:r>
      <w:r w:rsidR="003615EC" w:rsidRPr="00A52FE1">
        <w:t>. These were A</w:t>
      </w:r>
      <w:r w:rsidR="00C976B2" w:rsidRPr="00A52FE1">
        <w:t>Q3</w:t>
      </w:r>
      <w:r w:rsidR="000472F7">
        <w:t xml:space="preserve"> “T</w:t>
      </w:r>
      <w:r w:rsidR="00C976B2" w:rsidRPr="00A52FE1">
        <w:t>he</w:t>
      </w:r>
      <w:r w:rsidR="000472F7">
        <w:t>re is mutual respect between us”</w:t>
      </w:r>
      <w:r w:rsidR="003615EC" w:rsidRPr="00A52FE1">
        <w:t xml:space="preserve">; </w:t>
      </w:r>
      <w:r w:rsidR="00C976B2" w:rsidRPr="00A52FE1">
        <w:t xml:space="preserve">AQ6 </w:t>
      </w:r>
      <w:r w:rsidR="000472F7">
        <w:t>“W</w:t>
      </w:r>
      <w:r w:rsidR="00C976B2" w:rsidRPr="00A52FE1">
        <w:t>e collect information through informal means</w:t>
      </w:r>
      <w:r w:rsidR="000472F7">
        <w:t>”</w:t>
      </w:r>
      <w:r w:rsidR="003615EC" w:rsidRPr="00A52FE1">
        <w:t xml:space="preserve">; </w:t>
      </w:r>
      <w:r w:rsidR="00C976B2" w:rsidRPr="00A52FE1">
        <w:t>AQ9</w:t>
      </w:r>
      <w:r w:rsidR="000472F7">
        <w:t xml:space="preserve"> “W</w:t>
      </w:r>
      <w:r w:rsidR="00C976B2" w:rsidRPr="00A52FE1">
        <w:t>e expect employees to use information from within our industry</w:t>
      </w:r>
      <w:r w:rsidR="000472F7">
        <w:t>”</w:t>
      </w:r>
      <w:r w:rsidR="003615EC" w:rsidRPr="00A52FE1">
        <w:t xml:space="preserve">; </w:t>
      </w:r>
      <w:r w:rsidR="00C976B2" w:rsidRPr="00A52FE1">
        <w:t>and EX6</w:t>
      </w:r>
      <w:r w:rsidR="000472F7">
        <w:t xml:space="preserve"> “O</w:t>
      </w:r>
      <w:r w:rsidR="00C976B2" w:rsidRPr="00A52FE1">
        <w:t>ur business supports the development of new service ideas</w:t>
      </w:r>
      <w:r w:rsidR="000472F7">
        <w:t>”</w:t>
      </w:r>
      <w:r w:rsidR="003615EC" w:rsidRPr="00A52FE1">
        <w:t xml:space="preserve">. </w:t>
      </w:r>
      <w:r w:rsidR="00C976B2" w:rsidRPr="00A52FE1">
        <w:t xml:space="preserve"> </w:t>
      </w:r>
      <w:r w:rsidRPr="00A52FE1">
        <w:t xml:space="preserve">It is reasonable to infer from this that there is agreement in the sector </w:t>
      </w:r>
      <w:r w:rsidR="00C976B2" w:rsidRPr="00A52FE1">
        <w:t>on these points and</w:t>
      </w:r>
      <w:r w:rsidR="008B113C" w:rsidRPr="00A52FE1">
        <w:t>,</w:t>
      </w:r>
      <w:r w:rsidR="00C976B2" w:rsidRPr="00A52FE1">
        <w:t xml:space="preserve"> therefore</w:t>
      </w:r>
      <w:r w:rsidR="008B113C" w:rsidRPr="00A52FE1">
        <w:t>,</w:t>
      </w:r>
      <w:r w:rsidR="00C976B2" w:rsidRPr="00A52FE1">
        <w:t xml:space="preserve"> they </w:t>
      </w:r>
      <w:r w:rsidR="007615E0" w:rsidRPr="00A52FE1">
        <w:t xml:space="preserve">are unlikely to offer any significant </w:t>
      </w:r>
      <w:r w:rsidR="00C976B2" w:rsidRPr="00A52FE1">
        <w:t xml:space="preserve">competitive advantage. </w:t>
      </w:r>
    </w:p>
    <w:p w14:paraId="2B9B4735" w14:textId="77777777" w:rsidR="0030533F" w:rsidRPr="00A52FE1" w:rsidRDefault="0030533F" w:rsidP="0030533F">
      <w:pPr>
        <w:spacing w:after="0" w:line="360" w:lineRule="auto"/>
      </w:pPr>
    </w:p>
    <w:p w14:paraId="31274220" w14:textId="1A24E235" w:rsidR="003615EC" w:rsidRDefault="007615E0" w:rsidP="0030533F">
      <w:pPr>
        <w:spacing w:after="0" w:line="360" w:lineRule="auto"/>
      </w:pPr>
      <w:r w:rsidRPr="00A52FE1">
        <w:t>In order to test the reliability of the scale made up of the remaining 50 items</w:t>
      </w:r>
      <w:r w:rsidR="00895496" w:rsidRPr="00A52FE1">
        <w:t>,</w:t>
      </w:r>
      <w:r w:rsidR="008F1C2D" w:rsidRPr="00A52FE1">
        <w:t xml:space="preserve"> C</w:t>
      </w:r>
      <w:r w:rsidRPr="00A52FE1">
        <w:t xml:space="preserve">ronbach’s alpha </w:t>
      </w:r>
      <w:r w:rsidR="004C279D">
        <w:t>test was applied. The results ga</w:t>
      </w:r>
      <w:r w:rsidRPr="00A52FE1">
        <w:t>ve a</w:t>
      </w:r>
      <w:r w:rsidR="003615EC" w:rsidRPr="00A52FE1">
        <w:t xml:space="preserve"> Cronbach’s alpha </w:t>
      </w:r>
      <w:r w:rsidRPr="00A52FE1">
        <w:t xml:space="preserve">statistic of </w:t>
      </w:r>
      <w:r w:rsidR="003615EC" w:rsidRPr="00A52FE1">
        <w:t>0.9</w:t>
      </w:r>
      <w:r w:rsidRPr="00A52FE1">
        <w:t>26</w:t>
      </w:r>
      <w:r w:rsidR="003615EC" w:rsidRPr="00A52FE1">
        <w:t xml:space="preserve"> suggest</w:t>
      </w:r>
      <w:r w:rsidRPr="00A52FE1">
        <w:t>ing</w:t>
      </w:r>
      <w:r w:rsidR="003615EC" w:rsidRPr="00A52FE1">
        <w:t xml:space="preserve"> reliability (Cronbach’s alpha&gt; 0.9)</w:t>
      </w:r>
      <w:r w:rsidR="008F1C2D" w:rsidRPr="00A52FE1">
        <w:t xml:space="preserve"> </w:t>
      </w:r>
      <w:r w:rsidR="00895496" w:rsidRPr="00A52FE1">
        <w:t>(though</w:t>
      </w:r>
      <w:r w:rsidR="003615EC" w:rsidRPr="00A52FE1">
        <w:t xml:space="preserve"> scales with a large number of items </w:t>
      </w:r>
      <w:r w:rsidR="008F1C2D" w:rsidRPr="00A52FE1">
        <w:t xml:space="preserve">tend to </w:t>
      </w:r>
      <w:r w:rsidR="003615EC" w:rsidRPr="00A52FE1">
        <w:t xml:space="preserve">have higher alpha </w:t>
      </w:r>
      <w:r w:rsidR="008F1C2D" w:rsidRPr="00A52FE1">
        <w:t>scores</w:t>
      </w:r>
      <w:r w:rsidR="00895496" w:rsidRPr="00A52FE1">
        <w:t>)</w:t>
      </w:r>
      <w:r w:rsidR="008F1C2D" w:rsidRPr="00A52FE1">
        <w:t xml:space="preserve">. </w:t>
      </w:r>
      <w:r w:rsidR="003615EC" w:rsidRPr="00A52FE1">
        <w:t xml:space="preserve"> </w:t>
      </w:r>
      <w:r w:rsidR="00895496" w:rsidRPr="00A52FE1">
        <w:t xml:space="preserve">It also indicates that </w:t>
      </w:r>
      <w:r w:rsidR="008F1C2D" w:rsidRPr="00A52FE1">
        <w:t>t</w:t>
      </w:r>
      <w:r w:rsidR="00895496" w:rsidRPr="00A52FE1">
        <w:t>he deletion of any one item would</w:t>
      </w:r>
      <w:r w:rsidR="008F1C2D" w:rsidRPr="00A52FE1">
        <w:t xml:space="preserve"> not improve the reliability of the scale</w:t>
      </w:r>
      <w:r w:rsidR="00895496" w:rsidRPr="00A52FE1">
        <w:t xml:space="preserve">. </w:t>
      </w:r>
      <w:r w:rsidR="008F1C2D" w:rsidRPr="00A52FE1">
        <w:t xml:space="preserve">A preliminary </w:t>
      </w:r>
      <w:r w:rsidR="00895496" w:rsidRPr="00A52FE1">
        <w:t xml:space="preserve">analysis </w:t>
      </w:r>
      <w:r w:rsidR="008F1C2D" w:rsidRPr="00A52FE1">
        <w:t xml:space="preserve">of the </w:t>
      </w:r>
      <w:r w:rsidR="003615EC" w:rsidRPr="00A52FE1">
        <w:t>inter-item correlations suggest</w:t>
      </w:r>
      <w:r w:rsidR="004C279D">
        <w:t>ed</w:t>
      </w:r>
      <w:r w:rsidR="003615EC" w:rsidRPr="00A52FE1">
        <w:t xml:space="preserve"> that there are groupi</w:t>
      </w:r>
      <w:r w:rsidR="004012AE">
        <w:t>ngs of items within the overall</w:t>
      </w:r>
      <w:r w:rsidR="00886510">
        <w:t xml:space="preserve"> sample. This was</w:t>
      </w:r>
      <w:r w:rsidR="004012AE">
        <w:t>, therefore,</w:t>
      </w:r>
      <w:r w:rsidR="00B3502A" w:rsidRPr="00A52FE1">
        <w:t xml:space="preserve"> explored further</w:t>
      </w:r>
      <w:r w:rsidR="008F1C2D" w:rsidRPr="00A52FE1">
        <w:t xml:space="preserve">. </w:t>
      </w:r>
    </w:p>
    <w:p w14:paraId="2CAAB2D4" w14:textId="77777777" w:rsidR="0030533F" w:rsidRPr="00A52FE1" w:rsidRDefault="0030533F" w:rsidP="0030533F">
      <w:pPr>
        <w:spacing w:after="0" w:line="360" w:lineRule="auto"/>
      </w:pPr>
    </w:p>
    <w:p w14:paraId="4E6F5203" w14:textId="6311CF1E" w:rsidR="00D92CA8" w:rsidRDefault="00895496" w:rsidP="000B4EB5">
      <w:pPr>
        <w:spacing w:after="0" w:line="360" w:lineRule="auto"/>
      </w:pPr>
      <w:r w:rsidRPr="00A52FE1">
        <w:t>F</w:t>
      </w:r>
      <w:r w:rsidR="00AD7FB8" w:rsidRPr="00A52FE1">
        <w:t xml:space="preserve">actor analysis using principal components (suitable for ordinal data) </w:t>
      </w:r>
      <w:r w:rsidR="003615EC" w:rsidRPr="00A52FE1">
        <w:t xml:space="preserve">was </w:t>
      </w:r>
      <w:r w:rsidR="00AD7FB8" w:rsidRPr="00A52FE1">
        <w:t>undertaken</w:t>
      </w:r>
      <w:r w:rsidR="00F77953" w:rsidRPr="00A52FE1">
        <w:t xml:space="preserve"> to</w:t>
      </w:r>
      <w:r w:rsidR="00AD7FB8" w:rsidRPr="00A52FE1">
        <w:t xml:space="preserve"> </w:t>
      </w:r>
      <w:r w:rsidR="003615EC" w:rsidRPr="00A52FE1">
        <w:t xml:space="preserve">investigate </w:t>
      </w:r>
      <w:r w:rsidR="00AD7FB8" w:rsidRPr="00A52FE1">
        <w:t>the fit of each scale item</w:t>
      </w:r>
      <w:r w:rsidR="003615EC" w:rsidRPr="00A52FE1">
        <w:t xml:space="preserve">. The resulting table of communalities from extracting one component </w:t>
      </w:r>
      <w:r w:rsidR="00886510">
        <w:lastRenderedPageBreak/>
        <w:t>showed</w:t>
      </w:r>
      <w:r w:rsidR="003615EC" w:rsidRPr="00A52FE1">
        <w:t xml:space="preserve"> that most items share variance with the e</w:t>
      </w:r>
      <w:r w:rsidR="00446A50" w:rsidRPr="00A52FE1">
        <w:t>xtracted component but that ten</w:t>
      </w:r>
      <w:r w:rsidR="00886510">
        <w:t xml:space="preserve"> share less than 10%</w:t>
      </w:r>
      <w:r w:rsidR="003615EC" w:rsidRPr="00A52FE1">
        <w:t xml:space="preserve">. These </w:t>
      </w:r>
      <w:r w:rsidR="00446A50" w:rsidRPr="00A52FE1">
        <w:t xml:space="preserve">include six </w:t>
      </w:r>
      <w:r w:rsidRPr="00A52FE1">
        <w:t xml:space="preserve">items </w:t>
      </w:r>
      <w:r w:rsidR="00446A50" w:rsidRPr="00A52FE1">
        <w:t xml:space="preserve">from the bank </w:t>
      </w:r>
      <w:r w:rsidRPr="00A52FE1">
        <w:t xml:space="preserve">that were used to </w:t>
      </w:r>
      <w:r w:rsidR="00446A50" w:rsidRPr="00A52FE1">
        <w:t>assess</w:t>
      </w:r>
      <w:r w:rsidRPr="00A52FE1">
        <w:t xml:space="preserve"> </w:t>
      </w:r>
      <w:r w:rsidR="00446A50" w:rsidRPr="00A52FE1">
        <w:t>acquisition (AQ), three from assimilation (AS) and one from exploitation (EX)</w:t>
      </w:r>
      <w:r w:rsidR="00F77953" w:rsidRPr="00A52FE1">
        <w:t xml:space="preserve">. </w:t>
      </w:r>
      <w:r w:rsidRPr="00A52FE1">
        <w:t xml:space="preserve">One interpretation is that </w:t>
      </w:r>
      <w:r w:rsidR="00F77953" w:rsidRPr="00A52FE1">
        <w:t>the items measuring acquisition and</w:t>
      </w:r>
      <w:r w:rsidR="004012AE">
        <w:t>,</w:t>
      </w:r>
      <w:r w:rsidR="00F77953" w:rsidRPr="00A52FE1">
        <w:t xml:space="preserve"> to some extent assimilation</w:t>
      </w:r>
      <w:r w:rsidR="004012AE">
        <w:t xml:space="preserve">, </w:t>
      </w:r>
      <w:proofErr w:type="gramStart"/>
      <w:r w:rsidR="00F77953" w:rsidRPr="00A52FE1">
        <w:t>contribute</w:t>
      </w:r>
      <w:proofErr w:type="gramEnd"/>
      <w:r w:rsidR="00F77953" w:rsidRPr="00A52FE1">
        <w:t xml:space="preserve"> less to absorptive capacity than transformation and exploit</w:t>
      </w:r>
      <w:r w:rsidRPr="00A52FE1">
        <w:t>ation within the meetings industry. The</w:t>
      </w:r>
      <w:r w:rsidR="00F77953" w:rsidRPr="00A52FE1">
        <w:t xml:space="preserve"> ten </w:t>
      </w:r>
      <w:r w:rsidRPr="00A52FE1">
        <w:t xml:space="preserve">items </w:t>
      </w:r>
      <w:r w:rsidR="004A0DC7" w:rsidRPr="00A52FE1">
        <w:t xml:space="preserve">were removed from the scale in order to create a more </w:t>
      </w:r>
      <w:r w:rsidR="00164D09" w:rsidRPr="00A52FE1">
        <w:t>parsimonious</w:t>
      </w:r>
      <w:r w:rsidR="004A0DC7" w:rsidRPr="00A52FE1">
        <w:t xml:space="preserve"> measure and to aid further analysis.</w:t>
      </w:r>
      <w:r w:rsidR="000B4EB5">
        <w:t xml:space="preserve">  A </w:t>
      </w:r>
      <w:r w:rsidR="0086231E" w:rsidRPr="00A52FE1">
        <w:t>scree</w:t>
      </w:r>
      <w:r w:rsidR="009647B8" w:rsidRPr="00A52FE1">
        <w:t xml:space="preserve"> plot </w:t>
      </w:r>
      <w:r w:rsidR="0086231E" w:rsidRPr="00A52FE1">
        <w:t xml:space="preserve">(after removing these items) </w:t>
      </w:r>
      <w:r w:rsidR="009647B8" w:rsidRPr="00A52FE1">
        <w:t>also suggest</w:t>
      </w:r>
      <w:r w:rsidR="004C279D">
        <w:t>ed</w:t>
      </w:r>
      <w:r w:rsidR="009647B8" w:rsidRPr="00A52FE1">
        <w:t xml:space="preserve"> that there is more than one component</w:t>
      </w:r>
      <w:r w:rsidR="004012AE">
        <w:t>,</w:t>
      </w:r>
      <w:r w:rsidR="009647B8" w:rsidRPr="00A52FE1">
        <w:t xml:space="preserve"> with</w:t>
      </w:r>
      <w:r w:rsidR="00164D09" w:rsidRPr="00A52FE1">
        <w:t xml:space="preserve"> no </w:t>
      </w:r>
      <w:r w:rsidR="009647B8" w:rsidRPr="00A52FE1">
        <w:t>elbow</w:t>
      </w:r>
      <w:r w:rsidR="00164D09" w:rsidRPr="00A52FE1">
        <w:t xml:space="preserve"> clearly identifiable </w:t>
      </w:r>
      <w:r w:rsidR="009647B8" w:rsidRPr="00A52FE1">
        <w:t xml:space="preserve">until </w:t>
      </w:r>
      <w:r w:rsidR="0086231E" w:rsidRPr="00A52FE1">
        <w:t xml:space="preserve">the third </w:t>
      </w:r>
      <w:r w:rsidRPr="00A52FE1">
        <w:t>component</w:t>
      </w:r>
      <w:r w:rsidR="000B4EB5">
        <w:t xml:space="preserve">. </w:t>
      </w:r>
    </w:p>
    <w:p w14:paraId="5D0DFC52" w14:textId="77777777" w:rsidR="009647B8" w:rsidRDefault="009647B8" w:rsidP="0030533F">
      <w:pPr>
        <w:autoSpaceDE w:val="0"/>
        <w:autoSpaceDN w:val="0"/>
        <w:adjustRightInd w:val="0"/>
        <w:spacing w:after="0" w:line="360" w:lineRule="auto"/>
        <w:rPr>
          <w:rFonts w:cs="Times New Roman"/>
          <w:b/>
        </w:rPr>
      </w:pPr>
    </w:p>
    <w:p w14:paraId="613A1B32" w14:textId="77777777" w:rsidR="000B4EB5" w:rsidRPr="00A52FE1" w:rsidRDefault="000B4EB5" w:rsidP="0030533F">
      <w:pPr>
        <w:autoSpaceDE w:val="0"/>
        <w:autoSpaceDN w:val="0"/>
        <w:adjustRightInd w:val="0"/>
        <w:spacing w:after="0" w:line="360" w:lineRule="auto"/>
        <w:rPr>
          <w:rFonts w:cs="Times New Roman"/>
          <w:b/>
        </w:rPr>
      </w:pPr>
    </w:p>
    <w:p w14:paraId="7C95CF78" w14:textId="094A92EF" w:rsidR="004A0DC7" w:rsidRDefault="00EC6533" w:rsidP="0030533F">
      <w:pPr>
        <w:spacing w:after="0" w:line="360" w:lineRule="auto"/>
        <w:rPr>
          <w:i/>
        </w:rPr>
      </w:pPr>
      <w:r>
        <w:rPr>
          <w:i/>
        </w:rPr>
        <w:t>4.3</w:t>
      </w:r>
      <w:r w:rsidR="00B04E42">
        <w:rPr>
          <w:i/>
        </w:rPr>
        <w:t xml:space="preserve"> </w:t>
      </w:r>
      <w:r w:rsidR="004A0DC7" w:rsidRPr="00B04E42">
        <w:rPr>
          <w:i/>
        </w:rPr>
        <w:t>Dimensionality in the scale</w:t>
      </w:r>
    </w:p>
    <w:p w14:paraId="700DEC96" w14:textId="77777777" w:rsidR="000B4EB5" w:rsidRPr="00886510" w:rsidRDefault="000B4EB5" w:rsidP="0030533F">
      <w:pPr>
        <w:spacing w:after="0" w:line="360" w:lineRule="auto"/>
      </w:pPr>
    </w:p>
    <w:p w14:paraId="6DA112D2" w14:textId="2F0601C6" w:rsidR="000261B4" w:rsidRDefault="004A0DC7" w:rsidP="0030533F">
      <w:pPr>
        <w:spacing w:after="0" w:line="360" w:lineRule="auto"/>
      </w:pPr>
      <w:r w:rsidRPr="00A52FE1">
        <w:t xml:space="preserve">As </w:t>
      </w:r>
      <w:r w:rsidR="002F274D">
        <w:t>the results indicate</w:t>
      </w:r>
      <w:r w:rsidRPr="00A52FE1">
        <w:t xml:space="preserve"> </w:t>
      </w:r>
      <w:r w:rsidR="00052F61" w:rsidRPr="00A52FE1">
        <w:t>two</w:t>
      </w:r>
      <w:r w:rsidRPr="00A52FE1">
        <w:t xml:space="preserve"> possible components</w:t>
      </w:r>
      <w:r w:rsidR="00895496" w:rsidRPr="00A52FE1">
        <w:t>,</w:t>
      </w:r>
      <w:r w:rsidRPr="00A52FE1">
        <w:t xml:space="preserve"> a principal components analysis restricted to </w:t>
      </w:r>
      <w:r w:rsidR="0087620F" w:rsidRPr="00A52FE1">
        <w:t>two</w:t>
      </w:r>
      <w:r w:rsidRPr="00A52FE1">
        <w:t xml:space="preserve"> components using </w:t>
      </w:r>
      <w:proofErr w:type="spellStart"/>
      <w:r w:rsidRPr="00A52FE1">
        <w:t>v</w:t>
      </w:r>
      <w:r w:rsidR="00895496" w:rsidRPr="00A52FE1">
        <w:t>arimax</w:t>
      </w:r>
      <w:proofErr w:type="spellEnd"/>
      <w:r w:rsidR="00895496" w:rsidRPr="00A52FE1">
        <w:t xml:space="preserve"> rotation was performed.  </w:t>
      </w:r>
      <w:r w:rsidRPr="00A52FE1">
        <w:t xml:space="preserve">The </w:t>
      </w:r>
      <w:r w:rsidR="000261B4">
        <w:t xml:space="preserve">resulting </w:t>
      </w:r>
      <w:r w:rsidRPr="00A52FE1">
        <w:t>rota</w:t>
      </w:r>
      <w:r w:rsidR="0035020F" w:rsidRPr="00A52FE1">
        <w:t>ted compo</w:t>
      </w:r>
      <w:r w:rsidR="00895496" w:rsidRPr="00A52FE1">
        <w:t xml:space="preserve">nent matrix </w:t>
      </w:r>
      <w:r w:rsidR="000261B4">
        <w:t>showed that the i</w:t>
      </w:r>
      <w:r w:rsidR="00AD11FF" w:rsidRPr="00A52FE1">
        <w:t>tems wer</w:t>
      </w:r>
      <w:r w:rsidR="0035020F" w:rsidRPr="00A52FE1">
        <w:t xml:space="preserve">e clearly related to each </w:t>
      </w:r>
      <w:r w:rsidR="00164D09" w:rsidRPr="00A52FE1">
        <w:t xml:space="preserve">of the two </w:t>
      </w:r>
      <w:r w:rsidR="0035020F" w:rsidRPr="00A52FE1">
        <w:t>component</w:t>
      </w:r>
      <w:r w:rsidR="00164D09" w:rsidRPr="00A52FE1">
        <w:t>s</w:t>
      </w:r>
      <w:r w:rsidR="000D00E6">
        <w:t xml:space="preserve"> but</w:t>
      </w:r>
      <w:r w:rsidR="0035020F" w:rsidRPr="00A52FE1">
        <w:t xml:space="preserve"> the distinction bet</w:t>
      </w:r>
      <w:r w:rsidR="0087016C" w:rsidRPr="00A52FE1">
        <w:t>ween those that load on factor 1</w:t>
      </w:r>
      <w:r w:rsidR="0035020F" w:rsidRPr="00A52FE1">
        <w:t xml:space="preserve"> and those that lo</w:t>
      </w:r>
      <w:r w:rsidR="004C279D">
        <w:t>ad on factor 2 was</w:t>
      </w:r>
      <w:r w:rsidR="0035020F" w:rsidRPr="00A52FE1">
        <w:t xml:space="preserve"> not clear and d</w:t>
      </w:r>
      <w:r w:rsidR="004C279D">
        <w:t>id</w:t>
      </w:r>
      <w:r w:rsidR="0035020F" w:rsidRPr="00A52FE1">
        <w:t xml:space="preserve"> not appear </w:t>
      </w:r>
      <w:r w:rsidR="0087016C" w:rsidRPr="00A52FE1">
        <w:t xml:space="preserve">to be </w:t>
      </w:r>
      <w:r w:rsidR="0035020F" w:rsidRPr="00A52FE1">
        <w:t>related to the four compon</w:t>
      </w:r>
      <w:r w:rsidR="00AD11FF" w:rsidRPr="00A52FE1">
        <w:t>ents of absorptive capacity</w:t>
      </w:r>
      <w:r w:rsidR="0035020F" w:rsidRPr="00A52FE1">
        <w:t xml:space="preserve">. </w:t>
      </w:r>
      <w:r w:rsidR="0087016C" w:rsidRPr="00A52FE1">
        <w:t xml:space="preserve"> </w:t>
      </w:r>
      <w:r w:rsidR="00052F61" w:rsidRPr="00A52FE1">
        <w:t>As the items related to each factor d</w:t>
      </w:r>
      <w:r w:rsidR="004C279D">
        <w:t>id</w:t>
      </w:r>
      <w:r w:rsidR="00052F61" w:rsidRPr="00A52FE1">
        <w:t xml:space="preserve"> not share any obvious </w:t>
      </w:r>
      <w:r w:rsidR="000A67BA" w:rsidRPr="00A52FE1">
        <w:t>characteristics</w:t>
      </w:r>
      <w:r w:rsidR="00AD11FF" w:rsidRPr="00A52FE1">
        <w:t xml:space="preserve">, </w:t>
      </w:r>
      <w:r w:rsidR="00052F61" w:rsidRPr="00A52FE1">
        <w:t>a single factor model</w:t>
      </w:r>
      <w:r w:rsidR="00AD11FF" w:rsidRPr="00A52FE1">
        <w:t xml:space="preserve"> was retained</w:t>
      </w:r>
      <w:r w:rsidR="00052F61" w:rsidRPr="00A52FE1">
        <w:t xml:space="preserve">. </w:t>
      </w:r>
    </w:p>
    <w:p w14:paraId="7B354301" w14:textId="77777777" w:rsidR="000261B4" w:rsidRDefault="000261B4" w:rsidP="0030533F">
      <w:pPr>
        <w:spacing w:after="0" w:line="360" w:lineRule="auto"/>
      </w:pPr>
    </w:p>
    <w:p w14:paraId="77C9A7D0" w14:textId="00B9F0F8" w:rsidR="00C66F33" w:rsidRDefault="00052F61" w:rsidP="0030533F">
      <w:pPr>
        <w:spacing w:after="0" w:line="360" w:lineRule="auto"/>
      </w:pPr>
      <w:r w:rsidRPr="00A52FE1">
        <w:t>The fact</w:t>
      </w:r>
      <w:r w:rsidR="000A67BA" w:rsidRPr="00A52FE1">
        <w:t xml:space="preserve"> that</w:t>
      </w:r>
      <w:r w:rsidRPr="00A52FE1">
        <w:t xml:space="preserve"> the four</w:t>
      </w:r>
      <w:r w:rsidR="00AD11FF" w:rsidRPr="00A52FE1">
        <w:t xml:space="preserve"> previously theorised factors </w:t>
      </w:r>
      <w:r w:rsidR="00F05F4F">
        <w:t xml:space="preserve">of absorptive capacity </w:t>
      </w:r>
      <w:r w:rsidR="00AD11FF" w:rsidRPr="00A52FE1">
        <w:t>did</w:t>
      </w:r>
      <w:r w:rsidRPr="00A52FE1">
        <w:t xml:space="preserve"> not emerge does not mean that these are not present or important within the sector or within the overal</w:t>
      </w:r>
      <w:r w:rsidR="00F05F4F">
        <w:t>l construct</w:t>
      </w:r>
      <w:r w:rsidRPr="00A52FE1">
        <w:t>. Indeed</w:t>
      </w:r>
      <w:r w:rsidR="00AD11FF" w:rsidRPr="00A52FE1">
        <w:t>, it</w:t>
      </w:r>
      <w:r w:rsidR="000A67BA" w:rsidRPr="00A52FE1">
        <w:t xml:space="preserve"> could </w:t>
      </w:r>
      <w:r w:rsidRPr="00A52FE1">
        <w:t>b</w:t>
      </w:r>
      <w:r w:rsidR="000A67BA" w:rsidRPr="00A52FE1">
        <w:t>e</w:t>
      </w:r>
      <w:r w:rsidR="00AD11FF" w:rsidRPr="00A52FE1">
        <w:t xml:space="preserve"> </w:t>
      </w:r>
      <w:r w:rsidRPr="00A52FE1">
        <w:t xml:space="preserve">that they are so interrelated that they do not separate out into individual components. They exist but </w:t>
      </w:r>
      <w:r w:rsidR="00AD11FF" w:rsidRPr="00A52FE1">
        <w:t>operate simultaneously</w:t>
      </w:r>
      <w:r w:rsidR="000A67BA" w:rsidRPr="00A52FE1">
        <w:t xml:space="preserve"> to create an environment where innovation can occur through absorptive capacity. Each element is</w:t>
      </w:r>
      <w:r w:rsidR="00AD11FF" w:rsidRPr="00A52FE1">
        <w:t>,</w:t>
      </w:r>
      <w:r w:rsidR="000A67BA" w:rsidRPr="00A52FE1">
        <w:t xml:space="preserve"> therefore</w:t>
      </w:r>
      <w:r w:rsidR="00AD11FF" w:rsidRPr="00A52FE1">
        <w:t>,</w:t>
      </w:r>
      <w:r w:rsidR="000A67BA" w:rsidRPr="00A52FE1">
        <w:t xml:space="preserve"> needed within any scale which attempts to measure absorptive capacity as a single concept</w:t>
      </w:r>
      <w:r w:rsidR="00D57D93">
        <w:rPr>
          <w:rFonts w:cstheme="minorHAnsi"/>
        </w:rPr>
        <w:t>.</w:t>
      </w:r>
    </w:p>
    <w:p w14:paraId="488359C0" w14:textId="77777777" w:rsidR="0030533F" w:rsidRPr="00A52FE1" w:rsidRDefault="0030533F" w:rsidP="0030533F">
      <w:pPr>
        <w:spacing w:after="0" w:line="360" w:lineRule="auto"/>
        <w:rPr>
          <w:highlight w:val="yellow"/>
        </w:rPr>
      </w:pPr>
    </w:p>
    <w:p w14:paraId="75926960" w14:textId="47E86216" w:rsidR="00F05F4F" w:rsidRDefault="00D353DD" w:rsidP="0030533F">
      <w:pPr>
        <w:spacing w:after="0" w:line="360" w:lineRule="auto"/>
      </w:pPr>
      <w:r w:rsidRPr="00A52FE1">
        <w:t xml:space="preserve">Before investigating the characteristics </w:t>
      </w:r>
      <w:r w:rsidR="00CD1458" w:rsidRPr="00A52FE1">
        <w:t xml:space="preserve">of absorptive capacity </w:t>
      </w:r>
      <w:r w:rsidRPr="00A52FE1">
        <w:t xml:space="preserve">and </w:t>
      </w:r>
      <w:r w:rsidR="00CD1458" w:rsidRPr="00A52FE1">
        <w:t>any</w:t>
      </w:r>
      <w:r w:rsidRPr="00A52FE1">
        <w:t xml:space="preserve"> sub-group di</w:t>
      </w:r>
      <w:r w:rsidR="00AD11FF" w:rsidRPr="00A52FE1">
        <w:t>fferences within the meetings industry,</w:t>
      </w:r>
      <w:r w:rsidR="00B66C01" w:rsidRPr="00A52FE1">
        <w:t xml:space="preserve"> structural equation modelling</w:t>
      </w:r>
      <w:r w:rsidRPr="00A52FE1">
        <w:t xml:space="preserve"> was applied in order to identify a better fitting</w:t>
      </w:r>
      <w:r w:rsidR="00CD1458" w:rsidRPr="00A52FE1">
        <w:t xml:space="preserve"> model than that found in </w:t>
      </w:r>
      <w:r w:rsidR="007D398C" w:rsidRPr="00A52FE1">
        <w:t>previous studies.</w:t>
      </w:r>
      <w:r w:rsidR="00950E29" w:rsidRPr="00A52FE1">
        <w:t xml:space="preserve"> This involved trialling two factor and single factor models until the</w:t>
      </w:r>
      <w:r w:rsidR="00AD11FF" w:rsidRPr="00A52FE1">
        <w:t xml:space="preserve"> best fit was achieved</w:t>
      </w:r>
      <w:r w:rsidR="002F274D">
        <w:t xml:space="preserve">. </w:t>
      </w:r>
      <w:r w:rsidR="00E82501" w:rsidRPr="00A52FE1">
        <w:t xml:space="preserve"> </w:t>
      </w:r>
      <w:r w:rsidR="00AD11FF" w:rsidRPr="00A52FE1">
        <w:t xml:space="preserve">Table </w:t>
      </w:r>
      <w:r w:rsidR="000261B4">
        <w:t>1</w:t>
      </w:r>
      <w:r w:rsidR="00950E29" w:rsidRPr="00A52FE1">
        <w:t xml:space="preserve"> summarises th</w:t>
      </w:r>
      <w:r w:rsidR="00E82501" w:rsidRPr="00A52FE1">
        <w:t>e</w:t>
      </w:r>
      <w:r w:rsidR="00950E29" w:rsidRPr="00A52FE1">
        <w:t xml:space="preserve"> process</w:t>
      </w:r>
      <w:r w:rsidR="00EC6533">
        <w:t xml:space="preserve"> undertaken to identify the</w:t>
      </w:r>
      <w:r w:rsidR="00E82501" w:rsidRPr="00A52FE1">
        <w:t xml:space="preserve"> best-fitting model</w:t>
      </w:r>
      <w:r w:rsidR="00AD11FF" w:rsidRPr="00A52FE1">
        <w:t xml:space="preserve">. </w:t>
      </w:r>
    </w:p>
    <w:p w14:paraId="3907B1AC" w14:textId="77777777" w:rsidR="00750BD4" w:rsidRDefault="00750BD4" w:rsidP="0030533F">
      <w:pPr>
        <w:spacing w:after="0" w:line="360" w:lineRule="auto"/>
      </w:pPr>
    </w:p>
    <w:p w14:paraId="7737D87E" w14:textId="77777777" w:rsidR="00750BD4" w:rsidRDefault="00750BD4" w:rsidP="0030533F">
      <w:pPr>
        <w:spacing w:after="0" w:line="360" w:lineRule="auto"/>
      </w:pPr>
    </w:p>
    <w:p w14:paraId="34793EC7" w14:textId="77777777" w:rsidR="00750BD4" w:rsidRDefault="00750BD4" w:rsidP="0030533F">
      <w:pPr>
        <w:spacing w:after="0" w:line="360" w:lineRule="auto"/>
      </w:pPr>
    </w:p>
    <w:p w14:paraId="2A6A2C70" w14:textId="77777777" w:rsidR="00750BD4" w:rsidRDefault="00750BD4" w:rsidP="0030533F">
      <w:pPr>
        <w:spacing w:after="0" w:line="360" w:lineRule="auto"/>
      </w:pPr>
    </w:p>
    <w:p w14:paraId="46379DDA" w14:textId="77777777" w:rsidR="00750BD4" w:rsidRDefault="00750BD4" w:rsidP="0030533F">
      <w:pPr>
        <w:spacing w:after="0" w:line="360" w:lineRule="auto"/>
      </w:pPr>
    </w:p>
    <w:p w14:paraId="5EAF93E1" w14:textId="77777777" w:rsidR="00750BD4" w:rsidRDefault="00750BD4" w:rsidP="0030533F">
      <w:pPr>
        <w:spacing w:after="0" w:line="360" w:lineRule="auto"/>
      </w:pPr>
    </w:p>
    <w:p w14:paraId="10C8F6DB" w14:textId="77777777" w:rsidR="00750BD4" w:rsidRDefault="00750BD4" w:rsidP="0030533F">
      <w:pPr>
        <w:spacing w:after="0" w:line="360" w:lineRule="auto"/>
      </w:pPr>
    </w:p>
    <w:p w14:paraId="08B2FA6A" w14:textId="77777777" w:rsidR="00750BD4" w:rsidRDefault="00750BD4" w:rsidP="0030533F">
      <w:pPr>
        <w:spacing w:after="0" w:line="360" w:lineRule="auto"/>
      </w:pPr>
    </w:p>
    <w:p w14:paraId="553D7997" w14:textId="77777777" w:rsidR="00750BD4" w:rsidRDefault="00750BD4" w:rsidP="0030533F">
      <w:pPr>
        <w:spacing w:after="0" w:line="360" w:lineRule="auto"/>
      </w:pPr>
    </w:p>
    <w:p w14:paraId="326E81D4" w14:textId="77777777" w:rsidR="00750BD4" w:rsidRDefault="00750BD4" w:rsidP="0030533F">
      <w:pPr>
        <w:spacing w:after="0" w:line="360" w:lineRule="auto"/>
      </w:pPr>
    </w:p>
    <w:p w14:paraId="5477720A" w14:textId="77777777" w:rsidR="00750BD4" w:rsidRDefault="00750BD4" w:rsidP="0030533F">
      <w:pPr>
        <w:spacing w:after="0" w:line="360" w:lineRule="auto"/>
      </w:pPr>
    </w:p>
    <w:p w14:paraId="055EC32D" w14:textId="77777777" w:rsidR="00750BD4" w:rsidRPr="00A52FE1" w:rsidRDefault="00750BD4" w:rsidP="0030533F">
      <w:pPr>
        <w:spacing w:after="0" w:line="360" w:lineRule="auto"/>
      </w:pPr>
    </w:p>
    <w:p w14:paraId="52F5B1CB" w14:textId="1BD75DF7" w:rsidR="00D92CA8" w:rsidRDefault="00D92CA8" w:rsidP="00D92CA8">
      <w:r w:rsidRPr="00DE434E">
        <w:t xml:space="preserve">Table </w:t>
      </w:r>
      <w:r w:rsidR="000261B4">
        <w:t>1</w:t>
      </w:r>
      <w:r w:rsidRPr="00DE434E">
        <w:t xml:space="preserve"> Summary of model fitting results</w:t>
      </w:r>
    </w:p>
    <w:tbl>
      <w:tblPr>
        <w:tblStyle w:val="TableGrid"/>
        <w:tblW w:w="0" w:type="auto"/>
        <w:tblLook w:val="04A0" w:firstRow="1" w:lastRow="0" w:firstColumn="1" w:lastColumn="0" w:noHBand="0" w:noVBand="1"/>
      </w:tblPr>
      <w:tblGrid>
        <w:gridCol w:w="817"/>
        <w:gridCol w:w="1843"/>
        <w:gridCol w:w="1559"/>
        <w:gridCol w:w="4111"/>
      </w:tblGrid>
      <w:tr w:rsidR="00D92CA8" w14:paraId="1E607AE4" w14:textId="77777777" w:rsidTr="00D92CA8">
        <w:tc>
          <w:tcPr>
            <w:tcW w:w="817" w:type="dxa"/>
          </w:tcPr>
          <w:p w14:paraId="36B2AB50" w14:textId="77777777" w:rsidR="00D92CA8" w:rsidRDefault="00D92CA8" w:rsidP="00D92CA8">
            <w:r>
              <w:t>Model</w:t>
            </w:r>
          </w:p>
        </w:tc>
        <w:tc>
          <w:tcPr>
            <w:tcW w:w="1843" w:type="dxa"/>
          </w:tcPr>
          <w:p w14:paraId="7F62EB7C" w14:textId="77777777" w:rsidR="00D92CA8" w:rsidRDefault="00D92CA8" w:rsidP="00D92CA8">
            <w:r>
              <w:t>No. Items</w:t>
            </w:r>
          </w:p>
        </w:tc>
        <w:tc>
          <w:tcPr>
            <w:tcW w:w="1559" w:type="dxa"/>
          </w:tcPr>
          <w:p w14:paraId="10F0E292" w14:textId="77777777" w:rsidR="00D92CA8" w:rsidRDefault="00D92CA8" w:rsidP="00D92CA8">
            <w:r>
              <w:t>Measures of Fit:</w:t>
            </w:r>
          </w:p>
          <w:p w14:paraId="0430AB86" w14:textId="77777777" w:rsidR="00D92CA8" w:rsidRDefault="00D92CA8" w:rsidP="00D92CA8">
            <w:r>
              <w:t>CFI and RMSEA</w:t>
            </w:r>
          </w:p>
        </w:tc>
        <w:tc>
          <w:tcPr>
            <w:tcW w:w="4111" w:type="dxa"/>
          </w:tcPr>
          <w:p w14:paraId="5A30D4CC" w14:textId="77777777" w:rsidR="00D92CA8" w:rsidRDefault="00D92CA8" w:rsidP="00D92CA8">
            <w:r>
              <w:t>Items to exclude</w:t>
            </w:r>
          </w:p>
        </w:tc>
      </w:tr>
      <w:tr w:rsidR="00D92CA8" w14:paraId="5476CF7B" w14:textId="77777777" w:rsidTr="00D92CA8">
        <w:tc>
          <w:tcPr>
            <w:tcW w:w="817" w:type="dxa"/>
          </w:tcPr>
          <w:p w14:paraId="76573C11" w14:textId="77777777" w:rsidR="00D92CA8" w:rsidRPr="00182B65" w:rsidRDefault="00D92CA8" w:rsidP="00D92CA8">
            <w:r>
              <w:t>1</w:t>
            </w:r>
          </w:p>
        </w:tc>
        <w:tc>
          <w:tcPr>
            <w:tcW w:w="1843" w:type="dxa"/>
          </w:tcPr>
          <w:p w14:paraId="0BA83DB5" w14:textId="77777777" w:rsidR="00D92CA8" w:rsidRDefault="00D92CA8" w:rsidP="00D92CA8">
            <w:r>
              <w:t>17 Factor 1</w:t>
            </w:r>
          </w:p>
          <w:p w14:paraId="50540106" w14:textId="77777777" w:rsidR="00D92CA8" w:rsidRPr="00182B65" w:rsidRDefault="00D92CA8" w:rsidP="00D92CA8">
            <w:r>
              <w:t>24 Factor 2</w:t>
            </w:r>
          </w:p>
        </w:tc>
        <w:tc>
          <w:tcPr>
            <w:tcW w:w="1559" w:type="dxa"/>
          </w:tcPr>
          <w:p w14:paraId="41B82CD4" w14:textId="77777777" w:rsidR="00D92CA8" w:rsidRDefault="00D92CA8" w:rsidP="00D92CA8">
            <w:r>
              <w:t>0.682</w:t>
            </w:r>
          </w:p>
          <w:p w14:paraId="519C9F33" w14:textId="77777777" w:rsidR="00D92CA8" w:rsidRDefault="00D92CA8" w:rsidP="00D92CA8">
            <w:r>
              <w:t>0.094</w:t>
            </w:r>
          </w:p>
        </w:tc>
        <w:tc>
          <w:tcPr>
            <w:tcW w:w="4111" w:type="dxa"/>
          </w:tcPr>
          <w:p w14:paraId="00944DBC" w14:textId="77777777" w:rsidR="00D92CA8" w:rsidRDefault="00D92CA8" w:rsidP="00D92CA8">
            <w:r>
              <w:t>Exclude all items with standardised coefficients less than 0.5</w:t>
            </w:r>
          </w:p>
        </w:tc>
      </w:tr>
      <w:tr w:rsidR="00D92CA8" w14:paraId="045CF89C" w14:textId="77777777" w:rsidTr="00D92CA8">
        <w:tc>
          <w:tcPr>
            <w:tcW w:w="817" w:type="dxa"/>
          </w:tcPr>
          <w:p w14:paraId="6D0285A3" w14:textId="77777777" w:rsidR="00D92CA8" w:rsidRDefault="00D92CA8" w:rsidP="00D92CA8">
            <w:r>
              <w:t>2</w:t>
            </w:r>
          </w:p>
        </w:tc>
        <w:tc>
          <w:tcPr>
            <w:tcW w:w="1843" w:type="dxa"/>
          </w:tcPr>
          <w:p w14:paraId="14CDAF5C" w14:textId="77777777" w:rsidR="00D92CA8" w:rsidRDefault="00D92CA8" w:rsidP="00D92CA8">
            <w:r>
              <w:t>13 Factor 1</w:t>
            </w:r>
          </w:p>
          <w:p w14:paraId="31CD1AB0" w14:textId="77777777" w:rsidR="00D92CA8" w:rsidRDefault="00D92CA8" w:rsidP="00D92CA8">
            <w:r>
              <w:t>11 Factor 2</w:t>
            </w:r>
          </w:p>
        </w:tc>
        <w:tc>
          <w:tcPr>
            <w:tcW w:w="1559" w:type="dxa"/>
          </w:tcPr>
          <w:p w14:paraId="2485A99B" w14:textId="77777777" w:rsidR="00D92CA8" w:rsidRDefault="00D92CA8" w:rsidP="00D92CA8">
            <w:r>
              <w:t>0.816</w:t>
            </w:r>
          </w:p>
          <w:p w14:paraId="36C866B7" w14:textId="77777777" w:rsidR="00D92CA8" w:rsidRDefault="00D92CA8" w:rsidP="00D92CA8">
            <w:r>
              <w:t>0.098</w:t>
            </w:r>
          </w:p>
        </w:tc>
        <w:tc>
          <w:tcPr>
            <w:tcW w:w="4111" w:type="dxa"/>
          </w:tcPr>
          <w:p w14:paraId="4119584A" w14:textId="77777777" w:rsidR="00D92CA8" w:rsidRDefault="00D92CA8" w:rsidP="00D92CA8">
            <w:r>
              <w:t>Improving – remove further items (&lt;0.5)</w:t>
            </w:r>
          </w:p>
        </w:tc>
      </w:tr>
      <w:tr w:rsidR="00D92CA8" w14:paraId="5C1BA030" w14:textId="77777777" w:rsidTr="00D92CA8">
        <w:tc>
          <w:tcPr>
            <w:tcW w:w="817" w:type="dxa"/>
          </w:tcPr>
          <w:p w14:paraId="7DBA3775" w14:textId="77777777" w:rsidR="00D92CA8" w:rsidRDefault="00D92CA8" w:rsidP="00D92CA8">
            <w:r>
              <w:t>3</w:t>
            </w:r>
          </w:p>
          <w:p w14:paraId="6BEE8BF2" w14:textId="7B2F2532" w:rsidR="00D92CA8" w:rsidRPr="00303F5B" w:rsidRDefault="00D92CA8" w:rsidP="00D92CA8"/>
        </w:tc>
        <w:tc>
          <w:tcPr>
            <w:tcW w:w="1843" w:type="dxa"/>
          </w:tcPr>
          <w:p w14:paraId="397BBA47" w14:textId="77777777" w:rsidR="00D92CA8" w:rsidRDefault="00D92CA8" w:rsidP="00D92CA8">
            <w:r>
              <w:t>13 Factor 1</w:t>
            </w:r>
          </w:p>
          <w:p w14:paraId="5AA5F6E8" w14:textId="77777777" w:rsidR="00D92CA8" w:rsidRPr="00303F5B" w:rsidRDefault="00D92CA8" w:rsidP="00D92CA8">
            <w:r>
              <w:t>9 Factor 2</w:t>
            </w:r>
          </w:p>
        </w:tc>
        <w:tc>
          <w:tcPr>
            <w:tcW w:w="1559" w:type="dxa"/>
          </w:tcPr>
          <w:p w14:paraId="2BFDF634" w14:textId="77777777" w:rsidR="00D92CA8" w:rsidRDefault="00D92CA8" w:rsidP="00D92CA8">
            <w:r>
              <w:t>0.844</w:t>
            </w:r>
          </w:p>
          <w:p w14:paraId="48DAED26" w14:textId="77777777" w:rsidR="00D92CA8" w:rsidRPr="00303F5B" w:rsidRDefault="00D92CA8" w:rsidP="00D92CA8">
            <w:r>
              <w:t>0.095</w:t>
            </w:r>
          </w:p>
        </w:tc>
        <w:tc>
          <w:tcPr>
            <w:tcW w:w="4111" w:type="dxa"/>
          </w:tcPr>
          <w:p w14:paraId="11C8B6DB" w14:textId="77777777" w:rsidR="00D92CA8" w:rsidRPr="00303F5B" w:rsidRDefault="00D92CA8" w:rsidP="00D92CA8">
            <w:r>
              <w:t>Recognise covariance</w:t>
            </w:r>
          </w:p>
        </w:tc>
      </w:tr>
      <w:tr w:rsidR="00D92CA8" w14:paraId="3B4EFA67" w14:textId="77777777" w:rsidTr="00D92CA8">
        <w:tc>
          <w:tcPr>
            <w:tcW w:w="817" w:type="dxa"/>
          </w:tcPr>
          <w:p w14:paraId="2ADD26DB" w14:textId="77777777" w:rsidR="00D92CA8" w:rsidRDefault="00D92CA8" w:rsidP="00D92CA8">
            <w:r>
              <w:t>4</w:t>
            </w:r>
          </w:p>
        </w:tc>
        <w:tc>
          <w:tcPr>
            <w:tcW w:w="1843" w:type="dxa"/>
          </w:tcPr>
          <w:p w14:paraId="01287C19" w14:textId="77777777" w:rsidR="00D92CA8" w:rsidRDefault="00D92CA8" w:rsidP="00D92CA8">
            <w:r>
              <w:t>22 items one factor (</w:t>
            </w:r>
            <w:proofErr w:type="spellStart"/>
            <w:r>
              <w:t>abcap</w:t>
            </w:r>
            <w:proofErr w:type="spellEnd"/>
            <w:r>
              <w:t>)</w:t>
            </w:r>
          </w:p>
        </w:tc>
        <w:tc>
          <w:tcPr>
            <w:tcW w:w="1559" w:type="dxa"/>
          </w:tcPr>
          <w:p w14:paraId="092D8B13" w14:textId="77777777" w:rsidR="00D92CA8" w:rsidRDefault="00D92CA8" w:rsidP="00D92CA8">
            <w:r>
              <w:t>0.74</w:t>
            </w:r>
          </w:p>
          <w:p w14:paraId="333D1007" w14:textId="77777777" w:rsidR="00D92CA8" w:rsidRDefault="00D92CA8" w:rsidP="00D92CA8">
            <w:r>
              <w:t>0.121</w:t>
            </w:r>
          </w:p>
        </w:tc>
        <w:tc>
          <w:tcPr>
            <w:tcW w:w="4111" w:type="dxa"/>
          </w:tcPr>
          <w:p w14:paraId="489C9D65" w14:textId="77777777" w:rsidR="00D92CA8" w:rsidRDefault="00D92CA8" w:rsidP="00D92CA8">
            <w:r>
              <w:t>Poor fit – remove items with low regression weights</w:t>
            </w:r>
          </w:p>
        </w:tc>
      </w:tr>
      <w:tr w:rsidR="00D92CA8" w14:paraId="19132A90" w14:textId="77777777" w:rsidTr="00D92CA8">
        <w:tc>
          <w:tcPr>
            <w:tcW w:w="817" w:type="dxa"/>
          </w:tcPr>
          <w:p w14:paraId="5FE92752" w14:textId="77777777" w:rsidR="00D92CA8" w:rsidRDefault="00D92CA8" w:rsidP="00D92CA8">
            <w:r>
              <w:t>5</w:t>
            </w:r>
          </w:p>
        </w:tc>
        <w:tc>
          <w:tcPr>
            <w:tcW w:w="1843" w:type="dxa"/>
          </w:tcPr>
          <w:p w14:paraId="0E964FD5" w14:textId="77777777" w:rsidR="00D92CA8" w:rsidRDefault="00D92CA8" w:rsidP="00D92CA8">
            <w:r>
              <w:t>15 items</w:t>
            </w:r>
          </w:p>
        </w:tc>
        <w:tc>
          <w:tcPr>
            <w:tcW w:w="1559" w:type="dxa"/>
          </w:tcPr>
          <w:p w14:paraId="37814617" w14:textId="77777777" w:rsidR="00D92CA8" w:rsidRDefault="00D92CA8" w:rsidP="00D92CA8">
            <w:r>
              <w:t>0.838</w:t>
            </w:r>
          </w:p>
          <w:p w14:paraId="756AC488" w14:textId="77777777" w:rsidR="00D92CA8" w:rsidRDefault="00D92CA8" w:rsidP="00D92CA8">
            <w:r>
              <w:t>0.115</w:t>
            </w:r>
          </w:p>
        </w:tc>
        <w:tc>
          <w:tcPr>
            <w:tcW w:w="4111" w:type="dxa"/>
          </w:tcPr>
          <w:p w14:paraId="1C028FFE" w14:textId="77777777" w:rsidR="00D92CA8" w:rsidRDefault="00D92CA8" w:rsidP="00D92CA8">
            <w:r>
              <w:t>Improving</w:t>
            </w:r>
          </w:p>
          <w:p w14:paraId="295ABD0B" w14:textId="77777777" w:rsidR="00D92CA8" w:rsidRDefault="00D92CA8" w:rsidP="00D92CA8">
            <w:r>
              <w:t>Remove remaining two items from ‘Factor 2’ as regression weights &lt;0.5</w:t>
            </w:r>
          </w:p>
        </w:tc>
      </w:tr>
      <w:tr w:rsidR="00D92CA8" w14:paraId="7DEB28C5" w14:textId="77777777" w:rsidTr="00D92CA8">
        <w:tc>
          <w:tcPr>
            <w:tcW w:w="817" w:type="dxa"/>
          </w:tcPr>
          <w:p w14:paraId="0F548871" w14:textId="77777777" w:rsidR="00D92CA8" w:rsidRDefault="00D92CA8" w:rsidP="00D92CA8">
            <w:r>
              <w:t>6</w:t>
            </w:r>
          </w:p>
        </w:tc>
        <w:tc>
          <w:tcPr>
            <w:tcW w:w="1843" w:type="dxa"/>
          </w:tcPr>
          <w:p w14:paraId="39031E62" w14:textId="77777777" w:rsidR="00D92CA8" w:rsidRDefault="00D92CA8" w:rsidP="00D92CA8">
            <w:r>
              <w:t>13 items</w:t>
            </w:r>
          </w:p>
        </w:tc>
        <w:tc>
          <w:tcPr>
            <w:tcW w:w="1559" w:type="dxa"/>
          </w:tcPr>
          <w:p w14:paraId="47B16C71" w14:textId="77777777" w:rsidR="00D92CA8" w:rsidRDefault="00D92CA8" w:rsidP="00D92CA8">
            <w:r>
              <w:t>0.873</w:t>
            </w:r>
          </w:p>
          <w:p w14:paraId="7C9A18E4" w14:textId="77777777" w:rsidR="00D92CA8" w:rsidRDefault="00D92CA8" w:rsidP="00D92CA8">
            <w:r>
              <w:t>0.113</w:t>
            </w:r>
          </w:p>
        </w:tc>
        <w:tc>
          <w:tcPr>
            <w:tcW w:w="4111" w:type="dxa"/>
          </w:tcPr>
          <w:p w14:paraId="3EB9EDF8" w14:textId="77777777" w:rsidR="00D92CA8" w:rsidRDefault="00D92CA8" w:rsidP="00D92CA8">
            <w:r>
              <w:t>Although two factors identified better fitting model based on one factor. Remove AS7 (RW&lt;0.5)</w:t>
            </w:r>
          </w:p>
        </w:tc>
      </w:tr>
      <w:tr w:rsidR="00D92CA8" w14:paraId="7244A3FD" w14:textId="77777777" w:rsidTr="00D92CA8">
        <w:tc>
          <w:tcPr>
            <w:tcW w:w="817" w:type="dxa"/>
          </w:tcPr>
          <w:p w14:paraId="4187FA10" w14:textId="77777777" w:rsidR="00D92CA8" w:rsidRDefault="00D92CA8" w:rsidP="00D92CA8">
            <w:r>
              <w:t>7</w:t>
            </w:r>
          </w:p>
        </w:tc>
        <w:tc>
          <w:tcPr>
            <w:tcW w:w="1843" w:type="dxa"/>
          </w:tcPr>
          <w:p w14:paraId="18911241" w14:textId="77777777" w:rsidR="00D92CA8" w:rsidRDefault="00D92CA8" w:rsidP="00D92CA8">
            <w:r>
              <w:t>12 items</w:t>
            </w:r>
          </w:p>
        </w:tc>
        <w:tc>
          <w:tcPr>
            <w:tcW w:w="1559" w:type="dxa"/>
          </w:tcPr>
          <w:p w14:paraId="1076044F" w14:textId="77777777" w:rsidR="00D92CA8" w:rsidRDefault="00D92CA8" w:rsidP="00D92CA8">
            <w:r>
              <w:t>0.88</w:t>
            </w:r>
          </w:p>
          <w:p w14:paraId="1A90031F" w14:textId="77777777" w:rsidR="00D92CA8" w:rsidRDefault="00D92CA8" w:rsidP="00D92CA8">
            <w:r>
              <w:t>0.117</w:t>
            </w:r>
          </w:p>
        </w:tc>
        <w:tc>
          <w:tcPr>
            <w:tcW w:w="4111" w:type="dxa"/>
          </w:tcPr>
          <w:p w14:paraId="21D48D7C" w14:textId="77777777" w:rsidR="00D92CA8" w:rsidRDefault="00D92CA8" w:rsidP="00D92CA8">
            <w:r>
              <w:t>Improving. Remove items AQ7 EX13 high covariance and low regression weights</w:t>
            </w:r>
          </w:p>
        </w:tc>
      </w:tr>
      <w:tr w:rsidR="00D92CA8" w14:paraId="46E9841F" w14:textId="77777777" w:rsidTr="00D92CA8">
        <w:tc>
          <w:tcPr>
            <w:tcW w:w="817" w:type="dxa"/>
          </w:tcPr>
          <w:p w14:paraId="4E5407DC" w14:textId="74F5223B" w:rsidR="00D92CA8" w:rsidRDefault="00D92CA8" w:rsidP="00750BD4">
            <w:r>
              <w:t xml:space="preserve">8 </w:t>
            </w:r>
          </w:p>
        </w:tc>
        <w:tc>
          <w:tcPr>
            <w:tcW w:w="1843" w:type="dxa"/>
          </w:tcPr>
          <w:p w14:paraId="08BE72F2" w14:textId="77777777" w:rsidR="00D92CA8" w:rsidRDefault="00D92CA8" w:rsidP="00D92CA8">
            <w:r>
              <w:t>10 items</w:t>
            </w:r>
          </w:p>
        </w:tc>
        <w:tc>
          <w:tcPr>
            <w:tcW w:w="1559" w:type="dxa"/>
          </w:tcPr>
          <w:p w14:paraId="0D4C503C" w14:textId="77777777" w:rsidR="00D92CA8" w:rsidRDefault="00D92CA8" w:rsidP="00D92CA8">
            <w:r>
              <w:t>0.92</w:t>
            </w:r>
          </w:p>
          <w:p w14:paraId="43AEC89E" w14:textId="77777777" w:rsidR="00D92CA8" w:rsidRDefault="00D92CA8" w:rsidP="00D92CA8">
            <w:r>
              <w:t>0.100</w:t>
            </w:r>
          </w:p>
        </w:tc>
        <w:tc>
          <w:tcPr>
            <w:tcW w:w="4111" w:type="dxa"/>
          </w:tcPr>
          <w:p w14:paraId="23531F6E" w14:textId="77777777" w:rsidR="00D92CA8" w:rsidRDefault="00D92CA8" w:rsidP="00D92CA8">
            <w:r>
              <w:t>Best fitting model – 1 factor (Ab Cap) 10 items.</w:t>
            </w:r>
          </w:p>
        </w:tc>
      </w:tr>
    </w:tbl>
    <w:p w14:paraId="6D95BFB5" w14:textId="77777777" w:rsidR="0030533F" w:rsidRDefault="0030533F" w:rsidP="0030533F">
      <w:pPr>
        <w:spacing w:after="0" w:line="360" w:lineRule="auto"/>
      </w:pPr>
    </w:p>
    <w:p w14:paraId="1F724B26" w14:textId="77777777" w:rsidR="00750BD4" w:rsidRPr="00A52FE1" w:rsidRDefault="00750BD4" w:rsidP="0030533F">
      <w:pPr>
        <w:spacing w:after="0" w:line="360" w:lineRule="auto"/>
      </w:pPr>
    </w:p>
    <w:p w14:paraId="10D9E9FB" w14:textId="4267E203" w:rsidR="00693077" w:rsidRDefault="00AD11FF" w:rsidP="0030533F">
      <w:pPr>
        <w:spacing w:after="0" w:line="360" w:lineRule="auto"/>
      </w:pPr>
      <w:r w:rsidRPr="00A52FE1">
        <w:t xml:space="preserve">The best fitting model </w:t>
      </w:r>
      <w:r w:rsidR="00693077" w:rsidRPr="00A52FE1">
        <w:t>is a reduced item single factor model containing a combination of items originally classified as acquisition (1 item), assimilation (3 items), transformation (4 items) and exploitation  (2 items).</w:t>
      </w:r>
      <w:r w:rsidR="000D00E6">
        <w:t xml:space="preserve"> Even </w:t>
      </w:r>
      <w:r w:rsidR="00151F75" w:rsidRPr="00A52FE1">
        <w:t>though the RMSEA</w:t>
      </w:r>
      <w:r w:rsidRPr="00A52FE1">
        <w:t xml:space="preserve"> (</w:t>
      </w:r>
      <w:proofErr w:type="spellStart"/>
      <w:r w:rsidR="0016086D" w:rsidRPr="00A52FE1">
        <w:t>Steiger</w:t>
      </w:r>
      <w:proofErr w:type="spellEnd"/>
      <w:r w:rsidR="0016086D" w:rsidRPr="00A52FE1">
        <w:t>-Lind root mean square error of approximation</w:t>
      </w:r>
      <w:r w:rsidRPr="00A52FE1">
        <w:t>)</w:t>
      </w:r>
      <w:r w:rsidR="00151F75" w:rsidRPr="00A52FE1">
        <w:t xml:space="preserve"> measure is not below the desired 0.05</w:t>
      </w:r>
      <w:r w:rsidRPr="00A52FE1">
        <w:t>,</w:t>
      </w:r>
      <w:r w:rsidR="00151F75" w:rsidRPr="00A52FE1">
        <w:t xml:space="preserve"> at 0.1 it is acceptable and does not improve with further item reduction.  The CFI </w:t>
      </w:r>
      <w:r w:rsidR="0016086D" w:rsidRPr="00A52FE1">
        <w:t>(</w:t>
      </w:r>
      <w:proofErr w:type="spellStart"/>
      <w:r w:rsidR="0016086D" w:rsidRPr="00A52FE1">
        <w:t>Bentler</w:t>
      </w:r>
      <w:proofErr w:type="spellEnd"/>
      <w:r w:rsidR="0016086D" w:rsidRPr="00A52FE1">
        <w:t xml:space="preserve"> comparative fit index) </w:t>
      </w:r>
      <w:r w:rsidR="00151F75" w:rsidRPr="00A52FE1">
        <w:t>shows a very good fit at 0.924 and</w:t>
      </w:r>
      <w:r w:rsidR="00F05F4F">
        <w:t>,</w:t>
      </w:r>
      <w:r w:rsidR="00EC6533">
        <w:t xml:space="preserve"> </w:t>
      </w:r>
      <w:r w:rsidR="004C279D">
        <w:t>therefore</w:t>
      </w:r>
      <w:r w:rsidR="00F05F4F">
        <w:t>,</w:t>
      </w:r>
      <w:r w:rsidR="004C279D">
        <w:t xml:space="preserve"> </w:t>
      </w:r>
      <w:r w:rsidR="00EC6533">
        <w:t>model</w:t>
      </w:r>
      <w:r w:rsidR="004C279D">
        <w:t xml:space="preserve"> 8 was</w:t>
      </w:r>
      <w:r w:rsidR="00EC6533">
        <w:t xml:space="preserve"> selected to measure</w:t>
      </w:r>
      <w:r w:rsidR="00151F75" w:rsidRPr="00A52FE1">
        <w:t xml:space="preserve"> absorptive capacity </w:t>
      </w:r>
      <w:r w:rsidRPr="00A52FE1">
        <w:t xml:space="preserve">in </w:t>
      </w:r>
      <w:r w:rsidR="00151F75" w:rsidRPr="00A52FE1">
        <w:t>the meetings industry</w:t>
      </w:r>
      <w:r w:rsidR="00EC6533">
        <w:t>.</w:t>
      </w:r>
      <w:r w:rsidR="00564B31" w:rsidRPr="00A52FE1">
        <w:t xml:space="preserve"> </w:t>
      </w:r>
    </w:p>
    <w:p w14:paraId="6F60BF3F" w14:textId="77777777" w:rsidR="0030533F" w:rsidRPr="00A52FE1" w:rsidRDefault="0030533F" w:rsidP="0030533F">
      <w:pPr>
        <w:spacing w:after="0" w:line="360" w:lineRule="auto"/>
      </w:pPr>
    </w:p>
    <w:p w14:paraId="00ED7EE6" w14:textId="1C2C278F" w:rsidR="00A21969" w:rsidRDefault="00EC6533" w:rsidP="0030533F">
      <w:pPr>
        <w:spacing w:after="0" w:line="360" w:lineRule="auto"/>
      </w:pPr>
      <w:r>
        <w:lastRenderedPageBreak/>
        <w:t>S</w:t>
      </w:r>
      <w:r w:rsidR="001A0879" w:rsidRPr="00A52FE1">
        <w:t xml:space="preserve">tructural equation </w:t>
      </w:r>
      <w:r w:rsidR="00E57956" w:rsidRPr="00A52FE1">
        <w:t xml:space="preserve">modelling </w:t>
      </w:r>
      <w:r w:rsidR="001A0879" w:rsidRPr="00A52FE1">
        <w:t xml:space="preserve">revealed </w:t>
      </w:r>
      <w:r w:rsidR="00E57956" w:rsidRPr="00A52FE1">
        <w:t xml:space="preserve">that </w:t>
      </w:r>
      <w:r w:rsidR="001A0879" w:rsidRPr="00A52FE1">
        <w:t xml:space="preserve">the </w:t>
      </w:r>
      <w:r w:rsidR="00E57956" w:rsidRPr="00A52FE1">
        <w:t xml:space="preserve">four factor model </w:t>
      </w:r>
      <w:r w:rsidR="001A0879" w:rsidRPr="00A52FE1">
        <w:t xml:space="preserve">theorised extensively in the innovation literature and confirmed empirically in studies relating to manufacturing, does not </w:t>
      </w:r>
      <w:r w:rsidR="00E57956" w:rsidRPr="00A52FE1">
        <w:t>fit with absorptive capacity as it manifests itself in the meetings industry. Within this predominantly business-to-business service sector</w:t>
      </w:r>
      <w:r w:rsidR="001A0879" w:rsidRPr="00A52FE1">
        <w:t xml:space="preserve">, </w:t>
      </w:r>
      <w:r w:rsidR="00E57956" w:rsidRPr="00A52FE1">
        <w:t xml:space="preserve">absorptive capacity is </w:t>
      </w:r>
      <w:r w:rsidR="00960F4A">
        <w:t xml:space="preserve">less pronounced than has been found </w:t>
      </w:r>
      <w:r w:rsidR="00DB0095">
        <w:t>elsewhere</w:t>
      </w:r>
      <w:r w:rsidR="001A0879" w:rsidRPr="00A52FE1">
        <w:t>; outward facing knowledge acquisition activities are prominent and are clearly related to internal practices</w:t>
      </w:r>
      <w:r w:rsidR="001A0879" w:rsidRPr="00960F4A">
        <w:t xml:space="preserve">.  </w:t>
      </w:r>
      <w:r w:rsidR="00960F4A" w:rsidRPr="00960F4A">
        <w:t xml:space="preserve"> </w:t>
      </w:r>
      <w:r w:rsidR="002D1F04">
        <w:t>There is far greater emphasis</w:t>
      </w:r>
      <w:r w:rsidR="004C279D">
        <w:t xml:space="preserve"> </w:t>
      </w:r>
      <w:r w:rsidR="002D1F04">
        <w:t>on acquisition</w:t>
      </w:r>
      <w:r w:rsidR="00F05F4F">
        <w:t>, however,</w:t>
      </w:r>
      <w:r w:rsidR="002D1F04">
        <w:t xml:space="preserve"> rather than its subsequent use.  </w:t>
      </w:r>
      <w:r w:rsidR="001A0879" w:rsidRPr="002D1F04">
        <w:t>T</w:t>
      </w:r>
      <w:r w:rsidR="00E57956" w:rsidRPr="002D1F04">
        <w:t>he sampling</w:t>
      </w:r>
      <w:r w:rsidR="00E57956" w:rsidRPr="00960F4A">
        <w:t xml:space="preserve"> frame </w:t>
      </w:r>
      <w:r w:rsidR="001A0879" w:rsidRPr="00960F4A">
        <w:t xml:space="preserve">may explain some of this as all </w:t>
      </w:r>
      <w:r w:rsidR="00E57956" w:rsidRPr="00960F4A">
        <w:t>responde</w:t>
      </w:r>
      <w:r w:rsidR="00A21969" w:rsidRPr="00960F4A">
        <w:t>n</w:t>
      </w:r>
      <w:r w:rsidR="00E57956" w:rsidRPr="00960F4A">
        <w:t>ts had chosen to be me</w:t>
      </w:r>
      <w:r w:rsidR="005A37D2" w:rsidRPr="00960F4A">
        <w:t>m</w:t>
      </w:r>
      <w:r w:rsidR="00E57956" w:rsidRPr="00960F4A">
        <w:t>bers of an industry association</w:t>
      </w:r>
      <w:r w:rsidR="00EB111B" w:rsidRPr="00960F4A">
        <w:t>.  Howeve</w:t>
      </w:r>
      <w:r w:rsidR="00F05F4F">
        <w:t>r</w:t>
      </w:r>
      <w:r w:rsidR="00EB111B" w:rsidRPr="00960F4A">
        <w:t>, t</w:t>
      </w:r>
      <w:r w:rsidR="001A0879" w:rsidRPr="00960F4A">
        <w:t xml:space="preserve">he </w:t>
      </w:r>
      <w:r w:rsidR="002D1F04">
        <w:t xml:space="preserve">data from the </w:t>
      </w:r>
      <w:r w:rsidR="001A0879" w:rsidRPr="00960F4A">
        <w:t xml:space="preserve">qualitative interviews </w:t>
      </w:r>
      <w:r w:rsidR="002D1F04">
        <w:t xml:space="preserve">also lead to the tentative suggestion </w:t>
      </w:r>
      <w:r w:rsidR="001A0879" w:rsidRPr="00960F4A">
        <w:t>that even the organisations that were seen as among</w:t>
      </w:r>
      <w:r w:rsidR="004C279D">
        <w:t>st</w:t>
      </w:r>
      <w:r w:rsidR="001A0879" w:rsidRPr="00960F4A">
        <w:t xml:space="preserve"> the mos</w:t>
      </w:r>
      <w:r w:rsidR="002D1F04">
        <w:t>t innovative, paid</w:t>
      </w:r>
      <w:r w:rsidR="001A0879" w:rsidRPr="00960F4A">
        <w:t xml:space="preserve"> less attention to </w:t>
      </w:r>
      <w:r w:rsidR="004012AE" w:rsidRPr="00960F4A">
        <w:t xml:space="preserve">mechanisms </w:t>
      </w:r>
      <w:r w:rsidR="001A0879" w:rsidRPr="00960F4A">
        <w:t xml:space="preserve">required for knowledge sharing.  </w:t>
      </w:r>
      <w:r w:rsidR="005A37D2" w:rsidRPr="00960F4A">
        <w:t>Exploring the data further in terms of sub-group analysis shed</w:t>
      </w:r>
      <w:r w:rsidR="00A21969" w:rsidRPr="00960F4A">
        <w:t>s</w:t>
      </w:r>
      <w:r w:rsidR="005A37D2" w:rsidRPr="00960F4A">
        <w:t xml:space="preserve"> light on </w:t>
      </w:r>
      <w:r w:rsidR="00A21969" w:rsidRPr="00960F4A">
        <w:t xml:space="preserve">the particular characteristics of the </w:t>
      </w:r>
      <w:r w:rsidR="00A8206C" w:rsidRPr="00960F4A">
        <w:t>industry and how they impact upo</w:t>
      </w:r>
      <w:r w:rsidR="00A21969" w:rsidRPr="00960F4A">
        <w:t>n absorptive capacity</w:t>
      </w:r>
      <w:r w:rsidR="005A37D2" w:rsidRPr="00960F4A">
        <w:t>.</w:t>
      </w:r>
    </w:p>
    <w:p w14:paraId="0C292AA2" w14:textId="77777777" w:rsidR="0030533F" w:rsidRDefault="0030533F" w:rsidP="0030533F">
      <w:pPr>
        <w:spacing w:after="0" w:line="360" w:lineRule="auto"/>
      </w:pPr>
    </w:p>
    <w:p w14:paraId="7278D203" w14:textId="77777777" w:rsidR="00960F4A" w:rsidRPr="00A52FE1" w:rsidRDefault="00960F4A" w:rsidP="0030533F">
      <w:pPr>
        <w:spacing w:after="0" w:line="360" w:lineRule="auto"/>
      </w:pPr>
    </w:p>
    <w:p w14:paraId="3229FB4C" w14:textId="78D7786C" w:rsidR="00A21969" w:rsidRDefault="00EC6533" w:rsidP="0030533F">
      <w:pPr>
        <w:spacing w:after="0" w:line="360" w:lineRule="auto"/>
        <w:rPr>
          <w:i/>
        </w:rPr>
      </w:pPr>
      <w:r>
        <w:rPr>
          <w:i/>
        </w:rPr>
        <w:t>4.4</w:t>
      </w:r>
      <w:r w:rsidR="00B04E42">
        <w:rPr>
          <w:i/>
        </w:rPr>
        <w:t xml:space="preserve"> </w:t>
      </w:r>
      <w:r w:rsidR="00B856AD">
        <w:rPr>
          <w:i/>
        </w:rPr>
        <w:t>The a</w:t>
      </w:r>
      <w:r w:rsidR="00A21969" w:rsidRPr="00B04E42">
        <w:rPr>
          <w:i/>
        </w:rPr>
        <w:t>bsorptive</w:t>
      </w:r>
      <w:r w:rsidR="001A0879" w:rsidRPr="00B04E42">
        <w:rPr>
          <w:i/>
        </w:rPr>
        <w:t xml:space="preserve"> capacity </w:t>
      </w:r>
      <w:r w:rsidR="00B856AD">
        <w:rPr>
          <w:i/>
        </w:rPr>
        <w:t>of organisations in the meetings industry</w:t>
      </w:r>
    </w:p>
    <w:p w14:paraId="7F2DD1E8" w14:textId="77777777" w:rsidR="00B04E42" w:rsidRPr="00B04E42" w:rsidRDefault="00B04E42" w:rsidP="0030533F">
      <w:pPr>
        <w:spacing w:after="0" w:line="360" w:lineRule="auto"/>
        <w:rPr>
          <w:i/>
        </w:rPr>
      </w:pPr>
    </w:p>
    <w:p w14:paraId="0F9A5FDD" w14:textId="2C991E73" w:rsidR="004B3C1B" w:rsidRDefault="00A21969" w:rsidP="0030533F">
      <w:pPr>
        <w:spacing w:after="0" w:line="360" w:lineRule="auto"/>
      </w:pPr>
      <w:r w:rsidRPr="00A52FE1">
        <w:t>The items identified through structural equation modelling were combined to create a single measure of absorptive capacity</w:t>
      </w:r>
      <w:r w:rsidR="005A37D2" w:rsidRPr="00A52FE1">
        <w:t xml:space="preserve"> which could then be correlated with </w:t>
      </w:r>
      <w:r w:rsidR="002F274D">
        <w:t>sub-</w:t>
      </w:r>
      <w:r w:rsidRPr="00A52FE1">
        <w:t xml:space="preserve">sample </w:t>
      </w:r>
      <w:r w:rsidR="005A37D2" w:rsidRPr="00A52FE1">
        <w:t xml:space="preserve">characteristics </w:t>
      </w:r>
      <w:r w:rsidRPr="00A52FE1">
        <w:t xml:space="preserve">and </w:t>
      </w:r>
      <w:r w:rsidR="005A37D2" w:rsidRPr="00A52FE1">
        <w:t>the self-reported</w:t>
      </w:r>
      <w:r w:rsidR="00A8206C" w:rsidRPr="00A52FE1">
        <w:t xml:space="preserve"> single</w:t>
      </w:r>
      <w:r w:rsidR="005A37D2" w:rsidRPr="00A52FE1">
        <w:t xml:space="preserve"> measures of potential absorptive capacity, realised absorptive capacity and relative innovativeness</w:t>
      </w:r>
      <w:r w:rsidRPr="00A52FE1">
        <w:t>. The distribution of this measure of absorptiv</w:t>
      </w:r>
      <w:r w:rsidR="00EB111B" w:rsidRPr="00A52FE1">
        <w:t xml:space="preserve">e capacity is shown in Figure </w:t>
      </w:r>
      <w:r w:rsidR="002F274D">
        <w:t>2</w:t>
      </w:r>
      <w:r w:rsidR="0030533F">
        <w:t>.</w:t>
      </w:r>
    </w:p>
    <w:p w14:paraId="620EB9A4" w14:textId="77777777" w:rsidR="0030533F" w:rsidRPr="00A52FE1" w:rsidRDefault="0030533F" w:rsidP="0030533F">
      <w:pPr>
        <w:spacing w:after="0" w:line="360" w:lineRule="auto"/>
      </w:pPr>
    </w:p>
    <w:p w14:paraId="5E770D52" w14:textId="790DA5DF" w:rsidR="00D92CA8" w:rsidRDefault="002F274D" w:rsidP="00D92CA8">
      <w:r>
        <w:t>Figure 2</w:t>
      </w:r>
      <w:r w:rsidR="00D92CA8">
        <w:t xml:space="preserve"> Absorptive capacity score distribution</w:t>
      </w:r>
    </w:p>
    <w:p w14:paraId="1846E4B9" w14:textId="77777777" w:rsidR="00D92CA8" w:rsidRDefault="00D92CA8" w:rsidP="00D92CA8">
      <w:r w:rsidRPr="004B3C1B">
        <w:rPr>
          <w:noProof/>
          <w:lang w:eastAsia="en-GB"/>
        </w:rPr>
        <w:drawing>
          <wp:inline distT="0" distB="0" distL="0" distR="0" wp14:anchorId="7D2E5079" wp14:editId="4EB8B9EA">
            <wp:extent cx="3739732" cy="31472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1987" cy="3149105"/>
                    </a:xfrm>
                    <a:prstGeom prst="rect">
                      <a:avLst/>
                    </a:prstGeom>
                  </pic:spPr>
                </pic:pic>
              </a:graphicData>
            </a:graphic>
          </wp:inline>
        </w:drawing>
      </w:r>
    </w:p>
    <w:p w14:paraId="0FF917B2" w14:textId="77777777" w:rsidR="0030533F" w:rsidRPr="00A52FE1" w:rsidRDefault="0030533F" w:rsidP="0030533F">
      <w:pPr>
        <w:spacing w:after="0" w:line="360" w:lineRule="auto"/>
      </w:pPr>
    </w:p>
    <w:p w14:paraId="3D5DF4AC" w14:textId="3205F0E0" w:rsidR="00D92CA8" w:rsidRDefault="00EB111B" w:rsidP="0030533F">
      <w:pPr>
        <w:spacing w:after="0" w:line="360" w:lineRule="auto"/>
      </w:pPr>
      <w:r w:rsidRPr="00A52FE1">
        <w:t>With ten</w:t>
      </w:r>
      <w:r w:rsidR="004B3C1B" w:rsidRPr="00A52FE1">
        <w:t xml:space="preserve"> items and a five point </w:t>
      </w:r>
      <w:proofErr w:type="spellStart"/>
      <w:r w:rsidR="004B3C1B" w:rsidRPr="00A52FE1">
        <w:t>likert</w:t>
      </w:r>
      <w:proofErr w:type="spellEnd"/>
      <w:r w:rsidR="004B3C1B" w:rsidRPr="00A52FE1">
        <w:t xml:space="preserve"> </w:t>
      </w:r>
      <w:r w:rsidR="00A21969" w:rsidRPr="00A52FE1">
        <w:t>scale</w:t>
      </w:r>
      <w:r w:rsidR="00A17D30">
        <w:t>,</w:t>
      </w:r>
      <w:r w:rsidR="004B3C1B" w:rsidRPr="00A52FE1">
        <w:t xml:space="preserve"> the maximu</w:t>
      </w:r>
      <w:r w:rsidRPr="00A52FE1">
        <w:t>m score that could be achieved was fifty and the minimum was five</w:t>
      </w:r>
      <w:r w:rsidR="004D40D6">
        <w:t>. T</w:t>
      </w:r>
      <w:r w:rsidR="004B3C1B" w:rsidRPr="00A52FE1">
        <w:t xml:space="preserve">here is generally a normal spread </w:t>
      </w:r>
      <w:r w:rsidR="004D40D6">
        <w:t>but there are</w:t>
      </w:r>
      <w:r w:rsidR="004B3C1B" w:rsidRPr="00A52FE1">
        <w:t xml:space="preserve"> also a significant number of </w:t>
      </w:r>
      <w:r w:rsidR="00A21969" w:rsidRPr="00A52FE1">
        <w:t>organisations</w:t>
      </w:r>
      <w:r w:rsidR="004B3C1B" w:rsidRPr="00A52FE1">
        <w:t xml:space="preserve"> (2.4%) who show extremely high levels of absorptive capacity</w:t>
      </w:r>
      <w:r w:rsidR="00A8206C" w:rsidRPr="00A52FE1">
        <w:t>. Correlations were performed to ascertain whether the characteris</w:t>
      </w:r>
      <w:r w:rsidRPr="00A52FE1">
        <w:t>tics of the organisations and</w:t>
      </w:r>
      <w:r w:rsidR="00A8206C" w:rsidRPr="00A52FE1">
        <w:t xml:space="preserve"> respondent</w:t>
      </w:r>
      <w:r w:rsidRPr="00A52FE1">
        <w:t>s</w:t>
      </w:r>
      <w:r w:rsidR="00A8206C" w:rsidRPr="00A52FE1">
        <w:t xml:space="preserve"> were related to the abs</w:t>
      </w:r>
      <w:r w:rsidRPr="00A52FE1">
        <w:t xml:space="preserve">orptive capacity score. Table </w:t>
      </w:r>
      <w:r w:rsidR="00F242D8">
        <w:t>2</w:t>
      </w:r>
      <w:r w:rsidR="00A8206C" w:rsidRPr="00A52FE1">
        <w:t xml:space="preserve"> shows the results of this </w:t>
      </w:r>
      <w:r w:rsidR="00DF67AB">
        <w:t xml:space="preserve">analysis </w:t>
      </w:r>
      <w:r w:rsidR="00A8206C" w:rsidRPr="00A52FE1">
        <w:t xml:space="preserve">as well as the correlations with the </w:t>
      </w:r>
      <w:r w:rsidR="0016086D" w:rsidRPr="00A52FE1">
        <w:t xml:space="preserve">three </w:t>
      </w:r>
      <w:r w:rsidR="00A8206C" w:rsidRPr="00A52FE1">
        <w:t>single</w:t>
      </w:r>
      <w:r w:rsidR="0016086D" w:rsidRPr="00A52FE1">
        <w:t xml:space="preserve"> item</w:t>
      </w:r>
      <w:r w:rsidR="00A8206C" w:rsidRPr="00A52FE1">
        <w:t xml:space="preserve"> question</w:t>
      </w:r>
      <w:r w:rsidR="0016086D" w:rsidRPr="00A52FE1">
        <w:t>s</w:t>
      </w:r>
      <w:r w:rsidR="00A8206C" w:rsidRPr="00A52FE1">
        <w:t xml:space="preserve"> </w:t>
      </w:r>
      <w:r w:rsidR="0016086D" w:rsidRPr="00A52FE1">
        <w:t>which assessed</w:t>
      </w:r>
      <w:r w:rsidR="00A8206C" w:rsidRPr="00A52FE1">
        <w:t xml:space="preserve"> </w:t>
      </w:r>
      <w:r w:rsidR="00DF67AB">
        <w:t xml:space="preserve">organisations’ </w:t>
      </w:r>
      <w:r w:rsidR="00A8206C" w:rsidRPr="00A52FE1">
        <w:t xml:space="preserve">ability to acquire and assimilate knowledge, </w:t>
      </w:r>
      <w:r w:rsidR="00DF67AB">
        <w:t xml:space="preserve">an </w:t>
      </w:r>
      <w:r w:rsidR="00A8206C" w:rsidRPr="00A52FE1">
        <w:t xml:space="preserve">ability to transform and exploit knowledge and </w:t>
      </w:r>
      <w:r w:rsidR="00DF67AB">
        <w:t xml:space="preserve">the </w:t>
      </w:r>
      <w:r w:rsidR="00A8206C" w:rsidRPr="00A52FE1">
        <w:t>level of innovativeness relative to others in the sector.</w:t>
      </w:r>
    </w:p>
    <w:p w14:paraId="17F7E223" w14:textId="77777777" w:rsidR="0030533F" w:rsidRPr="00A52FE1" w:rsidRDefault="0030533F" w:rsidP="0030533F">
      <w:pPr>
        <w:spacing w:after="0" w:line="360" w:lineRule="auto"/>
      </w:pPr>
    </w:p>
    <w:p w14:paraId="4CC80E8B" w14:textId="160F2365" w:rsidR="00D92CA8" w:rsidRPr="00DE434E" w:rsidRDefault="00F242D8" w:rsidP="00D92CA8">
      <w:pPr>
        <w:autoSpaceDE w:val="0"/>
        <w:autoSpaceDN w:val="0"/>
        <w:adjustRightInd w:val="0"/>
        <w:spacing w:after="0" w:line="240" w:lineRule="auto"/>
        <w:rPr>
          <w:rFonts w:cstheme="minorHAnsi"/>
        </w:rPr>
      </w:pPr>
      <w:r>
        <w:rPr>
          <w:rFonts w:cstheme="minorHAnsi"/>
        </w:rPr>
        <w:t>Table 2</w:t>
      </w:r>
      <w:r w:rsidR="00D92CA8" w:rsidRPr="00DE434E">
        <w:rPr>
          <w:rFonts w:cstheme="minorHAnsi"/>
        </w:rPr>
        <w:t xml:space="preserve"> Correlations with organisation characteristics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66"/>
        <w:gridCol w:w="2052"/>
        <w:gridCol w:w="1273"/>
        <w:gridCol w:w="1385"/>
        <w:gridCol w:w="1563"/>
        <w:gridCol w:w="1219"/>
        <w:gridCol w:w="468"/>
      </w:tblGrid>
      <w:tr w:rsidR="00D92CA8" w:rsidRPr="00A8206C" w14:paraId="62035AE3" w14:textId="77777777" w:rsidTr="00D92CA8">
        <w:trPr>
          <w:cantSplit/>
        </w:trPr>
        <w:tc>
          <w:tcPr>
            <w:tcW w:w="5000" w:type="pct"/>
            <w:gridSpan w:val="7"/>
            <w:tcBorders>
              <w:top w:val="nil"/>
              <w:left w:val="nil"/>
              <w:bottom w:val="nil"/>
              <w:right w:val="nil"/>
            </w:tcBorders>
            <w:shd w:val="clear" w:color="auto" w:fill="FFFFFF"/>
            <w:vAlign w:val="center"/>
          </w:tcPr>
          <w:p w14:paraId="31E2B9EC" w14:textId="77777777" w:rsidR="00D92CA8" w:rsidRPr="00A8206C" w:rsidRDefault="00D92CA8" w:rsidP="00D92CA8">
            <w:pPr>
              <w:autoSpaceDE w:val="0"/>
              <w:autoSpaceDN w:val="0"/>
              <w:adjustRightInd w:val="0"/>
              <w:spacing w:after="0" w:line="320" w:lineRule="atLeast"/>
              <w:ind w:left="60" w:right="60"/>
              <w:jc w:val="center"/>
              <w:rPr>
                <w:rFonts w:ascii="Arial" w:hAnsi="Arial" w:cs="Arial"/>
                <w:color w:val="000000"/>
                <w:sz w:val="14"/>
                <w:szCs w:val="18"/>
              </w:rPr>
            </w:pPr>
          </w:p>
        </w:tc>
      </w:tr>
      <w:tr w:rsidR="00D92CA8" w:rsidRPr="00A8206C" w14:paraId="1B9DEE27" w14:textId="77777777" w:rsidTr="00D92CA8">
        <w:trPr>
          <w:gridAfter w:val="1"/>
          <w:wAfter w:w="259" w:type="pct"/>
          <w:cantSplit/>
        </w:trPr>
        <w:tc>
          <w:tcPr>
            <w:tcW w:w="1727" w:type="pct"/>
            <w:gridSpan w:val="2"/>
            <w:tcBorders>
              <w:top w:val="single" w:sz="16" w:space="0" w:color="000000"/>
              <w:left w:val="single" w:sz="16" w:space="0" w:color="000000"/>
              <w:bottom w:val="single" w:sz="16" w:space="0" w:color="000000"/>
              <w:right w:val="nil"/>
            </w:tcBorders>
            <w:shd w:val="clear" w:color="auto" w:fill="FFFFFF"/>
            <w:vAlign w:val="center"/>
          </w:tcPr>
          <w:p w14:paraId="35C2B399" w14:textId="77777777" w:rsidR="00D92CA8" w:rsidRPr="00A8206C" w:rsidRDefault="00D92CA8" w:rsidP="00D92CA8">
            <w:pPr>
              <w:autoSpaceDE w:val="0"/>
              <w:autoSpaceDN w:val="0"/>
              <w:adjustRightInd w:val="0"/>
              <w:spacing w:after="0" w:line="240" w:lineRule="auto"/>
              <w:rPr>
                <w:rFonts w:ascii="Times New Roman" w:hAnsi="Times New Roman" w:cs="Times New Roman"/>
                <w:sz w:val="14"/>
                <w:szCs w:val="24"/>
              </w:rPr>
            </w:pPr>
            <w:r>
              <w:rPr>
                <w:rFonts w:ascii="Times New Roman" w:hAnsi="Times New Roman" w:cs="Times New Roman"/>
                <w:sz w:val="20"/>
                <w:szCs w:val="24"/>
              </w:rPr>
              <w:t xml:space="preserve"> </w:t>
            </w:r>
            <w:r w:rsidRPr="00C346B9">
              <w:rPr>
                <w:rFonts w:ascii="Times New Roman" w:hAnsi="Times New Roman" w:cs="Times New Roman"/>
                <w:sz w:val="20"/>
                <w:szCs w:val="24"/>
              </w:rPr>
              <w:t>Characteristic</w:t>
            </w:r>
          </w:p>
        </w:tc>
        <w:tc>
          <w:tcPr>
            <w:tcW w:w="705" w:type="pct"/>
            <w:tcBorders>
              <w:top w:val="single" w:sz="16" w:space="0" w:color="000000"/>
              <w:bottom w:val="single" w:sz="16" w:space="0" w:color="000000"/>
            </w:tcBorders>
            <w:shd w:val="clear" w:color="auto" w:fill="FFFFFF"/>
            <w:vAlign w:val="bottom"/>
          </w:tcPr>
          <w:p w14:paraId="0970B519" w14:textId="77777777" w:rsidR="00D92CA8" w:rsidRPr="00A8206C" w:rsidRDefault="00D92CA8" w:rsidP="00D92CA8">
            <w:pPr>
              <w:autoSpaceDE w:val="0"/>
              <w:autoSpaceDN w:val="0"/>
              <w:adjustRightInd w:val="0"/>
              <w:spacing w:after="0" w:line="320" w:lineRule="atLeast"/>
              <w:ind w:left="60" w:right="60"/>
              <w:jc w:val="center"/>
              <w:rPr>
                <w:rFonts w:ascii="Arial" w:hAnsi="Arial" w:cs="Arial"/>
                <w:color w:val="000000"/>
                <w:sz w:val="14"/>
                <w:szCs w:val="18"/>
              </w:rPr>
            </w:pPr>
            <w:r w:rsidRPr="00A8206C">
              <w:rPr>
                <w:rFonts w:ascii="Arial" w:hAnsi="Arial" w:cs="Arial"/>
                <w:color w:val="000000"/>
                <w:sz w:val="14"/>
                <w:szCs w:val="18"/>
              </w:rPr>
              <w:t>ACQUIRE and ASSIMILATE</w:t>
            </w:r>
          </w:p>
        </w:tc>
        <w:tc>
          <w:tcPr>
            <w:tcW w:w="767" w:type="pct"/>
            <w:tcBorders>
              <w:top w:val="single" w:sz="16" w:space="0" w:color="000000"/>
              <w:bottom w:val="single" w:sz="16" w:space="0" w:color="000000"/>
            </w:tcBorders>
            <w:shd w:val="clear" w:color="auto" w:fill="FFFFFF"/>
            <w:vAlign w:val="bottom"/>
          </w:tcPr>
          <w:p w14:paraId="43E0429E" w14:textId="77777777" w:rsidR="00D92CA8" w:rsidRPr="00A8206C" w:rsidRDefault="00D92CA8" w:rsidP="00D92CA8">
            <w:pPr>
              <w:autoSpaceDE w:val="0"/>
              <w:autoSpaceDN w:val="0"/>
              <w:adjustRightInd w:val="0"/>
              <w:spacing w:after="0" w:line="320" w:lineRule="atLeast"/>
              <w:ind w:left="60" w:right="60"/>
              <w:jc w:val="center"/>
              <w:rPr>
                <w:rFonts w:ascii="Arial" w:hAnsi="Arial" w:cs="Arial"/>
                <w:color w:val="000000"/>
                <w:sz w:val="14"/>
                <w:szCs w:val="18"/>
              </w:rPr>
            </w:pPr>
            <w:r w:rsidRPr="00A8206C">
              <w:rPr>
                <w:rFonts w:ascii="Arial" w:hAnsi="Arial" w:cs="Arial"/>
                <w:color w:val="000000"/>
                <w:sz w:val="14"/>
                <w:szCs w:val="18"/>
              </w:rPr>
              <w:t>APPLY and EXPLOIT</w:t>
            </w:r>
          </w:p>
        </w:tc>
        <w:tc>
          <w:tcPr>
            <w:tcW w:w="866" w:type="pct"/>
            <w:tcBorders>
              <w:top w:val="single" w:sz="16" w:space="0" w:color="000000"/>
              <w:bottom w:val="single" w:sz="16" w:space="0" w:color="000000"/>
            </w:tcBorders>
            <w:shd w:val="clear" w:color="auto" w:fill="FFFFFF"/>
            <w:vAlign w:val="bottom"/>
          </w:tcPr>
          <w:p w14:paraId="0D688CA1" w14:textId="77777777" w:rsidR="00D92CA8" w:rsidRPr="00A8206C" w:rsidRDefault="00D92CA8" w:rsidP="00D92CA8">
            <w:pPr>
              <w:autoSpaceDE w:val="0"/>
              <w:autoSpaceDN w:val="0"/>
              <w:adjustRightInd w:val="0"/>
              <w:spacing w:after="0" w:line="320" w:lineRule="atLeast"/>
              <w:ind w:left="60" w:right="60"/>
              <w:jc w:val="center"/>
              <w:rPr>
                <w:rFonts w:ascii="Arial" w:hAnsi="Arial" w:cs="Arial"/>
                <w:color w:val="000000"/>
                <w:sz w:val="14"/>
                <w:szCs w:val="18"/>
              </w:rPr>
            </w:pPr>
            <w:r>
              <w:rPr>
                <w:rFonts w:ascii="Arial" w:hAnsi="Arial" w:cs="Arial"/>
                <w:color w:val="000000"/>
                <w:sz w:val="14"/>
                <w:szCs w:val="18"/>
              </w:rPr>
              <w:t>Relative Innovativeness</w:t>
            </w:r>
          </w:p>
        </w:tc>
        <w:tc>
          <w:tcPr>
            <w:tcW w:w="675" w:type="pct"/>
            <w:tcBorders>
              <w:top w:val="single" w:sz="16" w:space="0" w:color="000000"/>
              <w:bottom w:val="single" w:sz="16" w:space="0" w:color="000000"/>
              <w:right w:val="single" w:sz="16" w:space="0" w:color="000000"/>
            </w:tcBorders>
            <w:shd w:val="clear" w:color="auto" w:fill="FFFFFF"/>
            <w:vAlign w:val="bottom"/>
          </w:tcPr>
          <w:p w14:paraId="7EE7BF2C" w14:textId="77777777" w:rsidR="00D92CA8" w:rsidRPr="00A8206C" w:rsidRDefault="00D92CA8" w:rsidP="00D92CA8">
            <w:pPr>
              <w:autoSpaceDE w:val="0"/>
              <w:autoSpaceDN w:val="0"/>
              <w:adjustRightInd w:val="0"/>
              <w:spacing w:after="0" w:line="320" w:lineRule="atLeast"/>
              <w:ind w:left="60" w:right="60"/>
              <w:jc w:val="center"/>
              <w:rPr>
                <w:rFonts w:ascii="Arial" w:hAnsi="Arial" w:cs="Arial"/>
                <w:color w:val="000000"/>
                <w:sz w:val="14"/>
                <w:szCs w:val="18"/>
              </w:rPr>
            </w:pPr>
            <w:r w:rsidRPr="00A8206C">
              <w:rPr>
                <w:rFonts w:ascii="Arial" w:hAnsi="Arial" w:cs="Arial"/>
                <w:color w:val="000000"/>
                <w:sz w:val="14"/>
                <w:szCs w:val="18"/>
              </w:rPr>
              <w:t>Ab Cap Score</w:t>
            </w:r>
          </w:p>
        </w:tc>
      </w:tr>
      <w:tr w:rsidR="00D92CA8" w:rsidRPr="00A8206C" w14:paraId="1CD6CFE1" w14:textId="77777777" w:rsidTr="00D92CA8">
        <w:trPr>
          <w:gridAfter w:val="1"/>
          <w:wAfter w:w="259" w:type="pct"/>
          <w:cantSplit/>
        </w:trPr>
        <w:tc>
          <w:tcPr>
            <w:tcW w:w="591" w:type="pct"/>
            <w:vMerge w:val="restart"/>
            <w:tcBorders>
              <w:top w:val="single" w:sz="16" w:space="0" w:color="000000"/>
              <w:left w:val="single" w:sz="16" w:space="0" w:color="000000"/>
              <w:right w:val="nil"/>
            </w:tcBorders>
            <w:shd w:val="clear" w:color="auto" w:fill="FFFFFF"/>
          </w:tcPr>
          <w:p w14:paraId="14C608B1" w14:textId="77777777" w:rsidR="00D92CA8" w:rsidRPr="00A8206C" w:rsidRDefault="00D92CA8" w:rsidP="00D92CA8">
            <w:pPr>
              <w:autoSpaceDE w:val="0"/>
              <w:autoSpaceDN w:val="0"/>
              <w:adjustRightInd w:val="0"/>
              <w:spacing w:after="0" w:line="320" w:lineRule="atLeast"/>
              <w:ind w:left="60" w:right="60"/>
              <w:rPr>
                <w:rFonts w:ascii="Arial" w:hAnsi="Arial" w:cs="Arial"/>
                <w:b/>
                <w:color w:val="000000"/>
                <w:sz w:val="14"/>
                <w:szCs w:val="18"/>
              </w:rPr>
            </w:pPr>
            <w:r w:rsidRPr="00A8206C">
              <w:rPr>
                <w:rFonts w:ascii="Arial" w:hAnsi="Arial" w:cs="Arial"/>
                <w:b/>
                <w:color w:val="000000"/>
                <w:sz w:val="14"/>
                <w:szCs w:val="18"/>
              </w:rPr>
              <w:t>Number of employees</w:t>
            </w:r>
          </w:p>
        </w:tc>
        <w:tc>
          <w:tcPr>
            <w:tcW w:w="1137" w:type="pct"/>
            <w:tcBorders>
              <w:top w:val="single" w:sz="16" w:space="0" w:color="000000"/>
              <w:left w:val="nil"/>
              <w:bottom w:val="nil"/>
              <w:right w:val="single" w:sz="16" w:space="0" w:color="000000"/>
            </w:tcBorders>
            <w:shd w:val="clear" w:color="auto" w:fill="FFFFFF"/>
          </w:tcPr>
          <w:p w14:paraId="0C481C76"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single" w:sz="16" w:space="0" w:color="000000"/>
              <w:bottom w:val="nil"/>
            </w:tcBorders>
            <w:shd w:val="clear" w:color="auto" w:fill="FFFFFF"/>
            <w:vAlign w:val="center"/>
          </w:tcPr>
          <w:p w14:paraId="45788A2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.071</w:t>
            </w:r>
          </w:p>
        </w:tc>
        <w:tc>
          <w:tcPr>
            <w:tcW w:w="767" w:type="pct"/>
            <w:tcBorders>
              <w:top w:val="single" w:sz="16" w:space="0" w:color="000000"/>
              <w:bottom w:val="nil"/>
            </w:tcBorders>
            <w:shd w:val="clear" w:color="auto" w:fill="FFFFFF"/>
            <w:vAlign w:val="center"/>
          </w:tcPr>
          <w:p w14:paraId="3C589EE2"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.098</w:t>
            </w:r>
          </w:p>
        </w:tc>
        <w:tc>
          <w:tcPr>
            <w:tcW w:w="866" w:type="pct"/>
            <w:tcBorders>
              <w:top w:val="single" w:sz="16" w:space="0" w:color="000000"/>
              <w:bottom w:val="nil"/>
            </w:tcBorders>
            <w:shd w:val="clear" w:color="auto" w:fill="FFFFFF"/>
            <w:vAlign w:val="center"/>
          </w:tcPr>
          <w:p w14:paraId="2ED41E1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.078</w:t>
            </w:r>
          </w:p>
        </w:tc>
        <w:tc>
          <w:tcPr>
            <w:tcW w:w="675" w:type="pct"/>
            <w:tcBorders>
              <w:top w:val="single" w:sz="16" w:space="0" w:color="000000"/>
              <w:bottom w:val="nil"/>
              <w:right w:val="single" w:sz="16" w:space="0" w:color="000000"/>
            </w:tcBorders>
            <w:shd w:val="clear" w:color="auto" w:fill="FFFFFF"/>
            <w:vAlign w:val="center"/>
          </w:tcPr>
          <w:p w14:paraId="1A9337F7"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.045</w:t>
            </w:r>
          </w:p>
        </w:tc>
      </w:tr>
      <w:tr w:rsidR="00D92CA8" w:rsidRPr="00A8206C" w14:paraId="32EB7BAC" w14:textId="77777777" w:rsidTr="00D92CA8">
        <w:trPr>
          <w:gridAfter w:val="1"/>
          <w:wAfter w:w="259" w:type="pct"/>
          <w:cantSplit/>
        </w:trPr>
        <w:tc>
          <w:tcPr>
            <w:tcW w:w="591" w:type="pct"/>
            <w:vMerge/>
            <w:tcBorders>
              <w:top w:val="single" w:sz="16" w:space="0" w:color="000000"/>
              <w:left w:val="single" w:sz="16" w:space="0" w:color="000000"/>
              <w:right w:val="nil"/>
            </w:tcBorders>
            <w:shd w:val="clear" w:color="auto" w:fill="FFFFFF"/>
          </w:tcPr>
          <w:p w14:paraId="77F1B9B6"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0F6E6631"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19532F02"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.327</w:t>
            </w:r>
          </w:p>
        </w:tc>
        <w:tc>
          <w:tcPr>
            <w:tcW w:w="767" w:type="pct"/>
            <w:tcBorders>
              <w:top w:val="nil"/>
              <w:bottom w:val="nil"/>
            </w:tcBorders>
            <w:shd w:val="clear" w:color="auto" w:fill="FFFFFF"/>
            <w:vAlign w:val="center"/>
          </w:tcPr>
          <w:p w14:paraId="273F24F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.179</w:t>
            </w:r>
          </w:p>
        </w:tc>
        <w:tc>
          <w:tcPr>
            <w:tcW w:w="866" w:type="pct"/>
            <w:tcBorders>
              <w:top w:val="nil"/>
              <w:bottom w:val="nil"/>
            </w:tcBorders>
            <w:shd w:val="clear" w:color="auto" w:fill="FFFFFF"/>
            <w:vAlign w:val="center"/>
          </w:tcPr>
          <w:p w14:paraId="3C79C4EA"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.296</w:t>
            </w:r>
          </w:p>
        </w:tc>
        <w:tc>
          <w:tcPr>
            <w:tcW w:w="675" w:type="pct"/>
            <w:tcBorders>
              <w:top w:val="nil"/>
              <w:bottom w:val="nil"/>
              <w:right w:val="single" w:sz="16" w:space="0" w:color="000000"/>
            </w:tcBorders>
            <w:shd w:val="clear" w:color="auto" w:fill="FFFFFF"/>
            <w:vAlign w:val="center"/>
          </w:tcPr>
          <w:p w14:paraId="26840CCA"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.516</w:t>
            </w:r>
          </w:p>
        </w:tc>
      </w:tr>
      <w:tr w:rsidR="00D92CA8" w:rsidRPr="00A8206C" w14:paraId="3225ED9F" w14:textId="77777777" w:rsidTr="00D92CA8">
        <w:trPr>
          <w:gridAfter w:val="1"/>
          <w:wAfter w:w="259" w:type="pct"/>
          <w:cantSplit/>
        </w:trPr>
        <w:tc>
          <w:tcPr>
            <w:tcW w:w="591" w:type="pct"/>
            <w:vMerge/>
            <w:tcBorders>
              <w:top w:val="single" w:sz="16" w:space="0" w:color="000000"/>
              <w:left w:val="single" w:sz="16" w:space="0" w:color="000000"/>
              <w:right w:val="nil"/>
            </w:tcBorders>
            <w:shd w:val="clear" w:color="auto" w:fill="FFFFFF"/>
          </w:tcPr>
          <w:p w14:paraId="0EF44A9B"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4CDEDCF9"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1CD00CEF"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190</w:t>
            </w:r>
          </w:p>
        </w:tc>
        <w:tc>
          <w:tcPr>
            <w:tcW w:w="767" w:type="pct"/>
            <w:tcBorders>
              <w:top w:val="nil"/>
            </w:tcBorders>
            <w:shd w:val="clear" w:color="auto" w:fill="FFFFFF"/>
            <w:vAlign w:val="center"/>
          </w:tcPr>
          <w:p w14:paraId="748CE372"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189</w:t>
            </w:r>
          </w:p>
        </w:tc>
        <w:tc>
          <w:tcPr>
            <w:tcW w:w="866" w:type="pct"/>
            <w:tcBorders>
              <w:top w:val="nil"/>
            </w:tcBorders>
            <w:shd w:val="clear" w:color="auto" w:fill="FFFFFF"/>
            <w:vAlign w:val="center"/>
          </w:tcPr>
          <w:p w14:paraId="5BFE763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182</w:t>
            </w:r>
          </w:p>
        </w:tc>
        <w:tc>
          <w:tcPr>
            <w:tcW w:w="675" w:type="pct"/>
            <w:tcBorders>
              <w:top w:val="nil"/>
              <w:right w:val="single" w:sz="16" w:space="0" w:color="000000"/>
            </w:tcBorders>
            <w:shd w:val="clear" w:color="auto" w:fill="FFFFFF"/>
            <w:vAlign w:val="center"/>
          </w:tcPr>
          <w:p w14:paraId="4C09E1B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208</w:t>
            </w:r>
          </w:p>
        </w:tc>
      </w:tr>
      <w:tr w:rsidR="00D92CA8" w:rsidRPr="00A8206C" w14:paraId="0A78FBAE" w14:textId="77777777" w:rsidTr="00D92CA8">
        <w:trPr>
          <w:gridAfter w:val="1"/>
          <w:wAfter w:w="259" w:type="pct"/>
          <w:cantSplit/>
        </w:trPr>
        <w:tc>
          <w:tcPr>
            <w:tcW w:w="591" w:type="pct"/>
            <w:vMerge w:val="restart"/>
            <w:tcBorders>
              <w:top w:val="nil"/>
              <w:left w:val="single" w:sz="16" w:space="0" w:color="000000"/>
              <w:right w:val="nil"/>
            </w:tcBorders>
            <w:shd w:val="clear" w:color="auto" w:fill="FFFFFF"/>
          </w:tcPr>
          <w:p w14:paraId="7419BE0E" w14:textId="77777777" w:rsidR="00D92CA8" w:rsidRPr="00A8206C" w:rsidRDefault="00D92CA8" w:rsidP="00D92CA8">
            <w:pPr>
              <w:autoSpaceDE w:val="0"/>
              <w:autoSpaceDN w:val="0"/>
              <w:adjustRightInd w:val="0"/>
              <w:spacing w:after="0" w:line="320" w:lineRule="atLeast"/>
              <w:ind w:left="60" w:right="60"/>
              <w:rPr>
                <w:rFonts w:ascii="Arial" w:hAnsi="Arial" w:cs="Arial"/>
                <w:b/>
                <w:color w:val="000000"/>
                <w:sz w:val="14"/>
                <w:szCs w:val="18"/>
              </w:rPr>
            </w:pPr>
            <w:r w:rsidRPr="00A8206C">
              <w:rPr>
                <w:rFonts w:ascii="Arial" w:hAnsi="Arial" w:cs="Arial"/>
                <w:b/>
                <w:color w:val="000000"/>
                <w:sz w:val="14"/>
                <w:szCs w:val="18"/>
              </w:rPr>
              <w:t>Years in operation</w:t>
            </w:r>
          </w:p>
        </w:tc>
        <w:tc>
          <w:tcPr>
            <w:tcW w:w="1137" w:type="pct"/>
            <w:tcBorders>
              <w:top w:val="nil"/>
              <w:left w:val="nil"/>
              <w:bottom w:val="nil"/>
              <w:right w:val="single" w:sz="16" w:space="0" w:color="000000"/>
            </w:tcBorders>
            <w:shd w:val="clear" w:color="auto" w:fill="FFFFFF"/>
          </w:tcPr>
          <w:p w14:paraId="1A9D225D"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nil"/>
              <w:bottom w:val="nil"/>
            </w:tcBorders>
            <w:shd w:val="clear" w:color="auto" w:fill="FFFFFF"/>
            <w:vAlign w:val="center"/>
          </w:tcPr>
          <w:p w14:paraId="193C0641"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.110</w:t>
            </w:r>
          </w:p>
        </w:tc>
        <w:tc>
          <w:tcPr>
            <w:tcW w:w="767" w:type="pct"/>
            <w:tcBorders>
              <w:top w:val="nil"/>
              <w:bottom w:val="nil"/>
            </w:tcBorders>
            <w:shd w:val="clear" w:color="auto" w:fill="FFFFFF"/>
            <w:vAlign w:val="center"/>
          </w:tcPr>
          <w:p w14:paraId="2EC8B57E"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.014</w:t>
            </w:r>
          </w:p>
        </w:tc>
        <w:tc>
          <w:tcPr>
            <w:tcW w:w="866" w:type="pct"/>
            <w:tcBorders>
              <w:top w:val="nil"/>
              <w:bottom w:val="nil"/>
            </w:tcBorders>
            <w:shd w:val="clear" w:color="auto" w:fill="FFFFFF"/>
            <w:vAlign w:val="center"/>
          </w:tcPr>
          <w:p w14:paraId="64E7805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.074</w:t>
            </w:r>
          </w:p>
        </w:tc>
        <w:tc>
          <w:tcPr>
            <w:tcW w:w="675" w:type="pct"/>
            <w:tcBorders>
              <w:top w:val="nil"/>
              <w:bottom w:val="nil"/>
              <w:right w:val="single" w:sz="16" w:space="0" w:color="000000"/>
            </w:tcBorders>
            <w:shd w:val="clear" w:color="auto" w:fill="FFFFFF"/>
            <w:vAlign w:val="center"/>
          </w:tcPr>
          <w:p w14:paraId="20341E3E"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.118</w:t>
            </w:r>
          </w:p>
        </w:tc>
      </w:tr>
      <w:tr w:rsidR="00D92CA8" w:rsidRPr="00A8206C" w14:paraId="19D99EDF"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5E5BFCCE"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09FE4654"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7ADCAFAC"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.130</w:t>
            </w:r>
          </w:p>
        </w:tc>
        <w:tc>
          <w:tcPr>
            <w:tcW w:w="767" w:type="pct"/>
            <w:tcBorders>
              <w:top w:val="nil"/>
              <w:bottom w:val="nil"/>
            </w:tcBorders>
            <w:shd w:val="clear" w:color="auto" w:fill="FFFFFF"/>
            <w:vAlign w:val="center"/>
          </w:tcPr>
          <w:p w14:paraId="7F4C4B4C"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.846</w:t>
            </w:r>
          </w:p>
        </w:tc>
        <w:tc>
          <w:tcPr>
            <w:tcW w:w="866" w:type="pct"/>
            <w:tcBorders>
              <w:top w:val="nil"/>
              <w:bottom w:val="nil"/>
            </w:tcBorders>
            <w:shd w:val="clear" w:color="auto" w:fill="FFFFFF"/>
            <w:vAlign w:val="center"/>
          </w:tcPr>
          <w:p w14:paraId="2CF19F84"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.319</w:t>
            </w:r>
          </w:p>
        </w:tc>
        <w:tc>
          <w:tcPr>
            <w:tcW w:w="675" w:type="pct"/>
            <w:tcBorders>
              <w:top w:val="nil"/>
              <w:bottom w:val="nil"/>
              <w:right w:val="single" w:sz="16" w:space="0" w:color="000000"/>
            </w:tcBorders>
            <w:shd w:val="clear" w:color="auto" w:fill="FFFFFF"/>
            <w:vAlign w:val="center"/>
          </w:tcPr>
          <w:p w14:paraId="4C815D00"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.088</w:t>
            </w:r>
          </w:p>
        </w:tc>
      </w:tr>
      <w:tr w:rsidR="00D92CA8" w:rsidRPr="00A8206C" w14:paraId="4ED8E8E6"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4CB08AA2"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2BC3367B"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7B0DC70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190</w:t>
            </w:r>
          </w:p>
        </w:tc>
        <w:tc>
          <w:tcPr>
            <w:tcW w:w="767" w:type="pct"/>
            <w:tcBorders>
              <w:top w:val="nil"/>
            </w:tcBorders>
            <w:shd w:val="clear" w:color="auto" w:fill="FFFFFF"/>
            <w:vAlign w:val="center"/>
          </w:tcPr>
          <w:p w14:paraId="5A9A2AA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189</w:t>
            </w:r>
          </w:p>
        </w:tc>
        <w:tc>
          <w:tcPr>
            <w:tcW w:w="866" w:type="pct"/>
            <w:tcBorders>
              <w:top w:val="nil"/>
            </w:tcBorders>
            <w:shd w:val="clear" w:color="auto" w:fill="FFFFFF"/>
            <w:vAlign w:val="center"/>
          </w:tcPr>
          <w:p w14:paraId="6763C027"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182</w:t>
            </w:r>
          </w:p>
        </w:tc>
        <w:tc>
          <w:tcPr>
            <w:tcW w:w="675" w:type="pct"/>
            <w:tcBorders>
              <w:top w:val="nil"/>
              <w:right w:val="single" w:sz="16" w:space="0" w:color="000000"/>
            </w:tcBorders>
            <w:shd w:val="clear" w:color="auto" w:fill="FFFFFF"/>
            <w:vAlign w:val="center"/>
          </w:tcPr>
          <w:p w14:paraId="78CF96C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208</w:t>
            </w:r>
          </w:p>
        </w:tc>
      </w:tr>
      <w:tr w:rsidR="00D92CA8" w:rsidRPr="00A8206C" w14:paraId="06A98685" w14:textId="77777777" w:rsidTr="00D92CA8">
        <w:trPr>
          <w:gridAfter w:val="1"/>
          <w:wAfter w:w="259" w:type="pct"/>
          <w:cantSplit/>
        </w:trPr>
        <w:tc>
          <w:tcPr>
            <w:tcW w:w="591" w:type="pct"/>
            <w:vMerge w:val="restart"/>
            <w:tcBorders>
              <w:top w:val="nil"/>
              <w:left w:val="single" w:sz="16" w:space="0" w:color="000000"/>
              <w:right w:val="nil"/>
            </w:tcBorders>
            <w:shd w:val="clear" w:color="auto" w:fill="FFFFFF"/>
          </w:tcPr>
          <w:p w14:paraId="726BA2D5" w14:textId="77777777" w:rsidR="00D92CA8" w:rsidRPr="00A8206C" w:rsidRDefault="00D92CA8" w:rsidP="00D92CA8">
            <w:pPr>
              <w:autoSpaceDE w:val="0"/>
              <w:autoSpaceDN w:val="0"/>
              <w:adjustRightInd w:val="0"/>
              <w:spacing w:after="0" w:line="320" w:lineRule="atLeast"/>
              <w:ind w:left="60" w:right="60"/>
              <w:rPr>
                <w:rFonts w:ascii="Arial" w:hAnsi="Arial" w:cs="Arial"/>
                <w:b/>
                <w:color w:val="000000"/>
                <w:sz w:val="14"/>
                <w:szCs w:val="18"/>
              </w:rPr>
            </w:pPr>
            <w:r w:rsidRPr="00A8206C">
              <w:rPr>
                <w:rFonts w:ascii="Arial" w:hAnsi="Arial" w:cs="Arial"/>
                <w:b/>
                <w:color w:val="000000"/>
                <w:sz w:val="14"/>
                <w:szCs w:val="18"/>
              </w:rPr>
              <w:t>Years in position</w:t>
            </w:r>
          </w:p>
        </w:tc>
        <w:tc>
          <w:tcPr>
            <w:tcW w:w="1137" w:type="pct"/>
            <w:tcBorders>
              <w:top w:val="nil"/>
              <w:left w:val="nil"/>
              <w:bottom w:val="nil"/>
              <w:right w:val="single" w:sz="16" w:space="0" w:color="000000"/>
            </w:tcBorders>
            <w:shd w:val="clear" w:color="auto" w:fill="FFFFFF"/>
          </w:tcPr>
          <w:p w14:paraId="2652B912"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nil"/>
              <w:bottom w:val="nil"/>
            </w:tcBorders>
            <w:shd w:val="clear" w:color="auto" w:fill="FFFFFF"/>
            <w:vAlign w:val="center"/>
          </w:tcPr>
          <w:p w14:paraId="4E92AC6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.109</w:t>
            </w:r>
          </w:p>
        </w:tc>
        <w:tc>
          <w:tcPr>
            <w:tcW w:w="767" w:type="pct"/>
            <w:tcBorders>
              <w:top w:val="nil"/>
              <w:bottom w:val="nil"/>
            </w:tcBorders>
            <w:shd w:val="clear" w:color="auto" w:fill="FFFFFF"/>
            <w:vAlign w:val="center"/>
          </w:tcPr>
          <w:p w14:paraId="6BEC9C1E"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.077</w:t>
            </w:r>
          </w:p>
        </w:tc>
        <w:tc>
          <w:tcPr>
            <w:tcW w:w="866" w:type="pct"/>
            <w:tcBorders>
              <w:top w:val="nil"/>
              <w:bottom w:val="nil"/>
            </w:tcBorders>
            <w:shd w:val="clear" w:color="auto" w:fill="FFFFFF"/>
            <w:vAlign w:val="center"/>
          </w:tcPr>
          <w:p w14:paraId="6F2E2DA5"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.171</w:t>
            </w:r>
            <w:r w:rsidRPr="00A8206C">
              <w:rPr>
                <w:rFonts w:ascii="Arial" w:hAnsi="Arial" w:cs="Arial"/>
                <w:color w:val="000000"/>
                <w:sz w:val="14"/>
                <w:szCs w:val="18"/>
                <w:highlight w:val="lightGray"/>
                <w:vertAlign w:val="superscript"/>
              </w:rPr>
              <w:t>*</w:t>
            </w:r>
          </w:p>
        </w:tc>
        <w:tc>
          <w:tcPr>
            <w:tcW w:w="675" w:type="pct"/>
            <w:tcBorders>
              <w:top w:val="nil"/>
              <w:bottom w:val="nil"/>
              <w:right w:val="single" w:sz="16" w:space="0" w:color="000000"/>
            </w:tcBorders>
            <w:shd w:val="clear" w:color="auto" w:fill="FFFFFF"/>
            <w:vAlign w:val="center"/>
          </w:tcPr>
          <w:p w14:paraId="599A11C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.182</w:t>
            </w:r>
            <w:r w:rsidRPr="00A8206C">
              <w:rPr>
                <w:rFonts w:ascii="Arial" w:hAnsi="Arial" w:cs="Arial"/>
                <w:color w:val="000000"/>
                <w:sz w:val="14"/>
                <w:szCs w:val="18"/>
                <w:highlight w:val="yellow"/>
                <w:vertAlign w:val="superscript"/>
              </w:rPr>
              <w:t>**</w:t>
            </w:r>
          </w:p>
        </w:tc>
      </w:tr>
      <w:tr w:rsidR="00D92CA8" w:rsidRPr="00A8206C" w14:paraId="7F7C8B41"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309A53C4"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2B8C4991"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3FEEFE77"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.135</w:t>
            </w:r>
          </w:p>
        </w:tc>
        <w:tc>
          <w:tcPr>
            <w:tcW w:w="767" w:type="pct"/>
            <w:tcBorders>
              <w:top w:val="nil"/>
              <w:bottom w:val="nil"/>
            </w:tcBorders>
            <w:shd w:val="clear" w:color="auto" w:fill="FFFFFF"/>
            <w:vAlign w:val="center"/>
          </w:tcPr>
          <w:p w14:paraId="4EA4FD50"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.293</w:t>
            </w:r>
          </w:p>
        </w:tc>
        <w:tc>
          <w:tcPr>
            <w:tcW w:w="866" w:type="pct"/>
            <w:tcBorders>
              <w:top w:val="nil"/>
              <w:bottom w:val="nil"/>
            </w:tcBorders>
            <w:shd w:val="clear" w:color="auto" w:fill="FFFFFF"/>
            <w:vAlign w:val="center"/>
          </w:tcPr>
          <w:p w14:paraId="2A96B6F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.021</w:t>
            </w:r>
          </w:p>
        </w:tc>
        <w:tc>
          <w:tcPr>
            <w:tcW w:w="675" w:type="pct"/>
            <w:tcBorders>
              <w:top w:val="nil"/>
              <w:bottom w:val="nil"/>
              <w:right w:val="single" w:sz="16" w:space="0" w:color="000000"/>
            </w:tcBorders>
            <w:shd w:val="clear" w:color="auto" w:fill="FFFFFF"/>
            <w:vAlign w:val="center"/>
          </w:tcPr>
          <w:p w14:paraId="72F6C1FA"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.008</w:t>
            </w:r>
          </w:p>
        </w:tc>
      </w:tr>
      <w:tr w:rsidR="00D92CA8" w:rsidRPr="00A8206C" w14:paraId="2A3BE730"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67F72B21"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103E8E32"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4AE1DBA5"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190</w:t>
            </w:r>
          </w:p>
        </w:tc>
        <w:tc>
          <w:tcPr>
            <w:tcW w:w="767" w:type="pct"/>
            <w:tcBorders>
              <w:top w:val="nil"/>
            </w:tcBorders>
            <w:shd w:val="clear" w:color="auto" w:fill="FFFFFF"/>
            <w:vAlign w:val="center"/>
          </w:tcPr>
          <w:p w14:paraId="55B42DB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189</w:t>
            </w:r>
          </w:p>
        </w:tc>
        <w:tc>
          <w:tcPr>
            <w:tcW w:w="866" w:type="pct"/>
            <w:tcBorders>
              <w:top w:val="nil"/>
            </w:tcBorders>
            <w:shd w:val="clear" w:color="auto" w:fill="FFFFFF"/>
            <w:vAlign w:val="center"/>
          </w:tcPr>
          <w:p w14:paraId="7C4AD171"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182</w:t>
            </w:r>
          </w:p>
        </w:tc>
        <w:tc>
          <w:tcPr>
            <w:tcW w:w="675" w:type="pct"/>
            <w:tcBorders>
              <w:top w:val="nil"/>
              <w:right w:val="single" w:sz="16" w:space="0" w:color="000000"/>
            </w:tcBorders>
            <w:shd w:val="clear" w:color="auto" w:fill="FFFFFF"/>
            <w:vAlign w:val="center"/>
          </w:tcPr>
          <w:p w14:paraId="5D51E7F1"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208</w:t>
            </w:r>
          </w:p>
        </w:tc>
      </w:tr>
      <w:tr w:rsidR="00D92CA8" w:rsidRPr="00A8206C" w14:paraId="45A1D6B0" w14:textId="77777777" w:rsidTr="00D92CA8">
        <w:trPr>
          <w:gridAfter w:val="1"/>
          <w:wAfter w:w="259" w:type="pct"/>
          <w:cantSplit/>
        </w:trPr>
        <w:tc>
          <w:tcPr>
            <w:tcW w:w="591" w:type="pct"/>
            <w:vMerge w:val="restart"/>
            <w:tcBorders>
              <w:top w:val="nil"/>
              <w:left w:val="single" w:sz="16" w:space="0" w:color="000000"/>
              <w:right w:val="nil"/>
            </w:tcBorders>
            <w:shd w:val="clear" w:color="auto" w:fill="FFFFFF"/>
          </w:tcPr>
          <w:p w14:paraId="5720DFB9" w14:textId="77777777" w:rsidR="00D92CA8" w:rsidRPr="00A8206C" w:rsidRDefault="00D92CA8" w:rsidP="00D92CA8">
            <w:pPr>
              <w:autoSpaceDE w:val="0"/>
              <w:autoSpaceDN w:val="0"/>
              <w:adjustRightInd w:val="0"/>
              <w:spacing w:after="0" w:line="320" w:lineRule="atLeast"/>
              <w:ind w:left="60" w:right="60"/>
              <w:rPr>
                <w:rFonts w:ascii="Arial" w:hAnsi="Arial" w:cs="Arial"/>
                <w:b/>
                <w:color w:val="000000"/>
                <w:sz w:val="14"/>
                <w:szCs w:val="18"/>
              </w:rPr>
            </w:pPr>
            <w:r w:rsidRPr="00A8206C">
              <w:rPr>
                <w:rFonts w:ascii="Arial" w:hAnsi="Arial" w:cs="Arial"/>
                <w:b/>
                <w:color w:val="000000"/>
                <w:sz w:val="14"/>
                <w:szCs w:val="18"/>
              </w:rPr>
              <w:t xml:space="preserve">Years with </w:t>
            </w:r>
            <w:proofErr w:type="spellStart"/>
            <w:r w:rsidRPr="00A8206C">
              <w:rPr>
                <w:rFonts w:ascii="Arial" w:hAnsi="Arial" w:cs="Arial"/>
                <w:b/>
                <w:color w:val="000000"/>
                <w:sz w:val="14"/>
                <w:szCs w:val="18"/>
              </w:rPr>
              <w:t>organsation</w:t>
            </w:r>
            <w:proofErr w:type="spellEnd"/>
          </w:p>
        </w:tc>
        <w:tc>
          <w:tcPr>
            <w:tcW w:w="1137" w:type="pct"/>
            <w:tcBorders>
              <w:top w:val="nil"/>
              <w:left w:val="nil"/>
              <w:bottom w:val="nil"/>
              <w:right w:val="single" w:sz="16" w:space="0" w:color="000000"/>
            </w:tcBorders>
            <w:shd w:val="clear" w:color="auto" w:fill="FFFFFF"/>
          </w:tcPr>
          <w:p w14:paraId="23339A65"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nil"/>
              <w:bottom w:val="nil"/>
            </w:tcBorders>
            <w:shd w:val="clear" w:color="auto" w:fill="FFFFFF"/>
            <w:vAlign w:val="center"/>
          </w:tcPr>
          <w:p w14:paraId="0DB6D489"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.112</w:t>
            </w:r>
          </w:p>
        </w:tc>
        <w:tc>
          <w:tcPr>
            <w:tcW w:w="767" w:type="pct"/>
            <w:tcBorders>
              <w:top w:val="nil"/>
              <w:bottom w:val="nil"/>
            </w:tcBorders>
            <w:shd w:val="clear" w:color="auto" w:fill="FFFFFF"/>
            <w:vAlign w:val="center"/>
          </w:tcPr>
          <w:p w14:paraId="3A0435F4"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.071</w:t>
            </w:r>
          </w:p>
        </w:tc>
        <w:tc>
          <w:tcPr>
            <w:tcW w:w="866" w:type="pct"/>
            <w:tcBorders>
              <w:top w:val="nil"/>
              <w:bottom w:val="nil"/>
            </w:tcBorders>
            <w:shd w:val="clear" w:color="auto" w:fill="FFFFFF"/>
            <w:vAlign w:val="center"/>
          </w:tcPr>
          <w:p w14:paraId="4E96B59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.107</w:t>
            </w:r>
          </w:p>
        </w:tc>
        <w:tc>
          <w:tcPr>
            <w:tcW w:w="675" w:type="pct"/>
            <w:tcBorders>
              <w:top w:val="nil"/>
              <w:bottom w:val="nil"/>
              <w:right w:val="single" w:sz="16" w:space="0" w:color="000000"/>
            </w:tcBorders>
            <w:shd w:val="clear" w:color="auto" w:fill="FFFFFF"/>
            <w:vAlign w:val="center"/>
          </w:tcPr>
          <w:p w14:paraId="06C16DE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.173</w:t>
            </w:r>
            <w:r w:rsidRPr="00A8206C">
              <w:rPr>
                <w:rFonts w:ascii="Arial" w:hAnsi="Arial" w:cs="Arial"/>
                <w:color w:val="000000"/>
                <w:sz w:val="14"/>
                <w:szCs w:val="18"/>
                <w:highlight w:val="lightGray"/>
                <w:vertAlign w:val="superscript"/>
              </w:rPr>
              <w:t>*</w:t>
            </w:r>
          </w:p>
        </w:tc>
      </w:tr>
      <w:tr w:rsidR="00D92CA8" w:rsidRPr="00A8206C" w14:paraId="57349AA7"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6CB5F860"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1C065DEF"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3B4E5265"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.123</w:t>
            </w:r>
          </w:p>
        </w:tc>
        <w:tc>
          <w:tcPr>
            <w:tcW w:w="767" w:type="pct"/>
            <w:tcBorders>
              <w:top w:val="nil"/>
              <w:bottom w:val="nil"/>
            </w:tcBorders>
            <w:shd w:val="clear" w:color="auto" w:fill="FFFFFF"/>
            <w:vAlign w:val="center"/>
          </w:tcPr>
          <w:p w14:paraId="46BBCBDA"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.335</w:t>
            </w:r>
          </w:p>
        </w:tc>
        <w:tc>
          <w:tcPr>
            <w:tcW w:w="866" w:type="pct"/>
            <w:tcBorders>
              <w:top w:val="nil"/>
              <w:bottom w:val="nil"/>
            </w:tcBorders>
            <w:shd w:val="clear" w:color="auto" w:fill="FFFFFF"/>
            <w:vAlign w:val="center"/>
          </w:tcPr>
          <w:p w14:paraId="2D8837E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.152</w:t>
            </w:r>
          </w:p>
        </w:tc>
        <w:tc>
          <w:tcPr>
            <w:tcW w:w="675" w:type="pct"/>
            <w:tcBorders>
              <w:top w:val="nil"/>
              <w:bottom w:val="nil"/>
              <w:right w:val="single" w:sz="16" w:space="0" w:color="000000"/>
            </w:tcBorders>
            <w:shd w:val="clear" w:color="auto" w:fill="FFFFFF"/>
            <w:vAlign w:val="center"/>
          </w:tcPr>
          <w:p w14:paraId="5DD533E4"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.012</w:t>
            </w:r>
          </w:p>
        </w:tc>
      </w:tr>
      <w:tr w:rsidR="00D92CA8" w:rsidRPr="00A8206C" w14:paraId="151E3FCC"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181DD6EE"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4BCB2F45"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4CE1367E"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190</w:t>
            </w:r>
          </w:p>
        </w:tc>
        <w:tc>
          <w:tcPr>
            <w:tcW w:w="767" w:type="pct"/>
            <w:tcBorders>
              <w:top w:val="nil"/>
            </w:tcBorders>
            <w:shd w:val="clear" w:color="auto" w:fill="FFFFFF"/>
            <w:vAlign w:val="center"/>
          </w:tcPr>
          <w:p w14:paraId="76F46419"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189</w:t>
            </w:r>
          </w:p>
        </w:tc>
        <w:tc>
          <w:tcPr>
            <w:tcW w:w="866" w:type="pct"/>
            <w:tcBorders>
              <w:top w:val="nil"/>
            </w:tcBorders>
            <w:shd w:val="clear" w:color="auto" w:fill="FFFFFF"/>
            <w:vAlign w:val="center"/>
          </w:tcPr>
          <w:p w14:paraId="18B11B9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182</w:t>
            </w:r>
          </w:p>
        </w:tc>
        <w:tc>
          <w:tcPr>
            <w:tcW w:w="675" w:type="pct"/>
            <w:tcBorders>
              <w:top w:val="nil"/>
              <w:right w:val="single" w:sz="16" w:space="0" w:color="000000"/>
            </w:tcBorders>
            <w:shd w:val="clear" w:color="auto" w:fill="FFFFFF"/>
            <w:vAlign w:val="center"/>
          </w:tcPr>
          <w:p w14:paraId="5D7CBAFC"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208</w:t>
            </w:r>
          </w:p>
        </w:tc>
      </w:tr>
      <w:tr w:rsidR="00D92CA8" w:rsidRPr="00A8206C" w14:paraId="28F28BB0" w14:textId="77777777" w:rsidTr="00D92CA8">
        <w:trPr>
          <w:gridAfter w:val="1"/>
          <w:wAfter w:w="259" w:type="pct"/>
          <w:cantSplit/>
        </w:trPr>
        <w:tc>
          <w:tcPr>
            <w:tcW w:w="591" w:type="pct"/>
            <w:vMerge w:val="restart"/>
            <w:tcBorders>
              <w:top w:val="nil"/>
              <w:left w:val="single" w:sz="16" w:space="0" w:color="000000"/>
              <w:right w:val="nil"/>
            </w:tcBorders>
            <w:shd w:val="clear" w:color="auto" w:fill="FFFFFF"/>
          </w:tcPr>
          <w:p w14:paraId="44823E50" w14:textId="77777777" w:rsidR="00D92CA8" w:rsidRPr="00A8206C" w:rsidRDefault="00D92CA8" w:rsidP="00D92CA8">
            <w:pPr>
              <w:autoSpaceDE w:val="0"/>
              <w:autoSpaceDN w:val="0"/>
              <w:adjustRightInd w:val="0"/>
              <w:spacing w:after="0" w:line="320" w:lineRule="atLeast"/>
              <w:ind w:left="60" w:right="60"/>
              <w:rPr>
                <w:rFonts w:ascii="Arial" w:hAnsi="Arial" w:cs="Arial"/>
                <w:b/>
                <w:color w:val="000000"/>
                <w:sz w:val="14"/>
                <w:szCs w:val="18"/>
              </w:rPr>
            </w:pPr>
            <w:r w:rsidRPr="00A8206C">
              <w:rPr>
                <w:rFonts w:ascii="Arial" w:hAnsi="Arial" w:cs="Arial"/>
                <w:b/>
                <w:color w:val="000000"/>
                <w:sz w:val="14"/>
                <w:szCs w:val="18"/>
              </w:rPr>
              <w:t>No of businesses learnt from</w:t>
            </w:r>
          </w:p>
        </w:tc>
        <w:tc>
          <w:tcPr>
            <w:tcW w:w="1137" w:type="pct"/>
            <w:tcBorders>
              <w:top w:val="nil"/>
              <w:left w:val="nil"/>
              <w:bottom w:val="nil"/>
              <w:right w:val="single" w:sz="16" w:space="0" w:color="000000"/>
            </w:tcBorders>
            <w:shd w:val="clear" w:color="auto" w:fill="FFFFFF"/>
          </w:tcPr>
          <w:p w14:paraId="539D6EA9"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nil"/>
              <w:bottom w:val="nil"/>
            </w:tcBorders>
            <w:shd w:val="clear" w:color="auto" w:fill="FFFFFF"/>
            <w:vAlign w:val="center"/>
          </w:tcPr>
          <w:p w14:paraId="59AB1CF0"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.110</w:t>
            </w:r>
          </w:p>
        </w:tc>
        <w:tc>
          <w:tcPr>
            <w:tcW w:w="767" w:type="pct"/>
            <w:tcBorders>
              <w:top w:val="nil"/>
              <w:bottom w:val="nil"/>
            </w:tcBorders>
            <w:shd w:val="clear" w:color="auto" w:fill="FFFFFF"/>
            <w:vAlign w:val="center"/>
          </w:tcPr>
          <w:p w14:paraId="1482115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.083</w:t>
            </w:r>
          </w:p>
        </w:tc>
        <w:tc>
          <w:tcPr>
            <w:tcW w:w="866" w:type="pct"/>
            <w:tcBorders>
              <w:top w:val="nil"/>
              <w:bottom w:val="nil"/>
            </w:tcBorders>
            <w:shd w:val="clear" w:color="auto" w:fill="FFFFFF"/>
            <w:vAlign w:val="center"/>
          </w:tcPr>
          <w:p w14:paraId="5CDFC42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.172</w:t>
            </w:r>
            <w:r w:rsidRPr="00A8206C">
              <w:rPr>
                <w:rFonts w:ascii="Arial" w:hAnsi="Arial" w:cs="Arial"/>
                <w:color w:val="000000"/>
                <w:sz w:val="14"/>
                <w:szCs w:val="18"/>
                <w:highlight w:val="lightGray"/>
                <w:vertAlign w:val="superscript"/>
              </w:rPr>
              <w:t>*</w:t>
            </w:r>
          </w:p>
        </w:tc>
        <w:tc>
          <w:tcPr>
            <w:tcW w:w="675" w:type="pct"/>
            <w:tcBorders>
              <w:top w:val="nil"/>
              <w:bottom w:val="nil"/>
              <w:right w:val="single" w:sz="16" w:space="0" w:color="000000"/>
            </w:tcBorders>
            <w:shd w:val="clear" w:color="auto" w:fill="FFFFFF"/>
            <w:vAlign w:val="center"/>
          </w:tcPr>
          <w:p w14:paraId="0F757ABE"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.104</w:t>
            </w:r>
          </w:p>
        </w:tc>
      </w:tr>
      <w:tr w:rsidR="00D92CA8" w:rsidRPr="00A8206C" w14:paraId="6C45C7BD"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7BE5AF68"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35872C22"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1DB4D7D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.131</w:t>
            </w:r>
          </w:p>
        </w:tc>
        <w:tc>
          <w:tcPr>
            <w:tcW w:w="767" w:type="pct"/>
            <w:tcBorders>
              <w:top w:val="nil"/>
              <w:bottom w:val="nil"/>
            </w:tcBorders>
            <w:shd w:val="clear" w:color="auto" w:fill="FFFFFF"/>
            <w:vAlign w:val="center"/>
          </w:tcPr>
          <w:p w14:paraId="3DCA0603"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.255</w:t>
            </w:r>
          </w:p>
        </w:tc>
        <w:tc>
          <w:tcPr>
            <w:tcW w:w="866" w:type="pct"/>
            <w:tcBorders>
              <w:top w:val="nil"/>
              <w:bottom w:val="nil"/>
            </w:tcBorders>
            <w:shd w:val="clear" w:color="auto" w:fill="FFFFFF"/>
            <w:vAlign w:val="center"/>
          </w:tcPr>
          <w:p w14:paraId="0A557AEF"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.020</w:t>
            </w:r>
          </w:p>
        </w:tc>
        <w:tc>
          <w:tcPr>
            <w:tcW w:w="675" w:type="pct"/>
            <w:tcBorders>
              <w:top w:val="nil"/>
              <w:bottom w:val="nil"/>
              <w:right w:val="single" w:sz="16" w:space="0" w:color="000000"/>
            </w:tcBorders>
            <w:shd w:val="clear" w:color="auto" w:fill="FFFFFF"/>
            <w:vAlign w:val="center"/>
          </w:tcPr>
          <w:p w14:paraId="0C59CE23"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.133</w:t>
            </w:r>
          </w:p>
        </w:tc>
      </w:tr>
      <w:tr w:rsidR="00D92CA8" w:rsidRPr="00A8206C" w14:paraId="7392AAE2"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4C0C9240"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19536D01"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30898B5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190</w:t>
            </w:r>
          </w:p>
        </w:tc>
        <w:tc>
          <w:tcPr>
            <w:tcW w:w="767" w:type="pct"/>
            <w:tcBorders>
              <w:top w:val="nil"/>
            </w:tcBorders>
            <w:shd w:val="clear" w:color="auto" w:fill="FFFFFF"/>
            <w:vAlign w:val="center"/>
          </w:tcPr>
          <w:p w14:paraId="27B3697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189</w:t>
            </w:r>
          </w:p>
        </w:tc>
        <w:tc>
          <w:tcPr>
            <w:tcW w:w="866" w:type="pct"/>
            <w:tcBorders>
              <w:top w:val="nil"/>
            </w:tcBorders>
            <w:shd w:val="clear" w:color="auto" w:fill="FFFFFF"/>
            <w:vAlign w:val="center"/>
          </w:tcPr>
          <w:p w14:paraId="28E2B4EE"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lightGray"/>
              </w:rPr>
            </w:pPr>
            <w:r w:rsidRPr="00A8206C">
              <w:rPr>
                <w:rFonts w:ascii="Arial" w:hAnsi="Arial" w:cs="Arial"/>
                <w:color w:val="000000"/>
                <w:sz w:val="14"/>
                <w:szCs w:val="18"/>
                <w:highlight w:val="lightGray"/>
              </w:rPr>
              <w:t>182</w:t>
            </w:r>
          </w:p>
        </w:tc>
        <w:tc>
          <w:tcPr>
            <w:tcW w:w="675" w:type="pct"/>
            <w:tcBorders>
              <w:top w:val="nil"/>
              <w:right w:val="single" w:sz="16" w:space="0" w:color="000000"/>
            </w:tcBorders>
            <w:shd w:val="clear" w:color="auto" w:fill="FFFFFF"/>
            <w:vAlign w:val="center"/>
          </w:tcPr>
          <w:p w14:paraId="1C43E41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208</w:t>
            </w:r>
          </w:p>
        </w:tc>
      </w:tr>
      <w:tr w:rsidR="00D92CA8" w:rsidRPr="00A8206C" w14:paraId="78E31CD6" w14:textId="77777777" w:rsidTr="00D92CA8">
        <w:trPr>
          <w:gridAfter w:val="1"/>
          <w:wAfter w:w="259" w:type="pct"/>
          <w:cantSplit/>
        </w:trPr>
        <w:tc>
          <w:tcPr>
            <w:tcW w:w="591" w:type="pct"/>
            <w:vMerge w:val="restart"/>
            <w:tcBorders>
              <w:top w:val="nil"/>
              <w:left w:val="single" w:sz="16" w:space="0" w:color="000000"/>
              <w:right w:val="nil"/>
            </w:tcBorders>
            <w:shd w:val="clear" w:color="auto" w:fill="FFFFFF"/>
          </w:tcPr>
          <w:p w14:paraId="5CB2A074" w14:textId="77777777" w:rsidR="00D92CA8" w:rsidRPr="00A8206C" w:rsidRDefault="00D92CA8" w:rsidP="00D92CA8">
            <w:pPr>
              <w:autoSpaceDE w:val="0"/>
              <w:autoSpaceDN w:val="0"/>
              <w:adjustRightInd w:val="0"/>
              <w:spacing w:after="0" w:line="320" w:lineRule="atLeast"/>
              <w:ind w:left="60" w:right="60"/>
              <w:rPr>
                <w:rFonts w:ascii="Arial" w:hAnsi="Arial" w:cs="Arial"/>
                <w:b/>
                <w:color w:val="000000"/>
                <w:sz w:val="14"/>
                <w:szCs w:val="18"/>
              </w:rPr>
            </w:pPr>
            <w:r w:rsidRPr="00A8206C">
              <w:rPr>
                <w:rFonts w:ascii="Arial" w:hAnsi="Arial" w:cs="Arial"/>
                <w:b/>
                <w:color w:val="000000"/>
                <w:sz w:val="14"/>
                <w:szCs w:val="18"/>
              </w:rPr>
              <w:t>Business type</w:t>
            </w:r>
          </w:p>
        </w:tc>
        <w:tc>
          <w:tcPr>
            <w:tcW w:w="1137" w:type="pct"/>
            <w:tcBorders>
              <w:top w:val="nil"/>
              <w:left w:val="nil"/>
              <w:bottom w:val="nil"/>
              <w:right w:val="single" w:sz="16" w:space="0" w:color="000000"/>
            </w:tcBorders>
            <w:shd w:val="clear" w:color="auto" w:fill="FFFFFF"/>
          </w:tcPr>
          <w:p w14:paraId="4BC261D3"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nil"/>
              <w:bottom w:val="nil"/>
            </w:tcBorders>
            <w:shd w:val="clear" w:color="auto" w:fill="FFFFFF"/>
            <w:vAlign w:val="center"/>
          </w:tcPr>
          <w:p w14:paraId="7B2FB3C4"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-.007</w:t>
            </w:r>
          </w:p>
        </w:tc>
        <w:tc>
          <w:tcPr>
            <w:tcW w:w="767" w:type="pct"/>
            <w:tcBorders>
              <w:top w:val="nil"/>
              <w:bottom w:val="nil"/>
            </w:tcBorders>
            <w:shd w:val="clear" w:color="auto" w:fill="FFFFFF"/>
            <w:vAlign w:val="center"/>
          </w:tcPr>
          <w:p w14:paraId="7010576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-.066</w:t>
            </w:r>
          </w:p>
        </w:tc>
        <w:tc>
          <w:tcPr>
            <w:tcW w:w="866" w:type="pct"/>
            <w:tcBorders>
              <w:top w:val="nil"/>
              <w:bottom w:val="nil"/>
            </w:tcBorders>
            <w:shd w:val="clear" w:color="auto" w:fill="FFFFFF"/>
            <w:vAlign w:val="center"/>
          </w:tcPr>
          <w:p w14:paraId="3DF68F65"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-.045</w:t>
            </w:r>
          </w:p>
        </w:tc>
        <w:tc>
          <w:tcPr>
            <w:tcW w:w="675" w:type="pct"/>
            <w:tcBorders>
              <w:top w:val="nil"/>
              <w:bottom w:val="nil"/>
              <w:right w:val="single" w:sz="16" w:space="0" w:color="000000"/>
            </w:tcBorders>
            <w:shd w:val="clear" w:color="auto" w:fill="FFFFFF"/>
            <w:vAlign w:val="center"/>
          </w:tcPr>
          <w:p w14:paraId="36E7E25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-.030</w:t>
            </w:r>
          </w:p>
        </w:tc>
      </w:tr>
      <w:tr w:rsidR="00D92CA8" w:rsidRPr="00A8206C" w14:paraId="6ED36F71"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3BD639E6"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247805A5"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2B7D63A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.922</w:t>
            </w:r>
          </w:p>
        </w:tc>
        <w:tc>
          <w:tcPr>
            <w:tcW w:w="767" w:type="pct"/>
            <w:tcBorders>
              <w:top w:val="nil"/>
              <w:bottom w:val="nil"/>
            </w:tcBorders>
            <w:shd w:val="clear" w:color="auto" w:fill="FFFFFF"/>
            <w:vAlign w:val="center"/>
          </w:tcPr>
          <w:p w14:paraId="0465004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.367</w:t>
            </w:r>
          </w:p>
        </w:tc>
        <w:tc>
          <w:tcPr>
            <w:tcW w:w="866" w:type="pct"/>
            <w:tcBorders>
              <w:top w:val="nil"/>
              <w:bottom w:val="nil"/>
            </w:tcBorders>
            <w:shd w:val="clear" w:color="auto" w:fill="FFFFFF"/>
            <w:vAlign w:val="center"/>
          </w:tcPr>
          <w:p w14:paraId="31C8218C"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.549</w:t>
            </w:r>
          </w:p>
        </w:tc>
        <w:tc>
          <w:tcPr>
            <w:tcW w:w="675" w:type="pct"/>
            <w:tcBorders>
              <w:top w:val="nil"/>
              <w:bottom w:val="nil"/>
              <w:right w:val="single" w:sz="16" w:space="0" w:color="000000"/>
            </w:tcBorders>
            <w:shd w:val="clear" w:color="auto" w:fill="FFFFFF"/>
            <w:vAlign w:val="center"/>
          </w:tcPr>
          <w:p w14:paraId="65BBC077"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.662</w:t>
            </w:r>
          </w:p>
        </w:tc>
      </w:tr>
      <w:tr w:rsidR="00D92CA8" w:rsidRPr="00A8206C" w14:paraId="5B437B67"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40673691"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52A51D89"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236AE7D7"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190</w:t>
            </w:r>
          </w:p>
        </w:tc>
        <w:tc>
          <w:tcPr>
            <w:tcW w:w="767" w:type="pct"/>
            <w:tcBorders>
              <w:top w:val="nil"/>
            </w:tcBorders>
            <w:shd w:val="clear" w:color="auto" w:fill="FFFFFF"/>
            <w:vAlign w:val="center"/>
          </w:tcPr>
          <w:p w14:paraId="574CD921"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189</w:t>
            </w:r>
          </w:p>
        </w:tc>
        <w:tc>
          <w:tcPr>
            <w:tcW w:w="866" w:type="pct"/>
            <w:tcBorders>
              <w:top w:val="nil"/>
            </w:tcBorders>
            <w:shd w:val="clear" w:color="auto" w:fill="FFFFFF"/>
            <w:vAlign w:val="center"/>
          </w:tcPr>
          <w:p w14:paraId="3A329F6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182</w:t>
            </w:r>
          </w:p>
        </w:tc>
        <w:tc>
          <w:tcPr>
            <w:tcW w:w="675" w:type="pct"/>
            <w:tcBorders>
              <w:top w:val="nil"/>
              <w:right w:val="single" w:sz="16" w:space="0" w:color="000000"/>
            </w:tcBorders>
            <w:shd w:val="clear" w:color="auto" w:fill="FFFFFF"/>
            <w:vAlign w:val="center"/>
          </w:tcPr>
          <w:p w14:paraId="431A1925"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208</w:t>
            </w:r>
          </w:p>
        </w:tc>
      </w:tr>
      <w:tr w:rsidR="00D92CA8" w:rsidRPr="00A8206C" w14:paraId="3B208F29" w14:textId="77777777" w:rsidTr="00D92CA8">
        <w:trPr>
          <w:gridAfter w:val="1"/>
          <w:wAfter w:w="259" w:type="pct"/>
          <w:cantSplit/>
        </w:trPr>
        <w:tc>
          <w:tcPr>
            <w:tcW w:w="591" w:type="pct"/>
            <w:vMerge w:val="restart"/>
            <w:tcBorders>
              <w:top w:val="nil"/>
              <w:left w:val="single" w:sz="16" w:space="0" w:color="000000"/>
              <w:right w:val="nil"/>
            </w:tcBorders>
            <w:shd w:val="clear" w:color="auto" w:fill="FFFFFF"/>
          </w:tcPr>
          <w:p w14:paraId="46E20BE3"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ACQUIRE and ASSIMILATE</w:t>
            </w:r>
          </w:p>
        </w:tc>
        <w:tc>
          <w:tcPr>
            <w:tcW w:w="1137" w:type="pct"/>
            <w:tcBorders>
              <w:top w:val="nil"/>
              <w:left w:val="nil"/>
              <w:bottom w:val="nil"/>
              <w:right w:val="single" w:sz="16" w:space="0" w:color="000000"/>
            </w:tcBorders>
            <w:shd w:val="clear" w:color="auto" w:fill="FFFFFF"/>
          </w:tcPr>
          <w:p w14:paraId="68EEEBC3"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nil"/>
              <w:bottom w:val="nil"/>
            </w:tcBorders>
            <w:shd w:val="clear" w:color="auto" w:fill="FFFFFF"/>
            <w:vAlign w:val="center"/>
          </w:tcPr>
          <w:p w14:paraId="30D7920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w:t>
            </w:r>
          </w:p>
        </w:tc>
        <w:tc>
          <w:tcPr>
            <w:tcW w:w="767" w:type="pct"/>
            <w:tcBorders>
              <w:top w:val="nil"/>
              <w:bottom w:val="nil"/>
            </w:tcBorders>
            <w:shd w:val="clear" w:color="auto" w:fill="FFFFFF"/>
            <w:vAlign w:val="center"/>
          </w:tcPr>
          <w:p w14:paraId="590ABA03"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.736</w:t>
            </w:r>
            <w:r w:rsidRPr="00A8206C">
              <w:rPr>
                <w:rFonts w:ascii="Arial" w:hAnsi="Arial" w:cs="Arial"/>
                <w:color w:val="000000"/>
                <w:sz w:val="14"/>
                <w:szCs w:val="18"/>
                <w:highlight w:val="yellow"/>
                <w:vertAlign w:val="superscript"/>
              </w:rPr>
              <w:t>**</w:t>
            </w:r>
          </w:p>
        </w:tc>
        <w:tc>
          <w:tcPr>
            <w:tcW w:w="866" w:type="pct"/>
            <w:tcBorders>
              <w:top w:val="nil"/>
              <w:bottom w:val="nil"/>
            </w:tcBorders>
            <w:shd w:val="clear" w:color="auto" w:fill="FFFFFF"/>
            <w:vAlign w:val="center"/>
          </w:tcPr>
          <w:p w14:paraId="0B8EF543"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.530</w:t>
            </w:r>
            <w:r w:rsidRPr="00A8206C">
              <w:rPr>
                <w:rFonts w:ascii="Arial" w:hAnsi="Arial" w:cs="Arial"/>
                <w:color w:val="000000"/>
                <w:sz w:val="14"/>
                <w:szCs w:val="18"/>
                <w:highlight w:val="yellow"/>
                <w:vertAlign w:val="superscript"/>
              </w:rPr>
              <w:t>**</w:t>
            </w:r>
          </w:p>
        </w:tc>
        <w:tc>
          <w:tcPr>
            <w:tcW w:w="675" w:type="pct"/>
            <w:tcBorders>
              <w:top w:val="nil"/>
              <w:bottom w:val="nil"/>
              <w:right w:val="single" w:sz="16" w:space="0" w:color="000000"/>
            </w:tcBorders>
            <w:shd w:val="clear" w:color="auto" w:fill="FFFFFF"/>
            <w:vAlign w:val="center"/>
          </w:tcPr>
          <w:p w14:paraId="0663BB99"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.697</w:t>
            </w:r>
            <w:r w:rsidRPr="00A8206C">
              <w:rPr>
                <w:rFonts w:ascii="Arial" w:hAnsi="Arial" w:cs="Arial"/>
                <w:color w:val="000000"/>
                <w:sz w:val="14"/>
                <w:szCs w:val="18"/>
                <w:highlight w:val="yellow"/>
                <w:vertAlign w:val="superscript"/>
              </w:rPr>
              <w:t>**</w:t>
            </w:r>
          </w:p>
        </w:tc>
      </w:tr>
      <w:tr w:rsidR="00D92CA8" w:rsidRPr="00A8206C" w14:paraId="30755BEE"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6B20E2AC"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67A4C4F6"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37250189" w14:textId="77777777" w:rsidR="00D92CA8" w:rsidRPr="00A8206C" w:rsidRDefault="00D92CA8" w:rsidP="00D92CA8">
            <w:pPr>
              <w:autoSpaceDE w:val="0"/>
              <w:autoSpaceDN w:val="0"/>
              <w:adjustRightInd w:val="0"/>
              <w:spacing w:after="0" w:line="240" w:lineRule="auto"/>
              <w:rPr>
                <w:rFonts w:ascii="Times New Roman" w:hAnsi="Times New Roman" w:cs="Times New Roman"/>
                <w:sz w:val="14"/>
                <w:szCs w:val="24"/>
              </w:rPr>
            </w:pPr>
          </w:p>
        </w:tc>
        <w:tc>
          <w:tcPr>
            <w:tcW w:w="767" w:type="pct"/>
            <w:tcBorders>
              <w:top w:val="nil"/>
              <w:bottom w:val="nil"/>
            </w:tcBorders>
            <w:shd w:val="clear" w:color="auto" w:fill="FFFFFF"/>
            <w:vAlign w:val="center"/>
          </w:tcPr>
          <w:p w14:paraId="21B8BB64"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.000</w:t>
            </w:r>
          </w:p>
        </w:tc>
        <w:tc>
          <w:tcPr>
            <w:tcW w:w="866" w:type="pct"/>
            <w:tcBorders>
              <w:top w:val="nil"/>
              <w:bottom w:val="nil"/>
            </w:tcBorders>
            <w:shd w:val="clear" w:color="auto" w:fill="FFFFFF"/>
            <w:vAlign w:val="center"/>
          </w:tcPr>
          <w:p w14:paraId="46F99DE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.000</w:t>
            </w:r>
          </w:p>
        </w:tc>
        <w:tc>
          <w:tcPr>
            <w:tcW w:w="675" w:type="pct"/>
            <w:tcBorders>
              <w:top w:val="nil"/>
              <w:bottom w:val="nil"/>
              <w:right w:val="single" w:sz="16" w:space="0" w:color="000000"/>
            </w:tcBorders>
            <w:shd w:val="clear" w:color="auto" w:fill="FFFFFF"/>
            <w:vAlign w:val="center"/>
          </w:tcPr>
          <w:p w14:paraId="712B980F"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.000</w:t>
            </w:r>
          </w:p>
        </w:tc>
      </w:tr>
      <w:tr w:rsidR="00D92CA8" w:rsidRPr="00A8206C" w14:paraId="246C59B7"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21548344"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423C9E52"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2A9288B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190</w:t>
            </w:r>
          </w:p>
        </w:tc>
        <w:tc>
          <w:tcPr>
            <w:tcW w:w="767" w:type="pct"/>
            <w:tcBorders>
              <w:top w:val="nil"/>
            </w:tcBorders>
            <w:shd w:val="clear" w:color="auto" w:fill="FFFFFF"/>
            <w:vAlign w:val="center"/>
          </w:tcPr>
          <w:p w14:paraId="529438B6"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188</w:t>
            </w:r>
          </w:p>
        </w:tc>
        <w:tc>
          <w:tcPr>
            <w:tcW w:w="866" w:type="pct"/>
            <w:tcBorders>
              <w:top w:val="nil"/>
            </w:tcBorders>
            <w:shd w:val="clear" w:color="auto" w:fill="FFFFFF"/>
            <w:vAlign w:val="center"/>
          </w:tcPr>
          <w:p w14:paraId="1B508299"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181</w:t>
            </w:r>
          </w:p>
        </w:tc>
        <w:tc>
          <w:tcPr>
            <w:tcW w:w="675" w:type="pct"/>
            <w:tcBorders>
              <w:top w:val="nil"/>
              <w:right w:val="single" w:sz="16" w:space="0" w:color="000000"/>
            </w:tcBorders>
            <w:shd w:val="clear" w:color="auto" w:fill="FFFFFF"/>
            <w:vAlign w:val="center"/>
          </w:tcPr>
          <w:p w14:paraId="7AAEF14F"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190</w:t>
            </w:r>
          </w:p>
        </w:tc>
      </w:tr>
      <w:tr w:rsidR="00D92CA8" w:rsidRPr="00A8206C" w14:paraId="43B14CD4" w14:textId="77777777" w:rsidTr="00D92CA8">
        <w:trPr>
          <w:gridAfter w:val="1"/>
          <w:wAfter w:w="259" w:type="pct"/>
          <w:cantSplit/>
        </w:trPr>
        <w:tc>
          <w:tcPr>
            <w:tcW w:w="591" w:type="pct"/>
            <w:vMerge w:val="restart"/>
            <w:tcBorders>
              <w:top w:val="nil"/>
              <w:left w:val="single" w:sz="16" w:space="0" w:color="000000"/>
              <w:right w:val="nil"/>
            </w:tcBorders>
            <w:shd w:val="clear" w:color="auto" w:fill="FFFFFF"/>
          </w:tcPr>
          <w:p w14:paraId="6BBA7840" w14:textId="77777777" w:rsidR="00D92CA8"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APPLY and EXPLOIT</w:t>
            </w:r>
          </w:p>
          <w:p w14:paraId="6BA426FC" w14:textId="77777777" w:rsidR="00D92CA8" w:rsidRDefault="00D92CA8" w:rsidP="00D92CA8">
            <w:pPr>
              <w:autoSpaceDE w:val="0"/>
              <w:autoSpaceDN w:val="0"/>
              <w:adjustRightInd w:val="0"/>
              <w:spacing w:after="0" w:line="320" w:lineRule="atLeast"/>
              <w:ind w:left="60" w:right="60"/>
              <w:rPr>
                <w:rFonts w:ascii="Arial" w:hAnsi="Arial" w:cs="Arial"/>
                <w:color w:val="000000"/>
                <w:sz w:val="14"/>
                <w:szCs w:val="18"/>
              </w:rPr>
            </w:pPr>
          </w:p>
          <w:p w14:paraId="13787594"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0F437520"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Pearson Correlation</w:t>
            </w:r>
          </w:p>
        </w:tc>
        <w:tc>
          <w:tcPr>
            <w:tcW w:w="705" w:type="pct"/>
            <w:tcBorders>
              <w:top w:val="nil"/>
              <w:bottom w:val="nil"/>
            </w:tcBorders>
            <w:shd w:val="clear" w:color="auto" w:fill="FFFFFF"/>
            <w:vAlign w:val="center"/>
          </w:tcPr>
          <w:p w14:paraId="29F1159B"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.736</w:t>
            </w:r>
            <w:r w:rsidRPr="00A8206C">
              <w:rPr>
                <w:rFonts w:ascii="Arial" w:hAnsi="Arial" w:cs="Arial"/>
                <w:color w:val="000000"/>
                <w:sz w:val="14"/>
                <w:szCs w:val="18"/>
                <w:highlight w:val="yellow"/>
                <w:vertAlign w:val="superscript"/>
              </w:rPr>
              <w:t>**</w:t>
            </w:r>
          </w:p>
        </w:tc>
        <w:tc>
          <w:tcPr>
            <w:tcW w:w="767" w:type="pct"/>
            <w:tcBorders>
              <w:top w:val="nil"/>
              <w:bottom w:val="nil"/>
            </w:tcBorders>
            <w:shd w:val="clear" w:color="auto" w:fill="FFFFFF"/>
            <w:vAlign w:val="center"/>
          </w:tcPr>
          <w:p w14:paraId="20D6B201"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w:t>
            </w:r>
          </w:p>
        </w:tc>
        <w:tc>
          <w:tcPr>
            <w:tcW w:w="866" w:type="pct"/>
            <w:tcBorders>
              <w:top w:val="nil"/>
              <w:bottom w:val="nil"/>
            </w:tcBorders>
            <w:shd w:val="clear" w:color="auto" w:fill="FFFFFF"/>
            <w:vAlign w:val="center"/>
          </w:tcPr>
          <w:p w14:paraId="677789E8"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.597</w:t>
            </w:r>
            <w:r w:rsidRPr="00A8206C">
              <w:rPr>
                <w:rFonts w:ascii="Arial" w:hAnsi="Arial" w:cs="Arial"/>
                <w:color w:val="000000"/>
                <w:sz w:val="14"/>
                <w:szCs w:val="18"/>
                <w:highlight w:val="yellow"/>
                <w:vertAlign w:val="superscript"/>
              </w:rPr>
              <w:t>**</w:t>
            </w:r>
          </w:p>
        </w:tc>
        <w:tc>
          <w:tcPr>
            <w:tcW w:w="675" w:type="pct"/>
            <w:tcBorders>
              <w:top w:val="nil"/>
              <w:bottom w:val="nil"/>
              <w:right w:val="single" w:sz="16" w:space="0" w:color="000000"/>
            </w:tcBorders>
            <w:shd w:val="clear" w:color="auto" w:fill="FFFFFF"/>
            <w:vAlign w:val="center"/>
          </w:tcPr>
          <w:p w14:paraId="6FF2764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.727</w:t>
            </w:r>
            <w:r w:rsidRPr="00A8206C">
              <w:rPr>
                <w:rFonts w:ascii="Arial" w:hAnsi="Arial" w:cs="Arial"/>
                <w:color w:val="000000"/>
                <w:sz w:val="14"/>
                <w:szCs w:val="18"/>
                <w:highlight w:val="yellow"/>
                <w:vertAlign w:val="superscript"/>
              </w:rPr>
              <w:t>**</w:t>
            </w:r>
          </w:p>
        </w:tc>
      </w:tr>
      <w:tr w:rsidR="00D92CA8" w:rsidRPr="00A8206C" w14:paraId="62F38F79"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03DD2761"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bottom w:val="nil"/>
              <w:right w:val="single" w:sz="16" w:space="0" w:color="000000"/>
            </w:tcBorders>
            <w:shd w:val="clear" w:color="auto" w:fill="FFFFFF"/>
          </w:tcPr>
          <w:p w14:paraId="563C56DB"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Sig. (2-tailed)</w:t>
            </w:r>
          </w:p>
        </w:tc>
        <w:tc>
          <w:tcPr>
            <w:tcW w:w="705" w:type="pct"/>
            <w:tcBorders>
              <w:top w:val="nil"/>
              <w:bottom w:val="nil"/>
            </w:tcBorders>
            <w:shd w:val="clear" w:color="auto" w:fill="FFFFFF"/>
            <w:vAlign w:val="center"/>
          </w:tcPr>
          <w:p w14:paraId="63DCE640"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.000</w:t>
            </w:r>
          </w:p>
        </w:tc>
        <w:tc>
          <w:tcPr>
            <w:tcW w:w="767" w:type="pct"/>
            <w:tcBorders>
              <w:top w:val="nil"/>
              <w:bottom w:val="nil"/>
            </w:tcBorders>
            <w:shd w:val="clear" w:color="auto" w:fill="FFFFFF"/>
            <w:vAlign w:val="center"/>
          </w:tcPr>
          <w:p w14:paraId="2C7A0529" w14:textId="77777777" w:rsidR="00D92CA8" w:rsidRPr="00A8206C" w:rsidRDefault="00D92CA8" w:rsidP="00D92CA8">
            <w:pPr>
              <w:autoSpaceDE w:val="0"/>
              <w:autoSpaceDN w:val="0"/>
              <w:adjustRightInd w:val="0"/>
              <w:spacing w:after="0" w:line="240" w:lineRule="auto"/>
              <w:rPr>
                <w:rFonts w:ascii="Times New Roman" w:hAnsi="Times New Roman" w:cs="Times New Roman"/>
                <w:sz w:val="14"/>
                <w:szCs w:val="24"/>
              </w:rPr>
            </w:pPr>
          </w:p>
        </w:tc>
        <w:tc>
          <w:tcPr>
            <w:tcW w:w="866" w:type="pct"/>
            <w:tcBorders>
              <w:top w:val="nil"/>
              <w:bottom w:val="nil"/>
            </w:tcBorders>
            <w:shd w:val="clear" w:color="auto" w:fill="FFFFFF"/>
            <w:vAlign w:val="center"/>
          </w:tcPr>
          <w:p w14:paraId="6024BC8D"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.000</w:t>
            </w:r>
          </w:p>
        </w:tc>
        <w:tc>
          <w:tcPr>
            <w:tcW w:w="675" w:type="pct"/>
            <w:tcBorders>
              <w:top w:val="nil"/>
              <w:bottom w:val="nil"/>
              <w:right w:val="single" w:sz="16" w:space="0" w:color="000000"/>
            </w:tcBorders>
            <w:shd w:val="clear" w:color="auto" w:fill="FFFFFF"/>
            <w:vAlign w:val="center"/>
          </w:tcPr>
          <w:p w14:paraId="7C625213"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.000</w:t>
            </w:r>
          </w:p>
        </w:tc>
      </w:tr>
      <w:tr w:rsidR="00D92CA8" w:rsidRPr="00A8206C" w14:paraId="30CBA9EC" w14:textId="77777777" w:rsidTr="00D92CA8">
        <w:trPr>
          <w:gridAfter w:val="1"/>
          <w:wAfter w:w="259" w:type="pct"/>
          <w:cantSplit/>
        </w:trPr>
        <w:tc>
          <w:tcPr>
            <w:tcW w:w="591" w:type="pct"/>
            <w:vMerge/>
            <w:tcBorders>
              <w:top w:val="nil"/>
              <w:left w:val="single" w:sz="16" w:space="0" w:color="000000"/>
              <w:right w:val="nil"/>
            </w:tcBorders>
            <w:shd w:val="clear" w:color="auto" w:fill="FFFFFF"/>
          </w:tcPr>
          <w:p w14:paraId="34D3F671" w14:textId="77777777" w:rsidR="00D92CA8" w:rsidRPr="00A8206C" w:rsidRDefault="00D92CA8" w:rsidP="00D92CA8">
            <w:pPr>
              <w:autoSpaceDE w:val="0"/>
              <w:autoSpaceDN w:val="0"/>
              <w:adjustRightInd w:val="0"/>
              <w:spacing w:after="0" w:line="240" w:lineRule="auto"/>
              <w:rPr>
                <w:rFonts w:ascii="Arial" w:hAnsi="Arial" w:cs="Arial"/>
                <w:color w:val="000000"/>
                <w:sz w:val="14"/>
                <w:szCs w:val="18"/>
              </w:rPr>
            </w:pPr>
          </w:p>
        </w:tc>
        <w:tc>
          <w:tcPr>
            <w:tcW w:w="1137" w:type="pct"/>
            <w:tcBorders>
              <w:top w:val="nil"/>
              <w:left w:val="nil"/>
              <w:right w:val="single" w:sz="16" w:space="0" w:color="000000"/>
            </w:tcBorders>
            <w:shd w:val="clear" w:color="auto" w:fill="FFFFFF"/>
          </w:tcPr>
          <w:p w14:paraId="42A20C97"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N</w:t>
            </w:r>
          </w:p>
        </w:tc>
        <w:tc>
          <w:tcPr>
            <w:tcW w:w="705" w:type="pct"/>
            <w:tcBorders>
              <w:top w:val="nil"/>
            </w:tcBorders>
            <w:shd w:val="clear" w:color="auto" w:fill="FFFFFF"/>
            <w:vAlign w:val="center"/>
          </w:tcPr>
          <w:p w14:paraId="5DC9D7E4"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188</w:t>
            </w:r>
          </w:p>
        </w:tc>
        <w:tc>
          <w:tcPr>
            <w:tcW w:w="767" w:type="pct"/>
            <w:tcBorders>
              <w:top w:val="nil"/>
            </w:tcBorders>
            <w:shd w:val="clear" w:color="auto" w:fill="FFFFFF"/>
            <w:vAlign w:val="center"/>
          </w:tcPr>
          <w:p w14:paraId="236C3A45"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rPr>
            </w:pPr>
            <w:r w:rsidRPr="00A8206C">
              <w:rPr>
                <w:rFonts w:ascii="Arial" w:hAnsi="Arial" w:cs="Arial"/>
                <w:color w:val="000000"/>
                <w:sz w:val="14"/>
                <w:szCs w:val="18"/>
              </w:rPr>
              <w:t>189</w:t>
            </w:r>
          </w:p>
        </w:tc>
        <w:tc>
          <w:tcPr>
            <w:tcW w:w="866" w:type="pct"/>
            <w:tcBorders>
              <w:top w:val="nil"/>
            </w:tcBorders>
            <w:shd w:val="clear" w:color="auto" w:fill="FFFFFF"/>
            <w:vAlign w:val="center"/>
          </w:tcPr>
          <w:p w14:paraId="0A0426E3"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180</w:t>
            </w:r>
          </w:p>
        </w:tc>
        <w:tc>
          <w:tcPr>
            <w:tcW w:w="675" w:type="pct"/>
            <w:tcBorders>
              <w:top w:val="nil"/>
              <w:right w:val="single" w:sz="16" w:space="0" w:color="000000"/>
            </w:tcBorders>
            <w:shd w:val="clear" w:color="auto" w:fill="FFFFFF"/>
            <w:vAlign w:val="center"/>
          </w:tcPr>
          <w:p w14:paraId="5C548052" w14:textId="77777777" w:rsidR="00D92CA8" w:rsidRPr="00A8206C" w:rsidRDefault="00D92CA8" w:rsidP="00D92CA8">
            <w:pPr>
              <w:autoSpaceDE w:val="0"/>
              <w:autoSpaceDN w:val="0"/>
              <w:adjustRightInd w:val="0"/>
              <w:spacing w:after="0" w:line="320" w:lineRule="atLeast"/>
              <w:ind w:left="60" w:right="60"/>
              <w:jc w:val="right"/>
              <w:rPr>
                <w:rFonts w:ascii="Arial" w:hAnsi="Arial" w:cs="Arial"/>
                <w:color w:val="000000"/>
                <w:sz w:val="14"/>
                <w:szCs w:val="18"/>
                <w:highlight w:val="yellow"/>
              </w:rPr>
            </w:pPr>
            <w:r w:rsidRPr="00A8206C">
              <w:rPr>
                <w:rFonts w:ascii="Arial" w:hAnsi="Arial" w:cs="Arial"/>
                <w:color w:val="000000"/>
                <w:sz w:val="14"/>
                <w:szCs w:val="18"/>
                <w:highlight w:val="yellow"/>
              </w:rPr>
              <w:t>189</w:t>
            </w:r>
          </w:p>
        </w:tc>
      </w:tr>
      <w:tr w:rsidR="00D92CA8" w:rsidRPr="00A8206C" w14:paraId="60BA86C6" w14:textId="77777777" w:rsidTr="00D92CA8">
        <w:trPr>
          <w:cantSplit/>
        </w:trPr>
        <w:tc>
          <w:tcPr>
            <w:tcW w:w="5000" w:type="pct"/>
            <w:gridSpan w:val="7"/>
            <w:tcBorders>
              <w:top w:val="nil"/>
              <w:left w:val="nil"/>
              <w:bottom w:val="nil"/>
              <w:right w:val="nil"/>
            </w:tcBorders>
            <w:shd w:val="clear" w:color="auto" w:fill="FFFFFF"/>
          </w:tcPr>
          <w:p w14:paraId="10429E4D" w14:textId="77777777" w:rsidR="00D92CA8"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lastRenderedPageBreak/>
              <w:t xml:space="preserve">*. </w:t>
            </w:r>
            <w:r w:rsidRPr="00A8206C">
              <w:rPr>
                <w:rFonts w:ascii="Arial" w:hAnsi="Arial" w:cs="Arial"/>
                <w:color w:val="000000"/>
                <w:sz w:val="14"/>
                <w:szCs w:val="18"/>
                <w:highlight w:val="lightGray"/>
              </w:rPr>
              <w:t>Correlation is significant at the 0.05 level (2-tailed).</w:t>
            </w:r>
          </w:p>
          <w:p w14:paraId="66BFA219"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r w:rsidRPr="00A8206C">
              <w:rPr>
                <w:rFonts w:ascii="Arial" w:hAnsi="Arial" w:cs="Arial"/>
                <w:color w:val="000000"/>
                <w:sz w:val="14"/>
                <w:szCs w:val="18"/>
              </w:rPr>
              <w:t xml:space="preserve">**. </w:t>
            </w:r>
            <w:r w:rsidRPr="00A8206C">
              <w:rPr>
                <w:rFonts w:ascii="Arial" w:hAnsi="Arial" w:cs="Arial"/>
                <w:color w:val="000000"/>
                <w:sz w:val="14"/>
                <w:szCs w:val="18"/>
                <w:highlight w:val="yellow"/>
              </w:rPr>
              <w:t>Correlation is significant at the 0.01 level (2-tailed).</w:t>
            </w:r>
          </w:p>
        </w:tc>
      </w:tr>
      <w:tr w:rsidR="00D92CA8" w:rsidRPr="00A8206C" w14:paraId="7008A132" w14:textId="77777777" w:rsidTr="00D92CA8">
        <w:trPr>
          <w:cantSplit/>
        </w:trPr>
        <w:tc>
          <w:tcPr>
            <w:tcW w:w="5000" w:type="pct"/>
            <w:gridSpan w:val="7"/>
            <w:tcBorders>
              <w:top w:val="nil"/>
              <w:left w:val="nil"/>
              <w:bottom w:val="nil"/>
              <w:right w:val="nil"/>
            </w:tcBorders>
            <w:shd w:val="clear" w:color="auto" w:fill="FFFFFF"/>
          </w:tcPr>
          <w:p w14:paraId="6ED15722" w14:textId="77777777" w:rsidR="00D92CA8" w:rsidRPr="00A8206C" w:rsidRDefault="00D92CA8" w:rsidP="00D92CA8">
            <w:pPr>
              <w:autoSpaceDE w:val="0"/>
              <w:autoSpaceDN w:val="0"/>
              <w:adjustRightInd w:val="0"/>
              <w:spacing w:after="0" w:line="320" w:lineRule="atLeast"/>
              <w:ind w:left="60" w:right="60"/>
              <w:rPr>
                <w:rFonts w:ascii="Arial" w:hAnsi="Arial" w:cs="Arial"/>
                <w:color w:val="000000"/>
                <w:sz w:val="14"/>
                <w:szCs w:val="18"/>
              </w:rPr>
            </w:pPr>
          </w:p>
        </w:tc>
      </w:tr>
    </w:tbl>
    <w:p w14:paraId="5BD140E7" w14:textId="77777777" w:rsidR="00F27893" w:rsidRPr="00A52FE1" w:rsidRDefault="00F27893" w:rsidP="0030533F">
      <w:pPr>
        <w:autoSpaceDE w:val="0"/>
        <w:autoSpaceDN w:val="0"/>
        <w:adjustRightInd w:val="0"/>
        <w:spacing w:after="0" w:line="360" w:lineRule="auto"/>
        <w:rPr>
          <w:rFonts w:cstheme="minorHAnsi"/>
        </w:rPr>
      </w:pPr>
    </w:p>
    <w:p w14:paraId="623977E4" w14:textId="26355949" w:rsidR="000406F8" w:rsidRDefault="00C73830" w:rsidP="0030533F">
      <w:pPr>
        <w:spacing w:after="0" w:line="360" w:lineRule="auto"/>
        <w:rPr>
          <w:rFonts w:cstheme="minorHAnsi"/>
        </w:rPr>
      </w:pPr>
      <w:r w:rsidRPr="00A52FE1">
        <w:rPr>
          <w:rFonts w:cstheme="minorHAnsi"/>
        </w:rPr>
        <w:t>There is a</w:t>
      </w:r>
      <w:r w:rsidR="000406F8" w:rsidRPr="00A52FE1">
        <w:rPr>
          <w:rFonts w:cstheme="minorHAnsi"/>
        </w:rPr>
        <w:t xml:space="preserve"> very strong positive relationship between self-reported level</w:t>
      </w:r>
      <w:r w:rsidR="00F242D8">
        <w:rPr>
          <w:rFonts w:cstheme="minorHAnsi"/>
        </w:rPr>
        <w:t>s</w:t>
      </w:r>
      <w:r w:rsidR="000406F8" w:rsidRPr="00A52FE1">
        <w:rPr>
          <w:rFonts w:cstheme="minorHAnsi"/>
        </w:rPr>
        <w:t xml:space="preserve"> of innovativene</w:t>
      </w:r>
      <w:r w:rsidR="00A17D30">
        <w:rPr>
          <w:rFonts w:cstheme="minorHAnsi"/>
        </w:rPr>
        <w:t>ss and absorptive capacity,</w:t>
      </w:r>
      <w:r w:rsidR="000406F8" w:rsidRPr="00A52FE1">
        <w:rPr>
          <w:rFonts w:cstheme="minorHAnsi"/>
        </w:rPr>
        <w:t xml:space="preserve"> clearly connecting the two</w:t>
      </w:r>
      <w:r w:rsidRPr="00A52FE1">
        <w:rPr>
          <w:rFonts w:cstheme="minorHAnsi"/>
        </w:rPr>
        <w:t xml:space="preserve"> concepts as expected</w:t>
      </w:r>
      <w:r w:rsidR="000406F8" w:rsidRPr="00A52FE1">
        <w:rPr>
          <w:rFonts w:cstheme="minorHAnsi"/>
        </w:rPr>
        <w:t xml:space="preserve">. </w:t>
      </w:r>
      <w:r w:rsidRPr="00A52FE1">
        <w:rPr>
          <w:rFonts w:cstheme="minorHAnsi"/>
        </w:rPr>
        <w:t>Similarly</w:t>
      </w:r>
      <w:r w:rsidR="00513B8F">
        <w:rPr>
          <w:rFonts w:cstheme="minorHAnsi"/>
        </w:rPr>
        <w:t>,</w:t>
      </w:r>
      <w:r w:rsidR="000472F7">
        <w:rPr>
          <w:rFonts w:cstheme="minorHAnsi"/>
        </w:rPr>
        <w:t xml:space="preserve"> the simpler measures of “</w:t>
      </w:r>
      <w:r w:rsidR="008F4C02">
        <w:rPr>
          <w:rFonts w:cstheme="minorHAnsi"/>
        </w:rPr>
        <w:t>H</w:t>
      </w:r>
      <w:r w:rsidR="000406F8" w:rsidRPr="00A52FE1">
        <w:rPr>
          <w:rFonts w:cstheme="minorHAnsi"/>
        </w:rPr>
        <w:t>ow would you rate your ab</w:t>
      </w:r>
      <w:r w:rsidRPr="00A52FE1">
        <w:rPr>
          <w:rFonts w:cstheme="minorHAnsi"/>
        </w:rPr>
        <w:t>ility acquire and assimilate in</w:t>
      </w:r>
      <w:r w:rsidR="000472F7">
        <w:rPr>
          <w:rFonts w:cstheme="minorHAnsi"/>
        </w:rPr>
        <w:t>formation?”</w:t>
      </w:r>
      <w:r w:rsidR="000406F8" w:rsidRPr="00A52FE1">
        <w:rPr>
          <w:rFonts w:cstheme="minorHAnsi"/>
        </w:rPr>
        <w:t xml:space="preserve"> and </w:t>
      </w:r>
      <w:r w:rsidR="000472F7">
        <w:rPr>
          <w:rFonts w:cstheme="minorHAnsi"/>
        </w:rPr>
        <w:t>“</w:t>
      </w:r>
      <w:r w:rsidR="008F4C02">
        <w:rPr>
          <w:rFonts w:cstheme="minorHAnsi"/>
        </w:rPr>
        <w:t>H</w:t>
      </w:r>
      <w:r w:rsidR="000406F8" w:rsidRPr="00A52FE1">
        <w:rPr>
          <w:rFonts w:cstheme="minorHAnsi"/>
        </w:rPr>
        <w:t>ow would you rate you</w:t>
      </w:r>
      <w:r w:rsidRPr="00A52FE1">
        <w:rPr>
          <w:rFonts w:cstheme="minorHAnsi"/>
        </w:rPr>
        <w:t>r</w:t>
      </w:r>
      <w:r w:rsidR="000406F8" w:rsidRPr="00A52FE1">
        <w:rPr>
          <w:rFonts w:cstheme="minorHAnsi"/>
        </w:rPr>
        <w:t xml:space="preserve"> ability to transform and exploit </w:t>
      </w:r>
      <w:r w:rsidRPr="00A52FE1">
        <w:rPr>
          <w:rFonts w:cstheme="minorHAnsi"/>
        </w:rPr>
        <w:t>information</w:t>
      </w:r>
      <w:r w:rsidR="000472F7">
        <w:rPr>
          <w:rFonts w:cstheme="minorHAnsi"/>
        </w:rPr>
        <w:t>?”</w:t>
      </w:r>
      <w:r w:rsidR="000406F8" w:rsidRPr="00A52FE1">
        <w:rPr>
          <w:rFonts w:cstheme="minorHAnsi"/>
        </w:rPr>
        <w:t xml:space="preserve"> are both positively correlated with the absorptive capacity score</w:t>
      </w:r>
      <w:r w:rsidRPr="00A52FE1">
        <w:rPr>
          <w:rFonts w:cstheme="minorHAnsi"/>
        </w:rPr>
        <w:t>, the</w:t>
      </w:r>
      <w:r w:rsidR="000406F8" w:rsidRPr="00A52FE1">
        <w:rPr>
          <w:rFonts w:cstheme="minorHAnsi"/>
        </w:rPr>
        <w:t xml:space="preserve"> rating of innovativeness</w:t>
      </w:r>
      <w:r w:rsidRPr="00A52FE1">
        <w:rPr>
          <w:rFonts w:cstheme="minorHAnsi"/>
        </w:rPr>
        <w:t xml:space="preserve"> </w:t>
      </w:r>
      <w:r w:rsidR="000406F8" w:rsidRPr="00A52FE1">
        <w:rPr>
          <w:rFonts w:cstheme="minorHAnsi"/>
        </w:rPr>
        <w:t xml:space="preserve">and </w:t>
      </w:r>
      <w:r w:rsidRPr="00A52FE1">
        <w:rPr>
          <w:rFonts w:cstheme="minorHAnsi"/>
        </w:rPr>
        <w:t xml:space="preserve">with </w:t>
      </w:r>
      <w:r w:rsidR="000406F8" w:rsidRPr="00A52FE1">
        <w:rPr>
          <w:rFonts w:cstheme="minorHAnsi"/>
        </w:rPr>
        <w:t>each other.</w:t>
      </w:r>
      <w:r w:rsidRPr="00A52FE1">
        <w:rPr>
          <w:rFonts w:cstheme="minorHAnsi"/>
        </w:rPr>
        <w:t xml:space="preserve"> These correlations help confirm the concept validity of the refined absorptive capacity scale and also indicate that there is a level of awareness of what constitutes absorptive capacity within the sector. The number of organisations learnt from is also correlated with their assessment of their</w:t>
      </w:r>
      <w:r w:rsidR="0016086D" w:rsidRPr="00A52FE1">
        <w:rPr>
          <w:rFonts w:cstheme="minorHAnsi"/>
        </w:rPr>
        <w:t xml:space="preserve"> organisation’s</w:t>
      </w:r>
      <w:r w:rsidRPr="00A52FE1">
        <w:rPr>
          <w:rFonts w:cstheme="minorHAnsi"/>
        </w:rPr>
        <w:t xml:space="preserve"> innovativeness in that </w:t>
      </w:r>
      <w:r w:rsidR="0016086D" w:rsidRPr="00A52FE1">
        <w:rPr>
          <w:rFonts w:cstheme="minorHAnsi"/>
        </w:rPr>
        <w:t>those</w:t>
      </w:r>
      <w:r w:rsidRPr="00A52FE1">
        <w:rPr>
          <w:rFonts w:cstheme="minorHAnsi"/>
        </w:rPr>
        <w:t xml:space="preserve"> who learn regularly from a larger number of organisations assess themselves as more innovative than others in the sector.  </w:t>
      </w:r>
    </w:p>
    <w:p w14:paraId="0CCDF8A7" w14:textId="77777777" w:rsidR="00916BFA" w:rsidRDefault="00916BFA" w:rsidP="0030533F">
      <w:pPr>
        <w:spacing w:after="0" w:line="360" w:lineRule="auto"/>
        <w:rPr>
          <w:rFonts w:cstheme="minorHAnsi"/>
        </w:rPr>
      </w:pPr>
    </w:p>
    <w:p w14:paraId="54C8CD46" w14:textId="445D37D2" w:rsidR="00916BFA" w:rsidRDefault="00916BFA" w:rsidP="0030533F">
      <w:pPr>
        <w:spacing w:after="0" w:line="360" w:lineRule="auto"/>
        <w:rPr>
          <w:rFonts w:cstheme="minorHAnsi"/>
        </w:rPr>
      </w:pPr>
      <w:r w:rsidRPr="00A52FE1">
        <w:rPr>
          <w:rFonts w:cstheme="minorHAnsi"/>
        </w:rPr>
        <w:t xml:space="preserve">Absorptive capacity shows no significant correlation with the firm characteristics of size, type or length of time established. </w:t>
      </w:r>
      <w:r>
        <w:rPr>
          <w:rFonts w:cstheme="minorHAnsi"/>
        </w:rPr>
        <w:t xml:space="preserve"> However, </w:t>
      </w:r>
      <w:r w:rsidRPr="00A52FE1">
        <w:rPr>
          <w:rFonts w:cstheme="minorHAnsi"/>
        </w:rPr>
        <w:t>levels of absorptive capacity do appear to relate to the orientation and capacity of individual managers</w:t>
      </w:r>
      <w:r>
        <w:rPr>
          <w:rFonts w:cstheme="minorHAnsi"/>
        </w:rPr>
        <w:t xml:space="preserve">; </w:t>
      </w:r>
      <w:r w:rsidRPr="00A52FE1">
        <w:rPr>
          <w:rFonts w:cstheme="minorHAnsi"/>
        </w:rPr>
        <w:t>positive absorptive capacity score</w:t>
      </w:r>
      <w:r>
        <w:rPr>
          <w:rFonts w:cstheme="minorHAnsi"/>
        </w:rPr>
        <w:t>s</w:t>
      </w:r>
      <w:r w:rsidRPr="00A52FE1">
        <w:rPr>
          <w:rFonts w:cstheme="minorHAnsi"/>
        </w:rPr>
        <w:t xml:space="preserve"> a</w:t>
      </w:r>
      <w:r>
        <w:rPr>
          <w:rFonts w:cstheme="minorHAnsi"/>
        </w:rPr>
        <w:t xml:space="preserve">re correlated with </w:t>
      </w:r>
      <w:r w:rsidRPr="00A52FE1">
        <w:rPr>
          <w:rFonts w:cstheme="minorHAnsi"/>
        </w:rPr>
        <w:t xml:space="preserve">individual </w:t>
      </w:r>
      <w:r>
        <w:rPr>
          <w:rFonts w:cstheme="minorHAnsi"/>
        </w:rPr>
        <w:t>respondent</w:t>
      </w:r>
      <w:r w:rsidRPr="00A52FE1">
        <w:rPr>
          <w:rFonts w:cstheme="minorHAnsi"/>
        </w:rPr>
        <w:t>s</w:t>
      </w:r>
      <w:r>
        <w:rPr>
          <w:rFonts w:cstheme="minorHAnsi"/>
        </w:rPr>
        <w:t>’</w:t>
      </w:r>
      <w:r w:rsidRPr="00A52FE1">
        <w:rPr>
          <w:rFonts w:cstheme="minorHAnsi"/>
        </w:rPr>
        <w:t xml:space="preserve"> duration of employment in that company and their period of tenure in their current position</w:t>
      </w:r>
      <w:r w:rsidRPr="002D1F04">
        <w:rPr>
          <w:rFonts w:cstheme="minorHAnsi"/>
        </w:rPr>
        <w:t>.  Arguably, organisations with longer serving senior staff are better equipped to develop that dimension of absorptive capacity that relates to acquisition of knowledge because of the time it takes to establish networks within and outside the industry.  Moreover, it also suggests confirmation of the role of experience in major accounts of absorptive capacity (Lane et al., 2006).</w:t>
      </w:r>
    </w:p>
    <w:p w14:paraId="0C392979" w14:textId="77777777" w:rsidR="0067464F" w:rsidRDefault="0067464F" w:rsidP="0030533F">
      <w:pPr>
        <w:spacing w:after="0" w:line="360" w:lineRule="auto"/>
        <w:rPr>
          <w:rFonts w:cstheme="minorHAnsi"/>
        </w:rPr>
      </w:pPr>
    </w:p>
    <w:p w14:paraId="3E3F2697" w14:textId="0C489CCA" w:rsidR="002F274D" w:rsidRDefault="009A6515" w:rsidP="0030533F">
      <w:pPr>
        <w:spacing w:after="0" w:line="360" w:lineRule="auto"/>
        <w:rPr>
          <w:rFonts w:cstheme="minorHAnsi"/>
        </w:rPr>
      </w:pPr>
      <w:r w:rsidRPr="00522C04">
        <w:rPr>
          <w:rFonts w:cstheme="minorHAnsi"/>
        </w:rPr>
        <w:t xml:space="preserve">Further analysis considered the </w:t>
      </w:r>
      <w:r w:rsidR="00D64847" w:rsidRPr="00522C04">
        <w:rPr>
          <w:rFonts w:cstheme="minorHAnsi"/>
        </w:rPr>
        <w:t>higher scoring respondents</w:t>
      </w:r>
      <w:r w:rsidRPr="00522C04">
        <w:rPr>
          <w:rFonts w:cstheme="minorHAnsi"/>
        </w:rPr>
        <w:t xml:space="preserve"> only </w:t>
      </w:r>
      <w:r w:rsidR="00AF71A8" w:rsidRPr="00522C04">
        <w:rPr>
          <w:rFonts w:cstheme="minorHAnsi"/>
        </w:rPr>
        <w:t xml:space="preserve">(all those </w:t>
      </w:r>
      <w:r w:rsidR="00887DFF" w:rsidRPr="00522C04">
        <w:rPr>
          <w:rFonts w:cstheme="minorHAnsi"/>
        </w:rPr>
        <w:t xml:space="preserve">with an absorptive capacity </w:t>
      </w:r>
      <w:r w:rsidR="00AF71A8" w:rsidRPr="00522C04">
        <w:rPr>
          <w:rFonts w:cstheme="minorHAnsi"/>
        </w:rPr>
        <w:t>scor</w:t>
      </w:r>
      <w:r w:rsidR="00887DFF" w:rsidRPr="00522C04">
        <w:rPr>
          <w:rFonts w:cstheme="minorHAnsi"/>
        </w:rPr>
        <w:t xml:space="preserve">e of </w:t>
      </w:r>
      <w:r w:rsidR="00327D2B" w:rsidRPr="00522C04">
        <w:rPr>
          <w:rFonts w:cstheme="minorHAnsi"/>
        </w:rPr>
        <w:t>forty</w:t>
      </w:r>
      <w:r w:rsidR="00AF71A8" w:rsidRPr="00522C04">
        <w:rPr>
          <w:rFonts w:cstheme="minorHAnsi"/>
        </w:rPr>
        <w:t xml:space="preserve"> or more</w:t>
      </w:r>
      <w:r w:rsidR="00887DFF" w:rsidRPr="00522C04">
        <w:rPr>
          <w:rFonts w:cstheme="minorHAnsi"/>
        </w:rPr>
        <w:t>)</w:t>
      </w:r>
      <w:r w:rsidR="004D40D6" w:rsidRPr="00522C04">
        <w:rPr>
          <w:rFonts w:cstheme="minorHAnsi"/>
        </w:rPr>
        <w:t>. N</w:t>
      </w:r>
      <w:r w:rsidRPr="00522C04">
        <w:rPr>
          <w:rFonts w:cstheme="minorHAnsi"/>
        </w:rPr>
        <w:t>o correlations wer</w:t>
      </w:r>
      <w:r w:rsidR="00AF71A8" w:rsidRPr="00522C04">
        <w:rPr>
          <w:rFonts w:cstheme="minorHAnsi"/>
        </w:rPr>
        <w:t>e</w:t>
      </w:r>
      <w:r w:rsidRPr="00522C04">
        <w:rPr>
          <w:rFonts w:cstheme="minorHAnsi"/>
        </w:rPr>
        <w:t xml:space="preserve"> found that suggested their </w:t>
      </w:r>
      <w:r w:rsidR="00AF71A8" w:rsidRPr="00522C04">
        <w:rPr>
          <w:rFonts w:cstheme="minorHAnsi"/>
        </w:rPr>
        <w:t>characteristics</w:t>
      </w:r>
      <w:r w:rsidR="002D1F04" w:rsidRPr="00522C04">
        <w:rPr>
          <w:rFonts w:cstheme="minorHAnsi"/>
        </w:rPr>
        <w:t xml:space="preserve"> differed from the remainder</w:t>
      </w:r>
      <w:r w:rsidRPr="00522C04">
        <w:rPr>
          <w:rFonts w:cstheme="minorHAnsi"/>
        </w:rPr>
        <w:t xml:space="preserve"> of the </w:t>
      </w:r>
      <w:r w:rsidR="00AF71A8" w:rsidRPr="00522C04">
        <w:rPr>
          <w:rFonts w:cstheme="minorHAnsi"/>
        </w:rPr>
        <w:t>sample</w:t>
      </w:r>
      <w:r w:rsidRPr="00522C04">
        <w:rPr>
          <w:rFonts w:cstheme="minorHAnsi"/>
        </w:rPr>
        <w:t xml:space="preserve"> (except in the role</w:t>
      </w:r>
      <w:r w:rsidR="00887DFF" w:rsidRPr="00522C04">
        <w:rPr>
          <w:rFonts w:cstheme="minorHAnsi"/>
        </w:rPr>
        <w:t xml:space="preserve"> and</w:t>
      </w:r>
      <w:r w:rsidRPr="00522C04">
        <w:rPr>
          <w:rFonts w:cstheme="minorHAnsi"/>
        </w:rPr>
        <w:t xml:space="preserve"> length of service of the</w:t>
      </w:r>
      <w:r w:rsidR="00AF71A8" w:rsidRPr="00522C04">
        <w:rPr>
          <w:rFonts w:cstheme="minorHAnsi"/>
        </w:rPr>
        <w:t xml:space="preserve"> </w:t>
      </w:r>
      <w:r w:rsidRPr="00522C04">
        <w:rPr>
          <w:rFonts w:cstheme="minorHAnsi"/>
        </w:rPr>
        <w:t>re</w:t>
      </w:r>
      <w:r w:rsidR="00AF71A8" w:rsidRPr="00522C04">
        <w:rPr>
          <w:rFonts w:cstheme="minorHAnsi"/>
        </w:rPr>
        <w:t>s</w:t>
      </w:r>
      <w:r w:rsidRPr="00522C04">
        <w:rPr>
          <w:rFonts w:cstheme="minorHAnsi"/>
        </w:rPr>
        <w:t>ponde</w:t>
      </w:r>
      <w:r w:rsidR="00AF71A8" w:rsidRPr="00522C04">
        <w:rPr>
          <w:rFonts w:cstheme="minorHAnsi"/>
        </w:rPr>
        <w:t>n</w:t>
      </w:r>
      <w:r w:rsidR="002C174D" w:rsidRPr="00522C04">
        <w:rPr>
          <w:rFonts w:cstheme="minorHAnsi"/>
        </w:rPr>
        <w:t>t)</w:t>
      </w:r>
      <w:r w:rsidR="004D40D6" w:rsidRPr="00522C04">
        <w:rPr>
          <w:rFonts w:cstheme="minorHAnsi"/>
        </w:rPr>
        <w:t xml:space="preserve">. However, </w:t>
      </w:r>
      <w:r w:rsidR="00522C04">
        <w:rPr>
          <w:rFonts w:cstheme="minorHAnsi"/>
        </w:rPr>
        <w:t xml:space="preserve">though far from conclusive, </w:t>
      </w:r>
      <w:r w:rsidR="002C174D" w:rsidRPr="00522C04">
        <w:rPr>
          <w:rFonts w:cstheme="minorHAnsi"/>
        </w:rPr>
        <w:t>a</w:t>
      </w:r>
      <w:r w:rsidR="00AF71A8" w:rsidRPr="00522C04">
        <w:rPr>
          <w:rFonts w:cstheme="minorHAnsi"/>
        </w:rPr>
        <w:t>n analysis</w:t>
      </w:r>
      <w:r w:rsidR="002C174D" w:rsidRPr="00522C04">
        <w:rPr>
          <w:rFonts w:cstheme="minorHAnsi"/>
        </w:rPr>
        <w:t xml:space="preserve"> of the</w:t>
      </w:r>
      <w:r w:rsidR="00AF71A8" w:rsidRPr="00522C04">
        <w:rPr>
          <w:rFonts w:cstheme="minorHAnsi"/>
        </w:rPr>
        <w:t xml:space="preserve"> comments </w:t>
      </w:r>
      <w:r w:rsidR="002D1F04" w:rsidRPr="00522C04">
        <w:rPr>
          <w:rFonts w:cstheme="minorHAnsi"/>
        </w:rPr>
        <w:t>pr</w:t>
      </w:r>
      <w:r w:rsidR="00F242D8">
        <w:rPr>
          <w:rFonts w:cstheme="minorHAnsi"/>
        </w:rPr>
        <w:t>ovided to justify their answers</w:t>
      </w:r>
      <w:r w:rsidR="002D1F04" w:rsidRPr="00522C04">
        <w:rPr>
          <w:rFonts w:cstheme="minorHAnsi"/>
        </w:rPr>
        <w:t xml:space="preserve"> revealed </w:t>
      </w:r>
      <w:r w:rsidR="00522C04">
        <w:rPr>
          <w:rFonts w:cstheme="minorHAnsi"/>
        </w:rPr>
        <w:t xml:space="preserve">a greater awareness of </w:t>
      </w:r>
      <w:r w:rsidR="002C174D" w:rsidRPr="00522C04">
        <w:rPr>
          <w:rFonts w:cstheme="minorHAnsi"/>
        </w:rPr>
        <w:t>the role of experience in interpretation of external knowledge</w:t>
      </w:r>
      <w:r w:rsidR="00522C04" w:rsidRPr="00522C04">
        <w:rPr>
          <w:rFonts w:cstheme="minorHAnsi"/>
        </w:rPr>
        <w:t xml:space="preserve"> and moderating factors relating to absorptive capacity.   An a</w:t>
      </w:r>
      <w:r w:rsidR="002C174D" w:rsidRPr="00522C04">
        <w:rPr>
          <w:rFonts w:cstheme="minorHAnsi"/>
        </w:rPr>
        <w:t xml:space="preserve">nalysis of the comments </w:t>
      </w:r>
      <w:r w:rsidR="00522C04" w:rsidRPr="00522C04">
        <w:rPr>
          <w:rFonts w:cstheme="minorHAnsi"/>
        </w:rPr>
        <w:t xml:space="preserve">provided by those with </w:t>
      </w:r>
      <w:r w:rsidR="002C174D" w:rsidRPr="00522C04">
        <w:rPr>
          <w:rFonts w:cstheme="minorHAnsi"/>
        </w:rPr>
        <w:t>low absor</w:t>
      </w:r>
      <w:r w:rsidR="00916BFA" w:rsidRPr="00522C04">
        <w:rPr>
          <w:rFonts w:cstheme="minorHAnsi"/>
        </w:rPr>
        <w:t xml:space="preserve">ptive capacity </w:t>
      </w:r>
      <w:r w:rsidR="00F242D8">
        <w:rPr>
          <w:rFonts w:cstheme="minorHAnsi"/>
        </w:rPr>
        <w:t xml:space="preserve">hinted at </w:t>
      </w:r>
      <w:r w:rsidR="00522C04" w:rsidRPr="00522C04">
        <w:rPr>
          <w:rFonts w:cstheme="minorHAnsi"/>
        </w:rPr>
        <w:t xml:space="preserve">the </w:t>
      </w:r>
      <w:r w:rsidR="002C174D" w:rsidRPr="00522C04">
        <w:rPr>
          <w:rFonts w:cstheme="minorHAnsi"/>
        </w:rPr>
        <w:t xml:space="preserve">low </w:t>
      </w:r>
      <w:r w:rsidR="002C174D" w:rsidRPr="00522C04">
        <w:rPr>
          <w:rFonts w:cstheme="minorHAnsi"/>
          <w:u w:val="single"/>
        </w:rPr>
        <w:t>dynamic</w:t>
      </w:r>
      <w:r w:rsidR="002C174D" w:rsidRPr="00522C04">
        <w:rPr>
          <w:rFonts w:cstheme="minorHAnsi"/>
        </w:rPr>
        <w:t xml:space="preserve"> capabilities of these organisations </w:t>
      </w:r>
      <w:r w:rsidR="00513B8F" w:rsidRPr="00522C04">
        <w:rPr>
          <w:rFonts w:cstheme="minorHAnsi"/>
        </w:rPr>
        <w:t>(</w:t>
      </w:r>
      <w:proofErr w:type="spellStart"/>
      <w:r w:rsidR="00DB0095" w:rsidRPr="00522C04">
        <w:rPr>
          <w:rFonts w:cstheme="minorHAnsi"/>
        </w:rPr>
        <w:t>Breznik</w:t>
      </w:r>
      <w:proofErr w:type="spellEnd"/>
      <w:r w:rsidR="00DB0095" w:rsidRPr="00522C04">
        <w:rPr>
          <w:rFonts w:cstheme="minorHAnsi"/>
        </w:rPr>
        <w:t xml:space="preserve"> and</w:t>
      </w:r>
      <w:r w:rsidR="00E27676" w:rsidRPr="00522C04">
        <w:rPr>
          <w:rFonts w:cstheme="minorHAnsi"/>
        </w:rPr>
        <w:t xml:space="preserve"> </w:t>
      </w:r>
      <w:proofErr w:type="spellStart"/>
      <w:r w:rsidR="00E27676" w:rsidRPr="00522C04">
        <w:rPr>
          <w:rFonts w:cstheme="minorHAnsi"/>
        </w:rPr>
        <w:t>Hisrich</w:t>
      </w:r>
      <w:proofErr w:type="spellEnd"/>
      <w:r w:rsidR="00E27676" w:rsidRPr="00522C04">
        <w:rPr>
          <w:rFonts w:cstheme="minorHAnsi"/>
        </w:rPr>
        <w:t xml:space="preserve">, 2014; </w:t>
      </w:r>
      <w:r w:rsidR="00DB0095" w:rsidRPr="00522C04">
        <w:rPr>
          <w:rFonts w:cstheme="minorHAnsi"/>
        </w:rPr>
        <w:t>Sun and</w:t>
      </w:r>
      <w:r w:rsidR="00E27676" w:rsidRPr="00522C04">
        <w:rPr>
          <w:rFonts w:cstheme="minorHAnsi"/>
        </w:rPr>
        <w:t xml:space="preserve"> Anderson, 2008</w:t>
      </w:r>
      <w:r w:rsidR="00513B8F" w:rsidRPr="00522C04">
        <w:rPr>
          <w:rFonts w:cstheme="minorHAnsi"/>
        </w:rPr>
        <w:t>)</w:t>
      </w:r>
      <w:r w:rsidR="00522C04" w:rsidRPr="00522C04">
        <w:rPr>
          <w:rFonts w:cstheme="minorHAnsi"/>
        </w:rPr>
        <w:t xml:space="preserve">. </w:t>
      </w:r>
      <w:r w:rsidR="00513B8F" w:rsidRPr="00522C04">
        <w:rPr>
          <w:rFonts w:cstheme="minorHAnsi"/>
        </w:rPr>
        <w:t xml:space="preserve"> </w:t>
      </w:r>
      <w:r w:rsidR="00522C04" w:rsidRPr="00522C04">
        <w:rPr>
          <w:rFonts w:cstheme="minorHAnsi"/>
        </w:rPr>
        <w:t xml:space="preserve">By way of illustration, </w:t>
      </w:r>
      <w:r w:rsidR="00513B8F" w:rsidRPr="00522C04">
        <w:rPr>
          <w:rFonts w:cstheme="minorHAnsi"/>
        </w:rPr>
        <w:t>r</w:t>
      </w:r>
      <w:r w:rsidR="002C174D" w:rsidRPr="00522C04">
        <w:rPr>
          <w:rFonts w:cstheme="minorHAnsi"/>
        </w:rPr>
        <w:t>espondents emphasised a</w:t>
      </w:r>
      <w:r w:rsidR="00063F45" w:rsidRPr="00522C04">
        <w:rPr>
          <w:rFonts w:cstheme="minorHAnsi"/>
        </w:rPr>
        <w:t xml:space="preserve"> variety</w:t>
      </w:r>
      <w:r w:rsidR="002C174D" w:rsidRPr="00522C04">
        <w:rPr>
          <w:rFonts w:cstheme="minorHAnsi"/>
        </w:rPr>
        <w:t xml:space="preserve"> of perceived organisational d</w:t>
      </w:r>
      <w:r w:rsidR="000472F7" w:rsidRPr="00522C04">
        <w:rPr>
          <w:rFonts w:cstheme="minorHAnsi"/>
        </w:rPr>
        <w:t>eficiencies</w:t>
      </w:r>
      <w:r w:rsidR="00522C04" w:rsidRPr="00522C04">
        <w:rPr>
          <w:rFonts w:cstheme="minorHAnsi"/>
        </w:rPr>
        <w:t xml:space="preserve"> that ranged from </w:t>
      </w:r>
      <w:r w:rsidR="000472F7" w:rsidRPr="00522C04">
        <w:rPr>
          <w:rFonts w:cstheme="minorHAnsi"/>
        </w:rPr>
        <w:t xml:space="preserve"> </w:t>
      </w:r>
      <w:r w:rsidR="00522C04" w:rsidRPr="00522C04">
        <w:rPr>
          <w:rFonts w:cstheme="minorHAnsi"/>
        </w:rPr>
        <w:t>‘</w:t>
      </w:r>
      <w:r w:rsidR="002C174D" w:rsidRPr="00522C04">
        <w:rPr>
          <w:rFonts w:cstheme="minorHAnsi"/>
        </w:rPr>
        <w:t>in</w:t>
      </w:r>
      <w:r w:rsidR="000472F7" w:rsidRPr="00522C04">
        <w:rPr>
          <w:rFonts w:cstheme="minorHAnsi"/>
        </w:rPr>
        <w:t>competent and d</w:t>
      </w:r>
      <w:r w:rsidR="00522C04" w:rsidRPr="00522C04">
        <w:rPr>
          <w:rFonts w:cstheme="minorHAnsi"/>
        </w:rPr>
        <w:t>etached managers’, ‘</w:t>
      </w:r>
      <w:r w:rsidR="002C174D" w:rsidRPr="00522C04">
        <w:rPr>
          <w:rFonts w:cstheme="minorHAnsi"/>
        </w:rPr>
        <w:t>c</w:t>
      </w:r>
      <w:r w:rsidR="005C725F" w:rsidRPr="00522C04">
        <w:rPr>
          <w:rFonts w:cstheme="minorHAnsi"/>
        </w:rPr>
        <w:t xml:space="preserve">entralised decision making </w:t>
      </w:r>
      <w:r w:rsidR="002C174D" w:rsidRPr="00522C04">
        <w:rPr>
          <w:rFonts w:cstheme="minorHAnsi"/>
        </w:rPr>
        <w:t xml:space="preserve">(which) </w:t>
      </w:r>
      <w:r w:rsidR="005C725F" w:rsidRPr="00522C04">
        <w:rPr>
          <w:rFonts w:cstheme="minorHAnsi"/>
        </w:rPr>
        <w:t>hampers the quick implementation at the departmental level</w:t>
      </w:r>
      <w:r w:rsidR="00522C04" w:rsidRPr="00522C04">
        <w:rPr>
          <w:rFonts w:cstheme="minorHAnsi"/>
        </w:rPr>
        <w:t xml:space="preserve">’ and an inability to engage with external networks for </w:t>
      </w:r>
      <w:r w:rsidR="00522C04" w:rsidRPr="00522C04">
        <w:rPr>
          <w:rFonts w:cstheme="minorHAnsi"/>
        </w:rPr>
        <w:lastRenderedPageBreak/>
        <w:t>innovative purposes.  These statements</w:t>
      </w:r>
      <w:r w:rsidR="00522C04">
        <w:rPr>
          <w:rFonts w:cstheme="minorHAnsi"/>
        </w:rPr>
        <w:t xml:space="preserve"> must be read with caution and</w:t>
      </w:r>
      <w:r w:rsidR="00D57D93">
        <w:rPr>
          <w:rFonts w:cstheme="minorHAnsi"/>
        </w:rPr>
        <w:t xml:space="preserve"> </w:t>
      </w:r>
      <w:r w:rsidR="00522C04">
        <w:rPr>
          <w:rFonts w:cstheme="minorHAnsi"/>
        </w:rPr>
        <w:t>highlight the need for additional qualit</w:t>
      </w:r>
      <w:r w:rsidR="00867409">
        <w:rPr>
          <w:rFonts w:cstheme="minorHAnsi"/>
        </w:rPr>
        <w:t>ative enquiry</w:t>
      </w:r>
      <w:r w:rsidR="00522C04">
        <w:rPr>
          <w:rFonts w:cstheme="minorHAnsi"/>
        </w:rPr>
        <w:t xml:space="preserve"> (</w:t>
      </w:r>
      <w:proofErr w:type="spellStart"/>
      <w:r w:rsidR="00522C04">
        <w:rPr>
          <w:rFonts w:cstheme="minorHAnsi"/>
        </w:rPr>
        <w:t>Hotho</w:t>
      </w:r>
      <w:proofErr w:type="spellEnd"/>
      <w:r w:rsidR="00522C04">
        <w:rPr>
          <w:rFonts w:cstheme="minorHAnsi"/>
        </w:rPr>
        <w:t xml:space="preserve"> et al., 2012).</w:t>
      </w:r>
    </w:p>
    <w:p w14:paraId="4AA98F44" w14:textId="77777777" w:rsidR="00D52353" w:rsidRDefault="00D52353" w:rsidP="0030533F">
      <w:pPr>
        <w:spacing w:after="0" w:line="360" w:lineRule="auto"/>
        <w:rPr>
          <w:rFonts w:cstheme="minorHAnsi"/>
        </w:rPr>
      </w:pPr>
    </w:p>
    <w:p w14:paraId="624AEC5B" w14:textId="76FCCE80" w:rsidR="0067464F" w:rsidRDefault="0067464F" w:rsidP="0067464F">
      <w:pPr>
        <w:spacing w:after="0" w:line="360" w:lineRule="auto"/>
        <w:rPr>
          <w:rFonts w:cstheme="minorHAnsi"/>
        </w:rPr>
      </w:pPr>
      <w:r>
        <w:t>Respondents, in answer to open questions in the survey</w:t>
      </w:r>
      <w:r w:rsidR="00B84FC9">
        <w:t xml:space="preserve"> or when interviewed during the initial </w:t>
      </w:r>
      <w:r w:rsidR="00DF67AB">
        <w:t>stage of the project</w:t>
      </w:r>
      <w:r w:rsidR="00B84FC9">
        <w:t>, described their networks in a manner which</w:t>
      </w:r>
      <w:r>
        <w:t xml:space="preserve"> resonated with theoretically emerging notions of ‘reciprocity’ (</w:t>
      </w:r>
      <w:proofErr w:type="spellStart"/>
      <w:r>
        <w:t>Ritala</w:t>
      </w:r>
      <w:proofErr w:type="spellEnd"/>
      <w:r>
        <w:t xml:space="preserve"> et al., 2015), ‘commitment-trust’ (</w:t>
      </w:r>
      <w:proofErr w:type="spellStart"/>
      <w:r>
        <w:t>Hashim</w:t>
      </w:r>
      <w:proofErr w:type="spellEnd"/>
      <w:r>
        <w:t xml:space="preserve"> and Tan, 2015) and ‘familiarity’ (Zheng and Yang, 2015).  By way of illustration, information about past events that had been secured by competitive tendering processes was shared freely by convention bureaus and PCOs in the knowledge that they would not be awarded them again, with the confident expectation that they would benefit from similar behaviour by others in their networks.  Such confidence </w:t>
      </w:r>
      <w:r w:rsidR="00B84FC9">
        <w:t>e</w:t>
      </w:r>
      <w:r>
        <w:t xml:space="preserve">merges only from a familiarity with their network and trust in those with whom knowledge is being shared. </w:t>
      </w:r>
    </w:p>
    <w:p w14:paraId="5576DB18" w14:textId="77777777" w:rsidR="00522C04" w:rsidRDefault="00522C04" w:rsidP="0030533F">
      <w:pPr>
        <w:spacing w:after="0" w:line="360" w:lineRule="auto"/>
        <w:rPr>
          <w:rFonts w:cstheme="minorHAnsi"/>
        </w:rPr>
      </w:pPr>
    </w:p>
    <w:p w14:paraId="4513C871" w14:textId="77777777" w:rsidR="00F242D8" w:rsidRDefault="00F242D8" w:rsidP="0030533F">
      <w:pPr>
        <w:spacing w:after="0" w:line="360" w:lineRule="auto"/>
        <w:rPr>
          <w:rFonts w:cstheme="minorHAnsi"/>
        </w:rPr>
      </w:pPr>
    </w:p>
    <w:p w14:paraId="08C0FEF3" w14:textId="003E3C8F" w:rsidR="002C174D" w:rsidRDefault="00CE293B" w:rsidP="0030533F">
      <w:pPr>
        <w:spacing w:after="0" w:line="360" w:lineRule="auto"/>
        <w:rPr>
          <w:rFonts w:cstheme="minorHAnsi"/>
        </w:rPr>
      </w:pPr>
      <w:r>
        <w:rPr>
          <w:rFonts w:cstheme="minorHAnsi"/>
        </w:rPr>
        <w:t xml:space="preserve">5.0 </w:t>
      </w:r>
      <w:r w:rsidR="0030533F" w:rsidRPr="00B04E42">
        <w:rPr>
          <w:rFonts w:cstheme="minorHAnsi"/>
        </w:rPr>
        <w:t>CONCLUSION</w:t>
      </w:r>
    </w:p>
    <w:p w14:paraId="1BDAA7AC" w14:textId="77777777" w:rsidR="00B04E42" w:rsidRPr="00B04E42" w:rsidRDefault="00B04E42" w:rsidP="0030533F">
      <w:pPr>
        <w:spacing w:after="0" w:line="360" w:lineRule="auto"/>
        <w:rPr>
          <w:rFonts w:cstheme="minorHAnsi"/>
        </w:rPr>
      </w:pPr>
    </w:p>
    <w:p w14:paraId="0B175D6F" w14:textId="064596CF" w:rsidR="007C6359" w:rsidRPr="00865D94" w:rsidRDefault="002C174D" w:rsidP="000025DA">
      <w:pPr>
        <w:spacing w:after="0" w:line="360" w:lineRule="auto"/>
        <w:rPr>
          <w:rFonts w:cstheme="minorHAnsi"/>
        </w:rPr>
      </w:pPr>
      <w:r w:rsidRPr="00A52FE1">
        <w:rPr>
          <w:rFonts w:cstheme="minorHAnsi"/>
        </w:rPr>
        <w:t>The research r</w:t>
      </w:r>
      <w:r w:rsidR="0067464F">
        <w:rPr>
          <w:rFonts w:cstheme="minorHAnsi"/>
        </w:rPr>
        <w:t xml:space="preserve">eported in </w:t>
      </w:r>
      <w:r w:rsidR="00F00C88">
        <w:rPr>
          <w:rFonts w:cstheme="minorHAnsi"/>
        </w:rPr>
        <w:t>this paper advances</w:t>
      </w:r>
      <w:r w:rsidR="00865D94">
        <w:rPr>
          <w:rFonts w:cstheme="minorHAnsi"/>
        </w:rPr>
        <w:t xml:space="preserve"> our theoretical understanding of absorptive capacity as well as making a </w:t>
      </w:r>
      <w:r w:rsidR="00583632">
        <w:rPr>
          <w:rFonts w:cstheme="minorHAnsi"/>
        </w:rPr>
        <w:t xml:space="preserve">potentially valuable </w:t>
      </w:r>
      <w:r w:rsidR="0067464F">
        <w:rPr>
          <w:rFonts w:cstheme="minorHAnsi"/>
        </w:rPr>
        <w:t>contribution</w:t>
      </w:r>
      <w:r w:rsidR="00583632">
        <w:rPr>
          <w:rFonts w:cstheme="minorHAnsi"/>
        </w:rPr>
        <w:t xml:space="preserve"> to policy and practice</w:t>
      </w:r>
      <w:r w:rsidR="00865D94">
        <w:rPr>
          <w:rFonts w:cstheme="minorHAnsi"/>
        </w:rPr>
        <w:t xml:space="preserve">. </w:t>
      </w:r>
      <w:r w:rsidR="0067464F">
        <w:rPr>
          <w:rFonts w:cstheme="minorHAnsi"/>
        </w:rPr>
        <w:t xml:space="preserve"> </w:t>
      </w:r>
      <w:r w:rsidR="00865D94">
        <w:rPr>
          <w:rFonts w:cstheme="minorHAnsi"/>
        </w:rPr>
        <w:t>B</w:t>
      </w:r>
      <w:r w:rsidR="0067464F">
        <w:rPr>
          <w:rFonts w:cstheme="minorHAnsi"/>
        </w:rPr>
        <w:t xml:space="preserve">y failing to identify </w:t>
      </w:r>
      <w:r w:rsidR="000025DA">
        <w:t>a</w:t>
      </w:r>
      <w:r w:rsidR="002F44B5">
        <w:t>n empirical</w:t>
      </w:r>
      <w:r w:rsidR="000025DA">
        <w:t xml:space="preserve"> distinction between potential and realised absorptive capacity, </w:t>
      </w:r>
      <w:proofErr w:type="gramStart"/>
      <w:r w:rsidR="000025DA">
        <w:t>or</w:t>
      </w:r>
      <w:proofErr w:type="gramEnd"/>
      <w:r w:rsidR="000025DA">
        <w:t xml:space="preserve"> the four dimensions of absorptive capacity</w:t>
      </w:r>
      <w:r w:rsidR="00EE4866">
        <w:t xml:space="preserve"> discussed in the literature</w:t>
      </w:r>
      <w:r w:rsidR="000025DA">
        <w:t xml:space="preserve">, </w:t>
      </w:r>
      <w:r w:rsidR="00865D94">
        <w:t xml:space="preserve">it appears that, as anticipated, </w:t>
      </w:r>
      <w:r w:rsidR="000025DA">
        <w:t>different dynamics are at play within the meetings industry than in other, largely manufacturing, sectors.  As a result, a modified model of absorptive capacity is proposed</w:t>
      </w:r>
      <w:r w:rsidR="00865D94">
        <w:t xml:space="preserve"> (Figure 3).</w:t>
      </w:r>
      <w:r w:rsidR="0075215E">
        <w:t xml:space="preserve"> </w:t>
      </w:r>
    </w:p>
    <w:p w14:paraId="287244A3" w14:textId="77777777" w:rsidR="007C6359" w:rsidRDefault="007C6359" w:rsidP="000025DA">
      <w:pPr>
        <w:spacing w:after="0" w:line="360" w:lineRule="auto"/>
      </w:pPr>
    </w:p>
    <w:p w14:paraId="381A4C2B" w14:textId="1D3AD474" w:rsidR="000025DA" w:rsidRDefault="00750BD4" w:rsidP="000025DA">
      <w:pPr>
        <w:spacing w:after="0" w:line="360" w:lineRule="auto"/>
      </w:pPr>
      <w:r>
        <w:object w:dxaOrig="12630" w:dyaOrig="8925" w14:anchorId="05C3A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05.25pt" o:ole="">
            <v:imagedata r:id="rId10" o:title=""/>
          </v:shape>
          <o:OLEObject Type="Embed" ProgID="AcroExch.Document.11" ShapeID="_x0000_i1025" DrawAspect="Content" ObjectID="_1497192834" r:id="rId11"/>
        </w:object>
      </w:r>
    </w:p>
    <w:p w14:paraId="77476BEC" w14:textId="77777777" w:rsidR="00F27893" w:rsidRPr="00D82550" w:rsidRDefault="00F27893" w:rsidP="000025DA">
      <w:pPr>
        <w:spacing w:after="0" w:line="360" w:lineRule="auto"/>
      </w:pPr>
    </w:p>
    <w:p w14:paraId="6FC0A767" w14:textId="77777777" w:rsidR="00865D94" w:rsidRDefault="00865D94" w:rsidP="00865D94">
      <w:pPr>
        <w:spacing w:after="0" w:line="360" w:lineRule="auto"/>
      </w:pPr>
    </w:p>
    <w:p w14:paraId="5A0F8A84" w14:textId="4F5AC55D" w:rsidR="00865D94" w:rsidRPr="00865D94" w:rsidRDefault="00865D94" w:rsidP="00865D94">
      <w:pPr>
        <w:spacing w:after="0" w:line="360" w:lineRule="auto"/>
        <w:rPr>
          <w:rFonts w:cstheme="minorHAnsi"/>
        </w:rPr>
      </w:pPr>
      <w:r>
        <w:t>Following earlier conceptualisations, the importance of external sources of knowledge complemented by the possession of experience</w:t>
      </w:r>
      <w:r w:rsidR="005E56EF">
        <w:t xml:space="preserve"> and business attributes that enable it to use the external knowledge are retained. The relational nature of knowledge</w:t>
      </w:r>
      <w:r w:rsidR="002660DE">
        <w:t>,</w:t>
      </w:r>
      <w:r w:rsidR="005E56EF">
        <w:t xml:space="preserve"> which is emphasised in the tourism literature and confirmed by the empirical findings</w:t>
      </w:r>
      <w:r w:rsidR="002660DE">
        <w:t>,</w:t>
      </w:r>
      <w:r w:rsidR="005E56EF">
        <w:t xml:space="preserve"> </w:t>
      </w:r>
      <w:r>
        <w:t>is acknowledged</w:t>
      </w:r>
      <w:r w:rsidR="005E56EF">
        <w:t xml:space="preserve"> and the notion of reciprocity introduced as factors that act as antecedents to absorptive capacity in the meetings industry. </w:t>
      </w:r>
    </w:p>
    <w:p w14:paraId="2DF89173" w14:textId="77777777" w:rsidR="00475C06" w:rsidRDefault="00475C06" w:rsidP="0030533F">
      <w:pPr>
        <w:spacing w:after="0" w:line="360" w:lineRule="auto"/>
        <w:rPr>
          <w:rFonts w:cstheme="minorHAnsi"/>
        </w:rPr>
      </w:pPr>
    </w:p>
    <w:p w14:paraId="4ECDA66F" w14:textId="68B2AB20" w:rsidR="0087625A" w:rsidRDefault="00EC28A6" w:rsidP="0030533F">
      <w:pPr>
        <w:spacing w:after="0" w:line="360" w:lineRule="auto"/>
        <w:rPr>
          <w:rFonts w:cstheme="minorHAnsi"/>
        </w:rPr>
      </w:pPr>
      <w:r>
        <w:rPr>
          <w:rFonts w:cstheme="minorHAnsi"/>
        </w:rPr>
        <w:t>T</w:t>
      </w:r>
      <w:r w:rsidR="004C67E5">
        <w:rPr>
          <w:rFonts w:cstheme="minorHAnsi"/>
        </w:rPr>
        <w:t xml:space="preserve">he </w:t>
      </w:r>
      <w:r>
        <w:rPr>
          <w:rFonts w:cstheme="minorHAnsi"/>
        </w:rPr>
        <w:t xml:space="preserve">survey </w:t>
      </w:r>
      <w:r w:rsidR="004C67E5">
        <w:rPr>
          <w:rFonts w:cstheme="minorHAnsi"/>
        </w:rPr>
        <w:t xml:space="preserve">evidence reported </w:t>
      </w:r>
      <w:r>
        <w:rPr>
          <w:rFonts w:cstheme="minorHAnsi"/>
        </w:rPr>
        <w:t xml:space="preserve">in this paper </w:t>
      </w:r>
      <w:r w:rsidR="005A44CD">
        <w:rPr>
          <w:rFonts w:cstheme="minorHAnsi"/>
        </w:rPr>
        <w:t xml:space="preserve">also </w:t>
      </w:r>
      <w:r>
        <w:rPr>
          <w:rFonts w:cstheme="minorHAnsi"/>
        </w:rPr>
        <w:t>suggests that</w:t>
      </w:r>
      <w:r w:rsidR="004C67E5">
        <w:rPr>
          <w:rFonts w:cstheme="minorHAnsi"/>
        </w:rPr>
        <w:t xml:space="preserve"> leadership </w:t>
      </w:r>
      <w:r>
        <w:rPr>
          <w:rFonts w:cstheme="minorHAnsi"/>
        </w:rPr>
        <w:t>i</w:t>
      </w:r>
      <w:r w:rsidR="005A44CD">
        <w:rPr>
          <w:rFonts w:cstheme="minorHAnsi"/>
        </w:rPr>
        <w:t xml:space="preserve">s critical and is most effective when </w:t>
      </w:r>
      <w:r w:rsidR="004C67E5">
        <w:rPr>
          <w:rFonts w:cstheme="minorHAnsi"/>
        </w:rPr>
        <w:t xml:space="preserve">accompanied by high levels of tacit knowledge gained from experience in the sector.  </w:t>
      </w:r>
      <w:r w:rsidR="000025DA">
        <w:rPr>
          <w:rFonts w:cstheme="minorHAnsi"/>
        </w:rPr>
        <w:t>In other words, much of the firms’ organisational knowledge (</w:t>
      </w:r>
      <w:r w:rsidR="000025DA">
        <w:t>Vega –</w:t>
      </w:r>
      <w:proofErr w:type="spellStart"/>
      <w:r w:rsidR="000025DA">
        <w:t>Jurado</w:t>
      </w:r>
      <w:proofErr w:type="spellEnd"/>
      <w:r w:rsidR="000025DA">
        <w:t>, Gutierrez-Garcia and Fernandez-de-Lucio, 2008) reli</w:t>
      </w:r>
      <w:r w:rsidR="00D82550">
        <w:t>es on a small number of ‘core’</w:t>
      </w:r>
      <w:r w:rsidR="000025DA">
        <w:t xml:space="preserve"> employees. </w:t>
      </w:r>
      <w:r>
        <w:rPr>
          <w:rFonts w:cstheme="minorHAnsi"/>
        </w:rPr>
        <w:t>T</w:t>
      </w:r>
      <w:r w:rsidR="004C67E5">
        <w:rPr>
          <w:rFonts w:cstheme="minorHAnsi"/>
        </w:rPr>
        <w:t xml:space="preserve">he more personalised nature of </w:t>
      </w:r>
      <w:r>
        <w:rPr>
          <w:rFonts w:cstheme="minorHAnsi"/>
        </w:rPr>
        <w:t>management</w:t>
      </w:r>
      <w:r w:rsidR="00D82550">
        <w:rPr>
          <w:rFonts w:cstheme="minorHAnsi"/>
        </w:rPr>
        <w:t xml:space="preserve"> </w:t>
      </w:r>
      <w:r>
        <w:rPr>
          <w:rFonts w:cstheme="minorHAnsi"/>
        </w:rPr>
        <w:t xml:space="preserve">suggests that </w:t>
      </w:r>
      <w:r w:rsidR="004C67E5">
        <w:rPr>
          <w:rFonts w:cstheme="minorHAnsi"/>
        </w:rPr>
        <w:t xml:space="preserve">creativity </w:t>
      </w:r>
      <w:r>
        <w:rPr>
          <w:rFonts w:cstheme="minorHAnsi"/>
        </w:rPr>
        <w:t xml:space="preserve">among </w:t>
      </w:r>
      <w:r w:rsidR="004C67E5">
        <w:rPr>
          <w:rFonts w:cstheme="minorHAnsi"/>
        </w:rPr>
        <w:t xml:space="preserve">leaders </w:t>
      </w:r>
      <w:r w:rsidR="003B0E4E">
        <w:rPr>
          <w:rFonts w:cstheme="minorHAnsi"/>
        </w:rPr>
        <w:t>should also be accentuated</w:t>
      </w:r>
      <w:r w:rsidR="0087625A">
        <w:rPr>
          <w:rFonts w:cstheme="minorHAnsi"/>
        </w:rPr>
        <w:t xml:space="preserve"> in t</w:t>
      </w:r>
      <w:r w:rsidR="00D57D93">
        <w:rPr>
          <w:rFonts w:cstheme="minorHAnsi"/>
        </w:rPr>
        <w:t>he new model.  W</w:t>
      </w:r>
      <w:r w:rsidR="0087625A">
        <w:rPr>
          <w:rFonts w:cstheme="minorHAnsi"/>
        </w:rPr>
        <w:t xml:space="preserve">hat </w:t>
      </w:r>
      <w:proofErr w:type="spellStart"/>
      <w:r w:rsidR="0087625A">
        <w:t>Amabile</w:t>
      </w:r>
      <w:proofErr w:type="spellEnd"/>
      <w:r w:rsidR="0087625A">
        <w:t xml:space="preserve">, Conti, Coon, </w:t>
      </w:r>
      <w:proofErr w:type="spellStart"/>
      <w:r w:rsidR="0087625A">
        <w:t>Lazenby</w:t>
      </w:r>
      <w:proofErr w:type="spellEnd"/>
      <w:r w:rsidR="0087625A">
        <w:t xml:space="preserve"> and Herron (1996</w:t>
      </w:r>
      <w:r w:rsidR="0087625A">
        <w:rPr>
          <w:rFonts w:cstheme="minorHAnsi"/>
        </w:rPr>
        <w:t xml:space="preserve">) identified some time ago as one of three vital elements of a creative organisation, namely its management practices, </w:t>
      </w:r>
      <w:r w:rsidR="003B0E4E">
        <w:rPr>
          <w:rFonts w:cstheme="minorHAnsi"/>
        </w:rPr>
        <w:t>is</w:t>
      </w:r>
      <w:r w:rsidR="0087625A">
        <w:rPr>
          <w:rFonts w:cstheme="minorHAnsi"/>
        </w:rPr>
        <w:t xml:space="preserve"> likely to be pivotal in the meetings industry. </w:t>
      </w:r>
      <w:r w:rsidR="003B0E4E">
        <w:rPr>
          <w:rFonts w:cstheme="minorHAnsi"/>
        </w:rPr>
        <w:t xml:space="preserve"> A more recent review (Anderson, </w:t>
      </w:r>
      <w:proofErr w:type="spellStart"/>
      <w:r w:rsidR="003B0E4E">
        <w:rPr>
          <w:rFonts w:cstheme="minorHAnsi"/>
        </w:rPr>
        <w:t>Potocnik</w:t>
      </w:r>
      <w:proofErr w:type="spellEnd"/>
      <w:r w:rsidR="003B0E4E">
        <w:rPr>
          <w:rFonts w:cstheme="minorHAnsi"/>
        </w:rPr>
        <w:t xml:space="preserve"> and Zhou, 2014)</w:t>
      </w:r>
      <w:r w:rsidR="00862AB3">
        <w:rPr>
          <w:rFonts w:cstheme="minorHAnsi"/>
        </w:rPr>
        <w:t xml:space="preserve"> has highlighted the need for additional research o</w:t>
      </w:r>
      <w:r w:rsidR="000720A9">
        <w:rPr>
          <w:rFonts w:cstheme="minorHAnsi"/>
        </w:rPr>
        <w:t>n the contribution of individual leadership to creativity and innovation</w:t>
      </w:r>
      <w:r w:rsidR="00A1225E">
        <w:rPr>
          <w:rFonts w:cstheme="minorHAnsi"/>
        </w:rPr>
        <w:t>, some of which c</w:t>
      </w:r>
      <w:r w:rsidR="00D82550">
        <w:rPr>
          <w:rFonts w:cstheme="minorHAnsi"/>
        </w:rPr>
        <w:t>ould usefully be</w:t>
      </w:r>
      <w:r w:rsidR="008B5216">
        <w:rPr>
          <w:rFonts w:cstheme="minorHAnsi"/>
        </w:rPr>
        <w:t xml:space="preserve"> pursued in the meetings industry</w:t>
      </w:r>
      <w:r w:rsidR="000720A9">
        <w:rPr>
          <w:rFonts w:cstheme="minorHAnsi"/>
        </w:rPr>
        <w:t xml:space="preserve">. </w:t>
      </w:r>
    </w:p>
    <w:p w14:paraId="2AA10C8F" w14:textId="77777777" w:rsidR="000025DA" w:rsidRDefault="000025DA" w:rsidP="0030533F">
      <w:pPr>
        <w:spacing w:after="0" w:line="360" w:lineRule="auto"/>
        <w:rPr>
          <w:rFonts w:cstheme="minorHAnsi"/>
        </w:rPr>
      </w:pPr>
    </w:p>
    <w:p w14:paraId="78849142" w14:textId="1E92E2D8" w:rsidR="000025DA" w:rsidRPr="000025DA" w:rsidRDefault="000025DA" w:rsidP="0055632F">
      <w:pPr>
        <w:spacing w:after="0" w:line="360" w:lineRule="auto"/>
      </w:pPr>
      <w:r>
        <w:t xml:space="preserve">From what has been revealed by previous research and confirmed by the interviews conducted for this study, a culture of sharing knowledge within the enterprise represents an important </w:t>
      </w:r>
      <w:r w:rsidR="00E33782">
        <w:t>dimension</w:t>
      </w:r>
      <w:r w:rsidR="00A10ABE">
        <w:t xml:space="preserve"> of absorptive capacity.  Vega-</w:t>
      </w:r>
      <w:proofErr w:type="spellStart"/>
      <w:r>
        <w:t>Jurado</w:t>
      </w:r>
      <w:proofErr w:type="spellEnd"/>
      <w:r>
        <w:t xml:space="preserve">, Gutierrez-Garcia, Fernandez-de-Lucio and </w:t>
      </w:r>
      <w:proofErr w:type="spellStart"/>
      <w:r>
        <w:t>Manjarres</w:t>
      </w:r>
      <w:proofErr w:type="spellEnd"/>
      <w:r>
        <w:t>-Henriquez (2008) draw an important conceptual distinc</w:t>
      </w:r>
      <w:r w:rsidR="00D57D93">
        <w:t>tion between social integration</w:t>
      </w:r>
      <w:r>
        <w:t xml:space="preserve"> mechanisms (those practices that enable knowledge exchange within the enterprise) and the complementary notion of formalisation (the extent to which rules and procedures govern employee behaviour).  The level of formalisation, they argue, may improve the efficiency of knowledge acquisition by creating policies and systems.  It is the social integration mechanisms, however, that are vital not only to its distribution but particularly for its transformation and exploitation, where high level cognitive skills are re</w:t>
      </w:r>
      <w:r w:rsidR="00DF3547">
        <w:t>quired.  Both play an</w:t>
      </w:r>
      <w:r>
        <w:t xml:space="preserve"> important rol</w:t>
      </w:r>
      <w:r w:rsidR="00066FC0">
        <w:t xml:space="preserve">e in the meetings industry but probably in a different manner from other sectors.  The data suggest that </w:t>
      </w:r>
      <w:r w:rsidR="00DF3547">
        <w:t xml:space="preserve">managers influence and participate directly </w:t>
      </w:r>
      <w:r w:rsidR="00D259B8">
        <w:t xml:space="preserve">and informally </w:t>
      </w:r>
      <w:r w:rsidR="00DF3547">
        <w:t xml:space="preserve">in the iterative processes of acquiring, assimilating, transforming and exploiting knowledge for organisational gain.  </w:t>
      </w:r>
      <w:r w:rsidR="00583632">
        <w:t xml:space="preserve">To reflect this, knowledge acquisition, assimilation, transformation and exploitation are represented as overlapping in the Venn diagram. </w:t>
      </w:r>
      <w:r w:rsidR="00DF3547">
        <w:t>The</w:t>
      </w:r>
      <w:r w:rsidR="00583632">
        <w:t xml:space="preserve"> </w:t>
      </w:r>
      <w:r w:rsidR="00DF3547">
        <w:t xml:space="preserve">proximity </w:t>
      </w:r>
      <w:r w:rsidR="00583632">
        <w:t xml:space="preserve">of leaders </w:t>
      </w:r>
      <w:r w:rsidR="00DF3547">
        <w:t>to their ‘core’ employees and to the market, even in larger businesses, sugges</w:t>
      </w:r>
      <w:r w:rsidR="00D259B8">
        <w:t xml:space="preserve">ts that </w:t>
      </w:r>
      <w:r w:rsidR="00583632">
        <w:t>they</w:t>
      </w:r>
      <w:r w:rsidR="00D259B8">
        <w:t xml:space="preserve"> p</w:t>
      </w:r>
      <w:r w:rsidR="00DF3547">
        <w:t>l</w:t>
      </w:r>
      <w:r w:rsidR="00D259B8">
        <w:t>ay a</w:t>
      </w:r>
      <w:r w:rsidR="00DF3547">
        <w:t xml:space="preserve"> more active role in </w:t>
      </w:r>
      <w:r w:rsidR="00D259B8">
        <w:t xml:space="preserve">bridging connections between acquired knowledge and </w:t>
      </w:r>
      <w:r w:rsidR="00DF3547">
        <w:t>generating innovation and competitive advantage than in</w:t>
      </w:r>
      <w:r w:rsidR="00D259B8">
        <w:t xml:space="preserve"> other</w:t>
      </w:r>
      <w:r w:rsidR="00571307">
        <w:t>, notably manufacturing,</w:t>
      </w:r>
      <w:r w:rsidR="00D259B8">
        <w:t xml:space="preserve"> sectors.</w:t>
      </w:r>
      <w:r w:rsidR="00571307">
        <w:t xml:space="preserve">  </w:t>
      </w:r>
    </w:p>
    <w:p w14:paraId="10C5892A" w14:textId="77777777" w:rsidR="000025DA" w:rsidRDefault="000025DA" w:rsidP="0055632F">
      <w:pPr>
        <w:spacing w:after="0" w:line="360" w:lineRule="auto"/>
      </w:pPr>
    </w:p>
    <w:p w14:paraId="7B65CD6E" w14:textId="31BCD1AD" w:rsidR="00237FF8" w:rsidRDefault="00666789" w:rsidP="0055632F">
      <w:pPr>
        <w:spacing w:after="0" w:line="360" w:lineRule="auto"/>
      </w:pPr>
      <w:r>
        <w:t>The interviews conducted for this project suggest that innovations are difficult to protect</w:t>
      </w:r>
      <w:r w:rsidR="00571307">
        <w:t xml:space="preserve"> in the meetings industry</w:t>
      </w:r>
      <w:r>
        <w:t>, an observation confirmed in other tourism contexts (</w:t>
      </w:r>
      <w:proofErr w:type="spellStart"/>
      <w:r w:rsidR="0006273E">
        <w:t>Decelle</w:t>
      </w:r>
      <w:proofErr w:type="spellEnd"/>
      <w:r w:rsidR="0006273E">
        <w:t xml:space="preserve">, 2004; </w:t>
      </w:r>
      <w:r>
        <w:t>Hall and Williams, 2008)</w:t>
      </w:r>
      <w:r w:rsidR="00571307">
        <w:t xml:space="preserve">. Thus, </w:t>
      </w:r>
      <w:r w:rsidR="00A10ABE">
        <w:t xml:space="preserve">the </w:t>
      </w:r>
      <w:r w:rsidR="0055632F">
        <w:t>competitive advantage gained from innovation tends to be relatively short l</w:t>
      </w:r>
      <w:r w:rsidR="00A10ABE">
        <w:t xml:space="preserve">ived.  The creation of </w:t>
      </w:r>
      <w:r w:rsidR="0055632F">
        <w:t xml:space="preserve">strong regimes of </w:t>
      </w:r>
      <w:proofErr w:type="spellStart"/>
      <w:r w:rsidR="0055632F">
        <w:t>appropriability</w:t>
      </w:r>
      <w:proofErr w:type="spellEnd"/>
      <w:r w:rsidR="0055632F">
        <w:t xml:space="preserve"> (the mecha</w:t>
      </w:r>
      <w:r w:rsidR="00A10ABE">
        <w:t>nism to protect the innovation such as</w:t>
      </w:r>
      <w:r w:rsidR="0055632F">
        <w:t xml:space="preserve"> secrecy, specialist knowledge, or the high cost of replication) is extremely difficult</w:t>
      </w:r>
      <w:r w:rsidR="00571307">
        <w:t xml:space="preserve"> and not worthy of significant investment of effort</w:t>
      </w:r>
      <w:r w:rsidR="008B5216">
        <w:t xml:space="preserve">. </w:t>
      </w:r>
      <w:r w:rsidR="00A10ABE">
        <w:t xml:space="preserve"> </w:t>
      </w:r>
      <w:r w:rsidR="008B5216">
        <w:t xml:space="preserve">Some of the structural characterises of the labour market discussed earlier in the paper, notably the high </w:t>
      </w:r>
      <w:r w:rsidR="00920DA7">
        <w:t xml:space="preserve">circulation of temporary and freelance staff, </w:t>
      </w:r>
      <w:r w:rsidR="00F51491">
        <w:t>suggests that knowledge leakages</w:t>
      </w:r>
      <w:r w:rsidR="008B5216">
        <w:t xml:space="preserve"> are likely to be widespread (though</w:t>
      </w:r>
      <w:r w:rsidR="00920DA7">
        <w:t>, ironically, these have been identified in some circumstances as contributing to knowledge acquisition). Interviews with key informants confirm this analysis with the possible exception</w:t>
      </w:r>
      <w:r w:rsidR="00A10ABE">
        <w:t xml:space="preserve"> of innovation that contain</w:t>
      </w:r>
      <w:r w:rsidR="00920DA7">
        <w:t>s</w:t>
      </w:r>
      <w:r w:rsidR="00A10ABE">
        <w:t xml:space="preserve"> a significant technical element.  Even in those cases, however, appropriation regimes are likely to </w:t>
      </w:r>
      <w:r w:rsidR="00F51491">
        <w:t xml:space="preserve">be </w:t>
      </w:r>
      <w:r w:rsidR="00A10ABE">
        <w:t xml:space="preserve">weak because </w:t>
      </w:r>
      <w:r w:rsidR="008B5216">
        <w:t xml:space="preserve">the suppliers who lead technical </w:t>
      </w:r>
      <w:r w:rsidR="00A10ABE">
        <w:t>inno</w:t>
      </w:r>
      <w:r w:rsidR="00237FF8">
        <w:t xml:space="preserve">vations </w:t>
      </w:r>
      <w:r w:rsidR="008B5216">
        <w:t xml:space="preserve">tend not to </w:t>
      </w:r>
      <w:r w:rsidR="00237FF8">
        <w:t>work exclusively for one organisation in the sector.</w:t>
      </w:r>
    </w:p>
    <w:p w14:paraId="692B00C5" w14:textId="77777777" w:rsidR="00865D94" w:rsidRDefault="00865D94" w:rsidP="0055632F">
      <w:pPr>
        <w:spacing w:after="0" w:line="360" w:lineRule="auto"/>
      </w:pPr>
    </w:p>
    <w:p w14:paraId="5BD98F04" w14:textId="31D63700" w:rsidR="00F51491" w:rsidRDefault="00865D94" w:rsidP="00865D94">
      <w:pPr>
        <w:spacing w:after="0" w:line="360" w:lineRule="auto"/>
        <w:rPr>
          <w:rFonts w:cstheme="minorHAnsi"/>
        </w:rPr>
      </w:pPr>
      <w:r>
        <w:lastRenderedPageBreak/>
        <w:t xml:space="preserve">The </w:t>
      </w:r>
      <w:r w:rsidR="00F51491">
        <w:t xml:space="preserve">paper also contributes to the literature by showing, for the first time, </w:t>
      </w:r>
      <w:r w:rsidR="00FE0ADE">
        <w:rPr>
          <w:rFonts w:cstheme="minorHAnsi"/>
        </w:rPr>
        <w:t>that it is possible to estimate</w:t>
      </w:r>
      <w:r w:rsidR="00F51491" w:rsidRPr="00A52FE1">
        <w:rPr>
          <w:rFonts w:cstheme="minorHAnsi"/>
        </w:rPr>
        <w:t xml:space="preserve"> the absorptive capacity of enterprises in </w:t>
      </w:r>
      <w:r w:rsidR="00F51491">
        <w:rPr>
          <w:rFonts w:cstheme="minorHAnsi"/>
        </w:rPr>
        <w:t xml:space="preserve">the meetings industry.  </w:t>
      </w:r>
      <w:r w:rsidR="00F51491" w:rsidRPr="00A52FE1">
        <w:rPr>
          <w:rFonts w:cstheme="minorHAnsi"/>
        </w:rPr>
        <w:t>In principle, this might extend to leisure tourism providers such as attractions, hotels and transport.</w:t>
      </w:r>
      <w:r w:rsidR="00F51491">
        <w:rPr>
          <w:rFonts w:cstheme="minorHAnsi"/>
        </w:rPr>
        <w:t xml:space="preserve">  This enables researchers to trace the absorptive capacity of organisations in the sector over time and to undertake comparative studies at the level of the destination.</w:t>
      </w:r>
    </w:p>
    <w:p w14:paraId="179E08AA" w14:textId="77777777" w:rsidR="009E3AB1" w:rsidRDefault="009E3AB1" w:rsidP="00865D94">
      <w:pPr>
        <w:spacing w:after="0" w:line="360" w:lineRule="auto"/>
      </w:pPr>
    </w:p>
    <w:p w14:paraId="364F3481" w14:textId="24BF2665" w:rsidR="009E3AB1" w:rsidRPr="00A52FE1" w:rsidRDefault="009E3AB1" w:rsidP="009E3AB1">
      <w:pPr>
        <w:spacing w:after="0" w:line="360" w:lineRule="auto"/>
        <w:rPr>
          <w:rFonts w:cstheme="minorHAnsi"/>
        </w:rPr>
      </w:pPr>
      <w:r>
        <w:rPr>
          <w:rFonts w:cstheme="minorHAnsi"/>
        </w:rPr>
        <w:t xml:space="preserve">Finally, in spite of the voluminous literature and the insights provided by this research, absorptive capacity remains inside something of a ‘black box’. Perhaps the most immediate research challenge, therefore, is the need to interrogate the concept in organisational contexts via detailed qualitative enquiry.   This should encompass an examination of the social relations within organisations as they influence absorptive capacity.  Without knowing more about the social processes at play, and their consequences, theoretical understanding of absorptive capacity and its implications for innovation and competitive advantage will be circumscribed, offering the ability to make relatively constrained practical recommendations. </w:t>
      </w:r>
    </w:p>
    <w:p w14:paraId="29BF2C3F" w14:textId="77777777" w:rsidR="0055632F" w:rsidRDefault="0055632F" w:rsidP="0055632F">
      <w:pPr>
        <w:spacing w:after="0" w:line="360" w:lineRule="auto"/>
      </w:pPr>
    </w:p>
    <w:p w14:paraId="5B9C08C3" w14:textId="77777777" w:rsidR="00CE293B" w:rsidRDefault="00CE293B" w:rsidP="0030533F">
      <w:pPr>
        <w:spacing w:after="0" w:line="360" w:lineRule="auto"/>
        <w:rPr>
          <w:rFonts w:cstheme="minorHAnsi"/>
        </w:rPr>
      </w:pPr>
    </w:p>
    <w:p w14:paraId="6EA5DE70" w14:textId="2A9355E3" w:rsidR="00CE293B" w:rsidRDefault="00685BF5" w:rsidP="0030533F">
      <w:pPr>
        <w:spacing w:after="0" w:line="360" w:lineRule="auto"/>
        <w:rPr>
          <w:rFonts w:cstheme="minorHAnsi"/>
          <w:i/>
        </w:rPr>
      </w:pPr>
      <w:r>
        <w:rPr>
          <w:rFonts w:cstheme="minorHAnsi"/>
          <w:i/>
        </w:rPr>
        <w:t>5.1</w:t>
      </w:r>
      <w:r w:rsidR="000025DA">
        <w:rPr>
          <w:rFonts w:cstheme="minorHAnsi"/>
          <w:i/>
        </w:rPr>
        <w:t xml:space="preserve"> I</w:t>
      </w:r>
      <w:r w:rsidR="00CE293B" w:rsidRPr="000025DA">
        <w:rPr>
          <w:rFonts w:cstheme="minorHAnsi"/>
          <w:i/>
        </w:rPr>
        <w:t>mplications</w:t>
      </w:r>
      <w:r w:rsidR="00EC71F9">
        <w:rPr>
          <w:rFonts w:cstheme="minorHAnsi"/>
          <w:i/>
        </w:rPr>
        <w:t xml:space="preserve"> for policy and practice</w:t>
      </w:r>
    </w:p>
    <w:p w14:paraId="28FA3BC8" w14:textId="77777777" w:rsidR="000025DA" w:rsidRPr="00A10ABE" w:rsidRDefault="000025DA" w:rsidP="0030533F">
      <w:pPr>
        <w:spacing w:after="0" w:line="360" w:lineRule="auto"/>
        <w:rPr>
          <w:rFonts w:cstheme="minorHAnsi"/>
        </w:rPr>
      </w:pPr>
    </w:p>
    <w:p w14:paraId="54B5C4B5" w14:textId="3A4B8DC5" w:rsidR="00CE293B" w:rsidRDefault="00202F6A" w:rsidP="00645EDB">
      <w:pPr>
        <w:spacing w:after="0" w:line="360" w:lineRule="auto"/>
        <w:rPr>
          <w:rFonts w:cstheme="minorHAnsi"/>
        </w:rPr>
      </w:pPr>
      <w:r>
        <w:rPr>
          <w:rFonts w:cstheme="minorHAnsi"/>
        </w:rPr>
        <w:t>Several commentators have</w:t>
      </w:r>
      <w:r w:rsidR="006B1628">
        <w:rPr>
          <w:rFonts w:cstheme="minorHAnsi"/>
        </w:rPr>
        <w:t xml:space="preserve"> emphasised the role of </w:t>
      </w:r>
      <w:r w:rsidR="000025DA">
        <w:rPr>
          <w:rFonts w:cstheme="minorHAnsi"/>
        </w:rPr>
        <w:t xml:space="preserve">public policy-makers in </w:t>
      </w:r>
      <w:r w:rsidR="006B1628">
        <w:rPr>
          <w:rFonts w:cstheme="minorHAnsi"/>
        </w:rPr>
        <w:t xml:space="preserve">strengthening </w:t>
      </w:r>
      <w:r w:rsidR="00EC71F9">
        <w:rPr>
          <w:rFonts w:cstheme="minorHAnsi"/>
        </w:rPr>
        <w:t xml:space="preserve">innovation and </w:t>
      </w:r>
      <w:r w:rsidR="006B1628">
        <w:rPr>
          <w:rFonts w:cstheme="minorHAnsi"/>
        </w:rPr>
        <w:t>destination competitiveness</w:t>
      </w:r>
      <w:r w:rsidR="000025DA">
        <w:rPr>
          <w:rFonts w:cstheme="minorHAnsi"/>
        </w:rPr>
        <w:t xml:space="preserve"> by facilitating knowledge flows</w:t>
      </w:r>
      <w:r w:rsidR="006B1628">
        <w:rPr>
          <w:rFonts w:cstheme="minorHAnsi"/>
        </w:rPr>
        <w:t xml:space="preserve">.  </w:t>
      </w:r>
      <w:proofErr w:type="spellStart"/>
      <w:r w:rsidR="006B1628">
        <w:rPr>
          <w:rFonts w:cstheme="minorHAnsi"/>
        </w:rPr>
        <w:t>Pyo</w:t>
      </w:r>
      <w:proofErr w:type="spellEnd"/>
      <w:r w:rsidR="006B1628">
        <w:rPr>
          <w:rFonts w:cstheme="minorHAnsi"/>
        </w:rPr>
        <w:t xml:space="preserve"> (2011) proposed a systematic approach to creating connections between knowledge</w:t>
      </w:r>
      <w:r w:rsidR="00EC71F9">
        <w:rPr>
          <w:rFonts w:cstheme="minorHAnsi"/>
        </w:rPr>
        <w:t xml:space="preserve"> produced by universities</w:t>
      </w:r>
      <w:r w:rsidR="006B1628">
        <w:rPr>
          <w:rFonts w:cstheme="minorHAnsi"/>
        </w:rPr>
        <w:t xml:space="preserve"> and the knowledge needs of destination stakeholders. The </w:t>
      </w:r>
      <w:r w:rsidR="00A74203">
        <w:rPr>
          <w:rFonts w:cstheme="minorHAnsi"/>
        </w:rPr>
        <w:t xml:space="preserve">resulting </w:t>
      </w:r>
      <w:r w:rsidR="006B1628">
        <w:rPr>
          <w:rFonts w:cstheme="minorHAnsi"/>
        </w:rPr>
        <w:t>co-constructed research agenda</w:t>
      </w:r>
      <w:r w:rsidR="00A74203">
        <w:rPr>
          <w:rFonts w:cstheme="minorHAnsi"/>
        </w:rPr>
        <w:t>s are</w:t>
      </w:r>
      <w:r w:rsidR="006B1628">
        <w:rPr>
          <w:rFonts w:cstheme="minorHAnsi"/>
        </w:rPr>
        <w:t xml:space="preserve"> held</w:t>
      </w:r>
      <w:r w:rsidR="00A74203">
        <w:rPr>
          <w:rFonts w:cstheme="minorHAnsi"/>
        </w:rPr>
        <w:t xml:space="preserve"> to</w:t>
      </w:r>
      <w:r w:rsidR="006B1628">
        <w:rPr>
          <w:rFonts w:cstheme="minorHAnsi"/>
        </w:rPr>
        <w:t xml:space="preserve"> increase the opportunities for innovation</w:t>
      </w:r>
      <w:r w:rsidR="006A04F2">
        <w:rPr>
          <w:rFonts w:cstheme="minorHAnsi"/>
        </w:rPr>
        <w:t xml:space="preserve"> (see also </w:t>
      </w:r>
      <w:proofErr w:type="spellStart"/>
      <w:r w:rsidR="006A04F2">
        <w:rPr>
          <w:rFonts w:cstheme="minorHAnsi"/>
        </w:rPr>
        <w:t>Hoarau</w:t>
      </w:r>
      <w:proofErr w:type="spellEnd"/>
      <w:r w:rsidR="006A04F2">
        <w:rPr>
          <w:rFonts w:cstheme="minorHAnsi"/>
        </w:rPr>
        <w:t xml:space="preserve"> and Kline, 2014</w:t>
      </w:r>
      <w:r w:rsidR="000025DA">
        <w:rPr>
          <w:rFonts w:cstheme="minorHAnsi"/>
        </w:rPr>
        <w:t>;</w:t>
      </w:r>
      <w:r w:rsidR="00A5452D">
        <w:rPr>
          <w:rFonts w:cstheme="minorHAnsi"/>
        </w:rPr>
        <w:t xml:space="preserve"> Jacob et al.,</w:t>
      </w:r>
      <w:r w:rsidR="000025DA">
        <w:rPr>
          <w:rFonts w:cstheme="minorHAnsi"/>
        </w:rPr>
        <w:t xml:space="preserve"> 2014</w:t>
      </w:r>
      <w:r w:rsidR="006A04F2">
        <w:rPr>
          <w:rFonts w:cstheme="minorHAnsi"/>
        </w:rPr>
        <w:t>)</w:t>
      </w:r>
      <w:r w:rsidR="006B1628">
        <w:rPr>
          <w:rFonts w:cstheme="minorHAnsi"/>
        </w:rPr>
        <w:t>.  Weidenfeld</w:t>
      </w:r>
      <w:r w:rsidR="00355FE0">
        <w:rPr>
          <w:rFonts w:cstheme="minorHAnsi"/>
        </w:rPr>
        <w:t xml:space="preserve"> (2013) examined flows of knowledge </w:t>
      </w:r>
      <w:r w:rsidR="00A74203">
        <w:rPr>
          <w:rFonts w:cstheme="minorHAnsi"/>
        </w:rPr>
        <w:t xml:space="preserve">as part of an analysis of cross border innovation systems concluding that specific </w:t>
      </w:r>
      <w:r w:rsidR="00355FE0">
        <w:rPr>
          <w:rFonts w:cstheme="minorHAnsi"/>
        </w:rPr>
        <w:t xml:space="preserve">measures </w:t>
      </w:r>
      <w:r w:rsidR="00A74203">
        <w:rPr>
          <w:rFonts w:cstheme="minorHAnsi"/>
        </w:rPr>
        <w:t>to increas</w:t>
      </w:r>
      <w:r w:rsidR="00355FE0">
        <w:rPr>
          <w:rFonts w:cstheme="minorHAnsi"/>
        </w:rPr>
        <w:t>e</w:t>
      </w:r>
      <w:r w:rsidR="00A74203">
        <w:rPr>
          <w:rFonts w:cstheme="minorHAnsi"/>
        </w:rPr>
        <w:t xml:space="preserve"> knowledge transfer across borders would likely yield greater destination competitiveness.  In a related vein, </w:t>
      </w:r>
      <w:proofErr w:type="spellStart"/>
      <w:r w:rsidR="007526CE">
        <w:rPr>
          <w:rFonts w:cstheme="minorHAnsi"/>
        </w:rPr>
        <w:t>Kelliher</w:t>
      </w:r>
      <w:proofErr w:type="spellEnd"/>
      <w:r w:rsidR="007526CE">
        <w:rPr>
          <w:rFonts w:cstheme="minorHAnsi"/>
        </w:rPr>
        <w:t xml:space="preserve"> and </w:t>
      </w:r>
      <w:proofErr w:type="spellStart"/>
      <w:r w:rsidR="007526CE">
        <w:rPr>
          <w:rFonts w:cstheme="minorHAnsi"/>
        </w:rPr>
        <w:t>Reinl</w:t>
      </w:r>
      <w:proofErr w:type="spellEnd"/>
      <w:r w:rsidR="007526CE">
        <w:rPr>
          <w:rFonts w:cstheme="minorHAnsi"/>
        </w:rPr>
        <w:t xml:space="preserve"> (2011) and </w:t>
      </w:r>
      <w:proofErr w:type="spellStart"/>
      <w:r w:rsidR="007526CE">
        <w:rPr>
          <w:rFonts w:cstheme="minorHAnsi"/>
        </w:rPr>
        <w:t>Reinl</w:t>
      </w:r>
      <w:proofErr w:type="spellEnd"/>
      <w:r w:rsidR="007526CE">
        <w:rPr>
          <w:rFonts w:cstheme="minorHAnsi"/>
        </w:rPr>
        <w:t xml:space="preserve"> and </w:t>
      </w:r>
      <w:proofErr w:type="spellStart"/>
      <w:r w:rsidR="007526CE">
        <w:rPr>
          <w:rFonts w:cstheme="minorHAnsi"/>
        </w:rPr>
        <w:t>Kelliher</w:t>
      </w:r>
      <w:proofErr w:type="spellEnd"/>
      <w:r w:rsidR="007526CE">
        <w:rPr>
          <w:rFonts w:cstheme="minorHAnsi"/>
        </w:rPr>
        <w:t xml:space="preserve"> (2014) have illustrated the potential value of public sector intervention in creating knowledge (learning) networks that enhance the competitiveness of small enterprises in tourism.</w:t>
      </w:r>
      <w:r w:rsidR="00EC71F9">
        <w:rPr>
          <w:rFonts w:cstheme="minorHAnsi"/>
        </w:rPr>
        <w:t xml:space="preserve">  </w:t>
      </w:r>
    </w:p>
    <w:p w14:paraId="5CEDC747" w14:textId="77777777" w:rsidR="00A5452D" w:rsidRDefault="00A5452D" w:rsidP="0030533F">
      <w:pPr>
        <w:spacing w:after="0" w:line="360" w:lineRule="auto"/>
        <w:rPr>
          <w:rFonts w:cstheme="minorHAnsi"/>
        </w:rPr>
      </w:pPr>
    </w:p>
    <w:p w14:paraId="2EA65353" w14:textId="11BB908A" w:rsidR="00EC71F9" w:rsidRDefault="00EC71F9" w:rsidP="0030533F">
      <w:pPr>
        <w:spacing w:after="0" w:line="360" w:lineRule="auto"/>
        <w:rPr>
          <w:rFonts w:cstheme="minorHAnsi"/>
        </w:rPr>
      </w:pPr>
      <w:r>
        <w:rPr>
          <w:rFonts w:cstheme="minorHAnsi"/>
        </w:rPr>
        <w:t xml:space="preserve">This paper </w:t>
      </w:r>
      <w:r w:rsidR="00F51491">
        <w:rPr>
          <w:rFonts w:cstheme="minorHAnsi"/>
        </w:rPr>
        <w:t xml:space="preserve">complements existing approaches and </w:t>
      </w:r>
      <w:r>
        <w:rPr>
          <w:rFonts w:cstheme="minorHAnsi"/>
        </w:rPr>
        <w:t xml:space="preserve">introduces novel </w:t>
      </w:r>
      <w:r w:rsidR="002C174D" w:rsidRPr="00A52FE1">
        <w:rPr>
          <w:rFonts w:cstheme="minorHAnsi"/>
        </w:rPr>
        <w:t xml:space="preserve">issues for policy-makers in </w:t>
      </w:r>
      <w:r>
        <w:rPr>
          <w:rFonts w:cstheme="minorHAnsi"/>
        </w:rPr>
        <w:t xml:space="preserve">relation to the development of </w:t>
      </w:r>
      <w:r w:rsidR="002C174D" w:rsidRPr="00A52FE1">
        <w:rPr>
          <w:rFonts w:cstheme="minorHAnsi"/>
        </w:rPr>
        <w:t>the meeti</w:t>
      </w:r>
      <w:r>
        <w:rPr>
          <w:rFonts w:cstheme="minorHAnsi"/>
        </w:rPr>
        <w:t>ngs industry.  T</w:t>
      </w:r>
      <w:r w:rsidR="00EF5021" w:rsidRPr="00A52FE1">
        <w:rPr>
          <w:rFonts w:cstheme="minorHAnsi"/>
        </w:rPr>
        <w:t xml:space="preserve">he </w:t>
      </w:r>
      <w:r w:rsidR="00F51491">
        <w:rPr>
          <w:rFonts w:cstheme="minorHAnsi"/>
        </w:rPr>
        <w:t xml:space="preserve">analysis provided </w:t>
      </w:r>
      <w:r w:rsidR="002C174D" w:rsidRPr="00A52FE1">
        <w:rPr>
          <w:rFonts w:cstheme="minorHAnsi"/>
        </w:rPr>
        <w:t xml:space="preserve">opens up the possibility of policy-makers </w:t>
      </w:r>
      <w:r w:rsidR="00EF5021" w:rsidRPr="00A52FE1">
        <w:rPr>
          <w:rFonts w:cstheme="minorHAnsi"/>
        </w:rPr>
        <w:t xml:space="preserve">identifying and </w:t>
      </w:r>
      <w:r w:rsidR="002C174D" w:rsidRPr="00A52FE1">
        <w:rPr>
          <w:rFonts w:cstheme="minorHAnsi"/>
        </w:rPr>
        <w:t>workin</w:t>
      </w:r>
      <w:r w:rsidR="00FB2FA4">
        <w:rPr>
          <w:rFonts w:cstheme="minorHAnsi"/>
        </w:rPr>
        <w:t>g with enterprises that are most</w:t>
      </w:r>
      <w:r w:rsidR="002C174D" w:rsidRPr="00A52FE1">
        <w:rPr>
          <w:rFonts w:cstheme="minorHAnsi"/>
        </w:rPr>
        <w:t xml:space="preserve"> likely to be able to benefit from the provision o</w:t>
      </w:r>
      <w:r w:rsidR="00FB2FA4">
        <w:rPr>
          <w:rFonts w:cstheme="minorHAnsi"/>
        </w:rPr>
        <w:t>f external knowledge</w:t>
      </w:r>
      <w:r>
        <w:rPr>
          <w:rFonts w:cstheme="minorHAnsi"/>
        </w:rPr>
        <w:t xml:space="preserve"> and to identify those from whom others may learn</w:t>
      </w:r>
      <w:r w:rsidR="0030533F">
        <w:rPr>
          <w:rFonts w:cstheme="minorHAnsi"/>
        </w:rPr>
        <w:t xml:space="preserve">.  </w:t>
      </w:r>
      <w:r w:rsidR="00BC4886">
        <w:rPr>
          <w:rFonts w:cstheme="minorHAnsi"/>
        </w:rPr>
        <w:t xml:space="preserve">The ability to measure changes in levels of absorptive capacity presents opportunities for effective </w:t>
      </w:r>
      <w:r w:rsidR="00BC4886">
        <w:rPr>
          <w:rFonts w:cstheme="minorHAnsi"/>
        </w:rPr>
        <w:lastRenderedPageBreak/>
        <w:t xml:space="preserve">monitoring and evaluation of policy actions.  </w:t>
      </w:r>
      <w:r w:rsidR="00822440">
        <w:rPr>
          <w:rFonts w:cstheme="minorHAnsi"/>
        </w:rPr>
        <w:t xml:space="preserve">This adds </w:t>
      </w:r>
      <w:r>
        <w:rPr>
          <w:rFonts w:cstheme="minorHAnsi"/>
        </w:rPr>
        <w:t xml:space="preserve">a new dimension </w:t>
      </w:r>
      <w:r w:rsidR="00822440">
        <w:rPr>
          <w:rFonts w:cstheme="minorHAnsi"/>
        </w:rPr>
        <w:t>to t</w:t>
      </w:r>
      <w:r>
        <w:rPr>
          <w:rFonts w:cstheme="minorHAnsi"/>
        </w:rPr>
        <w:t xml:space="preserve">he nascent </w:t>
      </w:r>
      <w:r w:rsidR="00822440">
        <w:rPr>
          <w:rFonts w:cstheme="minorHAnsi"/>
        </w:rPr>
        <w:t xml:space="preserve">tourism innovation </w:t>
      </w:r>
      <w:r>
        <w:rPr>
          <w:rFonts w:cstheme="minorHAnsi"/>
        </w:rPr>
        <w:t xml:space="preserve">policy literature </w:t>
      </w:r>
      <w:r w:rsidR="00822440">
        <w:rPr>
          <w:rFonts w:cstheme="minorHAnsi"/>
        </w:rPr>
        <w:t xml:space="preserve">(e.g. Hall, 2009; </w:t>
      </w:r>
      <w:r w:rsidR="00323325">
        <w:rPr>
          <w:rFonts w:cstheme="minorHAnsi"/>
        </w:rPr>
        <w:t>Rodriguez et al.</w:t>
      </w:r>
      <w:r w:rsidR="00BF3137" w:rsidRPr="00BF3137">
        <w:rPr>
          <w:rFonts w:cstheme="minorHAnsi"/>
        </w:rPr>
        <w:t>, 2014)</w:t>
      </w:r>
      <w:r w:rsidR="00BF3137">
        <w:rPr>
          <w:rFonts w:cstheme="minorHAnsi"/>
        </w:rPr>
        <w:t>.</w:t>
      </w:r>
      <w:r w:rsidR="00BF3137" w:rsidRPr="00BF3137">
        <w:rPr>
          <w:rFonts w:cstheme="minorHAnsi"/>
        </w:rPr>
        <w:t xml:space="preserve"> </w:t>
      </w:r>
      <w:r w:rsidR="00BF3137">
        <w:rPr>
          <w:rFonts w:cstheme="minorHAnsi"/>
        </w:rPr>
        <w:t xml:space="preserve"> </w:t>
      </w:r>
    </w:p>
    <w:p w14:paraId="0BE8BF87" w14:textId="77777777" w:rsidR="00EC71F9" w:rsidRDefault="00EC71F9" w:rsidP="0030533F">
      <w:pPr>
        <w:spacing w:after="0" w:line="360" w:lineRule="auto"/>
        <w:rPr>
          <w:rFonts w:cstheme="minorHAnsi"/>
        </w:rPr>
      </w:pPr>
    </w:p>
    <w:p w14:paraId="7C36CF12" w14:textId="7C680558" w:rsidR="007F68DA" w:rsidRDefault="00EC71F9" w:rsidP="0030533F">
      <w:pPr>
        <w:spacing w:after="0" w:line="360" w:lineRule="auto"/>
        <w:rPr>
          <w:rFonts w:cstheme="minorHAnsi"/>
        </w:rPr>
      </w:pPr>
      <w:r>
        <w:rPr>
          <w:rFonts w:cstheme="minorHAnsi"/>
        </w:rPr>
        <w:t>T</w:t>
      </w:r>
      <w:r w:rsidR="002C174D" w:rsidRPr="00A52FE1">
        <w:rPr>
          <w:rFonts w:cstheme="minorHAnsi"/>
        </w:rPr>
        <w:t>he research findings also</w:t>
      </w:r>
      <w:r>
        <w:rPr>
          <w:rFonts w:cstheme="minorHAnsi"/>
        </w:rPr>
        <w:t xml:space="preserve"> have implications for practitioners. They</w:t>
      </w:r>
      <w:r w:rsidR="002C174D" w:rsidRPr="00A52FE1">
        <w:rPr>
          <w:rFonts w:cstheme="minorHAnsi"/>
        </w:rPr>
        <w:t xml:space="preserve"> suggest that progressive managers might </w:t>
      </w:r>
      <w:r w:rsidR="00FB2FA4">
        <w:rPr>
          <w:rFonts w:cstheme="minorHAnsi"/>
        </w:rPr>
        <w:t xml:space="preserve">now </w:t>
      </w:r>
      <w:r w:rsidR="002C174D" w:rsidRPr="00A52FE1">
        <w:rPr>
          <w:rFonts w:cstheme="minorHAnsi"/>
        </w:rPr>
        <w:t xml:space="preserve">monitor the absorptive capacity of the enterprises they lead and reflect upon </w:t>
      </w:r>
      <w:r>
        <w:rPr>
          <w:rFonts w:cstheme="minorHAnsi"/>
        </w:rPr>
        <w:t xml:space="preserve">the various </w:t>
      </w:r>
      <w:r w:rsidR="002C174D" w:rsidRPr="00A52FE1">
        <w:rPr>
          <w:rFonts w:cstheme="minorHAnsi"/>
        </w:rPr>
        <w:t xml:space="preserve">dimensions of the model to improve organisational innovation.   </w:t>
      </w:r>
      <w:r>
        <w:rPr>
          <w:rFonts w:cstheme="minorHAnsi"/>
        </w:rPr>
        <w:t>For many, this should probably result in a re-orientation of emphasis to include how they use the knowledge they gain from their networks.</w:t>
      </w:r>
      <w:r w:rsidR="00135938">
        <w:rPr>
          <w:rFonts w:cstheme="minorHAnsi"/>
        </w:rPr>
        <w:t xml:space="preserve">  Developing imaginative ways of developing bonds with otherwise transient labour, with the intention of harnessing their tacit knowledge and creativity, might also prove a fruitful avenue for consideration. </w:t>
      </w:r>
    </w:p>
    <w:p w14:paraId="1366A06D" w14:textId="77777777" w:rsidR="00CE293B" w:rsidRPr="00A52FE1" w:rsidRDefault="00CE293B" w:rsidP="0030533F">
      <w:pPr>
        <w:spacing w:after="0" w:line="360" w:lineRule="auto"/>
        <w:rPr>
          <w:rFonts w:cstheme="minorHAnsi"/>
        </w:rPr>
      </w:pPr>
    </w:p>
    <w:p w14:paraId="15A9DCD6" w14:textId="77777777" w:rsidR="004A41F7" w:rsidRDefault="004A41F7">
      <w:pPr>
        <w:rPr>
          <w:b/>
        </w:rPr>
      </w:pPr>
    </w:p>
    <w:p w14:paraId="5F608FA6" w14:textId="77777777" w:rsidR="00452C48" w:rsidRPr="00A52FE1" w:rsidRDefault="00452C48">
      <w:pPr>
        <w:rPr>
          <w:b/>
        </w:rPr>
      </w:pPr>
    </w:p>
    <w:p w14:paraId="407548A8" w14:textId="77777777" w:rsidR="00A2681A" w:rsidRDefault="00A2681A" w:rsidP="00FD6031">
      <w:r>
        <w:t>REFERENCES</w:t>
      </w:r>
    </w:p>
    <w:p w14:paraId="6E712E0B" w14:textId="77777777" w:rsidR="00A2681A" w:rsidRDefault="00A2681A" w:rsidP="00A2681A"/>
    <w:p w14:paraId="0700541C" w14:textId="77777777" w:rsidR="00A2681A" w:rsidRDefault="00A2681A" w:rsidP="00A2681A">
      <w:proofErr w:type="spellStart"/>
      <w:proofErr w:type="gramStart"/>
      <w:r>
        <w:t>Alvesson</w:t>
      </w:r>
      <w:proofErr w:type="spellEnd"/>
      <w:r>
        <w:t>, M. and Spicer, A (2012).</w:t>
      </w:r>
      <w:proofErr w:type="gramEnd"/>
      <w:r>
        <w:t xml:space="preserve"> </w:t>
      </w:r>
      <w:proofErr w:type="gramStart"/>
      <w:r>
        <w:t>A stupidity-based theory of organisations.</w:t>
      </w:r>
      <w:proofErr w:type="gramEnd"/>
      <w:r>
        <w:t xml:space="preserve">  Journal of Management Studies, 49(7), 1194 – 1220.</w:t>
      </w:r>
    </w:p>
    <w:p w14:paraId="2283DD4A" w14:textId="354777A5" w:rsidR="00EC28A6" w:rsidRDefault="00EC28A6" w:rsidP="00A2681A">
      <w:proofErr w:type="spellStart"/>
      <w:proofErr w:type="gramStart"/>
      <w:r>
        <w:t>Amabile</w:t>
      </w:r>
      <w:proofErr w:type="spellEnd"/>
      <w:r>
        <w:t xml:space="preserve">, T.M., Conti, R., Coon, H., </w:t>
      </w:r>
      <w:proofErr w:type="spellStart"/>
      <w:r>
        <w:t>Lazenby</w:t>
      </w:r>
      <w:proofErr w:type="spellEnd"/>
      <w:r>
        <w:t>, J. and Herron, M. (1996).</w:t>
      </w:r>
      <w:proofErr w:type="gramEnd"/>
      <w:r>
        <w:t xml:space="preserve"> </w:t>
      </w:r>
      <w:proofErr w:type="gramStart"/>
      <w:r>
        <w:t>Assessing the work environment for creativity.</w:t>
      </w:r>
      <w:proofErr w:type="gramEnd"/>
      <w:r>
        <w:t xml:space="preserve"> </w:t>
      </w:r>
      <w:proofErr w:type="gramStart"/>
      <w:r>
        <w:t>Academy of Management Journal, 39 (5), 1154 1184.</w:t>
      </w:r>
      <w:proofErr w:type="gramEnd"/>
      <w:r>
        <w:t xml:space="preserve"> </w:t>
      </w:r>
    </w:p>
    <w:p w14:paraId="59D2BE7E" w14:textId="2AF442FC" w:rsidR="00313D1C" w:rsidRDefault="00313D1C" w:rsidP="00A2681A">
      <w:proofErr w:type="gramStart"/>
      <w:r>
        <w:t xml:space="preserve">Anderson, N., </w:t>
      </w:r>
      <w:proofErr w:type="spellStart"/>
      <w:r>
        <w:t>Potocnik</w:t>
      </w:r>
      <w:proofErr w:type="spellEnd"/>
      <w:r>
        <w:t>, K. and Zhou, J. (2014).</w:t>
      </w:r>
      <w:proofErr w:type="gramEnd"/>
      <w:r>
        <w:t xml:space="preserve"> Innovation and creativity in organisations:  A state-of-the science review, prospective commentary, and guiding framework. Journal of Management, 40 (5), 1297 – 1333.</w:t>
      </w:r>
    </w:p>
    <w:p w14:paraId="32A7703E" w14:textId="156B97CC" w:rsidR="00A2681A" w:rsidRDefault="00DB0095" w:rsidP="00A2681A">
      <w:proofErr w:type="gramStart"/>
      <w:r>
        <w:t>Armstrong, J. S., and</w:t>
      </w:r>
      <w:r w:rsidR="00A2681A">
        <w:t xml:space="preserve"> Overton, T. S. (1977).</w:t>
      </w:r>
      <w:proofErr w:type="gramEnd"/>
      <w:r w:rsidR="00A2681A">
        <w:t xml:space="preserve"> </w:t>
      </w:r>
      <w:proofErr w:type="gramStart"/>
      <w:r w:rsidR="00A2681A">
        <w:t>Estimating nonresponse bias in mail surveys.</w:t>
      </w:r>
      <w:proofErr w:type="gramEnd"/>
      <w:r w:rsidR="00A2681A">
        <w:t xml:space="preserve"> Journal of Marketing Research, 14, 396-402.</w:t>
      </w:r>
    </w:p>
    <w:p w14:paraId="5C89CB98" w14:textId="77777777" w:rsidR="00A2681A" w:rsidRDefault="00A2681A" w:rsidP="00A2681A">
      <w:proofErr w:type="gramStart"/>
      <w:r>
        <w:t xml:space="preserve">Arta, M. and </w:t>
      </w:r>
      <w:proofErr w:type="spellStart"/>
      <w:r>
        <w:t>Acob</w:t>
      </w:r>
      <w:proofErr w:type="spellEnd"/>
      <w:r>
        <w:t>, J. (2003).</w:t>
      </w:r>
      <w:proofErr w:type="gramEnd"/>
      <w:r>
        <w:t xml:space="preserve"> Innovation in the tourism sector: results from a pilot study in the Balearic Islands. Tourism Economics, 9(3), 279-295.</w:t>
      </w:r>
    </w:p>
    <w:p w14:paraId="2D547497" w14:textId="77777777" w:rsidR="00A2681A" w:rsidRDefault="00A2681A" w:rsidP="00A2681A">
      <w:proofErr w:type="spellStart"/>
      <w:proofErr w:type="gramStart"/>
      <w:r>
        <w:t>Autio</w:t>
      </w:r>
      <w:proofErr w:type="spellEnd"/>
      <w:r>
        <w:t xml:space="preserve">, E., Kenney, M., </w:t>
      </w:r>
      <w:proofErr w:type="spellStart"/>
      <w:r>
        <w:t>Mustar</w:t>
      </w:r>
      <w:proofErr w:type="spellEnd"/>
      <w:r>
        <w:t>, P. Siegel, D. and Wright, M. (2014) Entrepreneurial innovation: The importance of context.</w:t>
      </w:r>
      <w:proofErr w:type="gramEnd"/>
      <w:r>
        <w:t xml:space="preserve"> Research Policy, 43, 1097 – 1108.</w:t>
      </w:r>
    </w:p>
    <w:p w14:paraId="022B5D7F" w14:textId="2BE8BD99" w:rsidR="009E3AB1" w:rsidRDefault="009E3AB1" w:rsidP="00A2681A">
      <w:proofErr w:type="gramStart"/>
      <w:r w:rsidRPr="009E3AB1">
        <w:t>Barney,</w:t>
      </w:r>
      <w:r>
        <w:t xml:space="preserve"> J.,</w:t>
      </w:r>
      <w:r w:rsidRPr="009E3AB1">
        <w:t xml:space="preserve"> Wright</w:t>
      </w:r>
      <w:r>
        <w:t xml:space="preserve">, M. and </w:t>
      </w:r>
      <w:proofErr w:type="spellStart"/>
      <w:r w:rsidRPr="009E3AB1">
        <w:t>Ketchen</w:t>
      </w:r>
      <w:proofErr w:type="spellEnd"/>
      <w:r w:rsidRPr="009E3AB1">
        <w:t>,</w:t>
      </w:r>
      <w:r>
        <w:t xml:space="preserve"> D.J. Jr.</w:t>
      </w:r>
      <w:r w:rsidRPr="009E3AB1">
        <w:t xml:space="preserve"> </w:t>
      </w:r>
      <w:r>
        <w:t>(</w:t>
      </w:r>
      <w:r w:rsidRPr="009E3AB1">
        <w:t>2001</w:t>
      </w:r>
      <w:r>
        <w:t>).</w:t>
      </w:r>
      <w:proofErr w:type="gramEnd"/>
      <w:r>
        <w:t xml:space="preserve"> The resource-based view of the firm: ten years after 1991. Journal of Management, 27 (6), 625-641.</w:t>
      </w:r>
    </w:p>
    <w:p w14:paraId="1C098DB0" w14:textId="77777777" w:rsidR="00A2681A" w:rsidRDefault="00A2681A" w:rsidP="00A2681A">
      <w:proofErr w:type="spellStart"/>
      <w:r>
        <w:t>Blunch</w:t>
      </w:r>
      <w:proofErr w:type="spellEnd"/>
      <w:r>
        <w:t xml:space="preserve">, N. J. (2013). Introduction to structural equation modelling using IBM statistics and AMOS (2nd </w:t>
      </w:r>
      <w:proofErr w:type="gramStart"/>
      <w:r>
        <w:t>ed</w:t>
      </w:r>
      <w:proofErr w:type="gramEnd"/>
      <w:r>
        <w:t>.). London, Sage.</w:t>
      </w:r>
    </w:p>
    <w:p w14:paraId="358D61B2" w14:textId="77777777" w:rsidR="00A2681A" w:rsidRDefault="00A2681A" w:rsidP="00A2681A">
      <w:proofErr w:type="spellStart"/>
      <w:proofErr w:type="gramStart"/>
      <w:r>
        <w:t>Breznik</w:t>
      </w:r>
      <w:proofErr w:type="spellEnd"/>
      <w:r>
        <w:t xml:space="preserve">, L., and </w:t>
      </w:r>
      <w:proofErr w:type="spellStart"/>
      <w:r>
        <w:t>Hisrich</w:t>
      </w:r>
      <w:proofErr w:type="spellEnd"/>
      <w:r>
        <w:t>, R.D. (2014).</w:t>
      </w:r>
      <w:proofErr w:type="gramEnd"/>
      <w:r>
        <w:t xml:space="preserve"> Dynamic capabilities vs. innovation capability: are they related? Journal of Small Business and Enterprise Development, 21(3), 368-384.</w:t>
      </w:r>
    </w:p>
    <w:p w14:paraId="0BE9AB74" w14:textId="77777777" w:rsidR="00A2681A" w:rsidRDefault="00A2681A" w:rsidP="00A2681A">
      <w:proofErr w:type="spellStart"/>
      <w:proofErr w:type="gramStart"/>
      <w:r>
        <w:lastRenderedPageBreak/>
        <w:t>Brooker</w:t>
      </w:r>
      <w:proofErr w:type="spellEnd"/>
      <w:r>
        <w:t xml:space="preserve">, E. and </w:t>
      </w:r>
      <w:proofErr w:type="spellStart"/>
      <w:r>
        <w:t>Joppe</w:t>
      </w:r>
      <w:proofErr w:type="spellEnd"/>
      <w:r>
        <w:t>, M. (2014).</w:t>
      </w:r>
      <w:proofErr w:type="gramEnd"/>
      <w:r>
        <w:t xml:space="preserve"> </w:t>
      </w:r>
      <w:proofErr w:type="gramStart"/>
      <w:r>
        <w:t>Developing a tourism innovation typology: leveraging liminal insights.</w:t>
      </w:r>
      <w:proofErr w:type="gramEnd"/>
      <w:r>
        <w:t xml:space="preserve"> Journal of Travel Research, 53(4), 500-508.</w:t>
      </w:r>
    </w:p>
    <w:p w14:paraId="1E63470D" w14:textId="77777777" w:rsidR="00A2681A" w:rsidRDefault="00A2681A" w:rsidP="00A2681A">
      <w:proofErr w:type="spellStart"/>
      <w:proofErr w:type="gramStart"/>
      <w:r>
        <w:t>Camisón</w:t>
      </w:r>
      <w:proofErr w:type="spellEnd"/>
      <w:r>
        <w:t xml:space="preserve">, C and </w:t>
      </w:r>
      <w:proofErr w:type="spellStart"/>
      <w:r>
        <w:t>Forés</w:t>
      </w:r>
      <w:proofErr w:type="spellEnd"/>
      <w:r>
        <w:t>, B. (2010).</w:t>
      </w:r>
      <w:proofErr w:type="gramEnd"/>
      <w:r>
        <w:t xml:space="preserve"> Knowledge absorptive capacity: New insights for its conceptualisation and measurement. Journal of Business Research, 63, 707-715.</w:t>
      </w:r>
    </w:p>
    <w:p w14:paraId="61A98341" w14:textId="77777777" w:rsidR="00A2681A" w:rsidRDefault="00A2681A" w:rsidP="00A2681A">
      <w:proofErr w:type="spellStart"/>
      <w:proofErr w:type="gramStart"/>
      <w:r>
        <w:t>Camison</w:t>
      </w:r>
      <w:proofErr w:type="spellEnd"/>
      <w:r>
        <w:t xml:space="preserve">, C. and </w:t>
      </w:r>
      <w:proofErr w:type="spellStart"/>
      <w:r>
        <w:t>Monfort</w:t>
      </w:r>
      <w:proofErr w:type="spellEnd"/>
      <w:r>
        <w:t>-Mir, V.M. (2012).</w:t>
      </w:r>
      <w:proofErr w:type="gramEnd"/>
      <w:r>
        <w:t xml:space="preserve"> </w:t>
      </w:r>
      <w:proofErr w:type="gramStart"/>
      <w:r>
        <w:t>Measuring innovation in tourism from the Schumpeterian and the dynamic-capabilities perspectives.</w:t>
      </w:r>
      <w:proofErr w:type="gramEnd"/>
      <w:r>
        <w:t xml:space="preserve"> Tourism Management, 33(4), 776-789.</w:t>
      </w:r>
    </w:p>
    <w:p w14:paraId="3F1D4408" w14:textId="77777777" w:rsidR="00A2681A" w:rsidRDefault="00A2681A" w:rsidP="00A2681A">
      <w:proofErr w:type="spellStart"/>
      <w:r>
        <w:t>Carlborg</w:t>
      </w:r>
      <w:proofErr w:type="gramStart"/>
      <w:r>
        <w:t>,P</w:t>
      </w:r>
      <w:proofErr w:type="spellEnd"/>
      <w:proofErr w:type="gramEnd"/>
      <w:r>
        <w:t xml:space="preserve">., </w:t>
      </w:r>
      <w:proofErr w:type="spellStart"/>
      <w:r>
        <w:t>Kindstrom</w:t>
      </w:r>
      <w:proofErr w:type="spellEnd"/>
      <w:r>
        <w:t xml:space="preserve">, D. and </w:t>
      </w:r>
      <w:proofErr w:type="spellStart"/>
      <w:r>
        <w:t>Kowalkowski</w:t>
      </w:r>
      <w:proofErr w:type="spellEnd"/>
      <w:r>
        <w:t>, C. (2014). The evolution of service innovation research: a critical review and synthesis. The Service Industries Journal, 34(5), 373-398.</w:t>
      </w:r>
    </w:p>
    <w:p w14:paraId="60C7C491" w14:textId="77777777" w:rsidR="00A2681A" w:rsidRDefault="00A2681A" w:rsidP="00A2681A">
      <w:r>
        <w:t xml:space="preserve">Carlisle, S., </w:t>
      </w:r>
      <w:proofErr w:type="spellStart"/>
      <w:r>
        <w:t>Kunc</w:t>
      </w:r>
      <w:proofErr w:type="spellEnd"/>
      <w:r>
        <w:t xml:space="preserve">, M. Jones, E., and Tiffin, S. (2013). </w:t>
      </w:r>
      <w:proofErr w:type="gramStart"/>
      <w:r>
        <w:t>Supporting innovation for tourism development through multi-stakeholder approaches: Experiences from Africa.</w:t>
      </w:r>
      <w:proofErr w:type="gramEnd"/>
      <w:r>
        <w:t xml:space="preserve"> Tourism Management, 35, 59-69.</w:t>
      </w:r>
    </w:p>
    <w:p w14:paraId="4CCB06A7" w14:textId="2108BB65" w:rsidR="00FE2E7E" w:rsidRDefault="00FE2E7E" w:rsidP="00A2681A">
      <w:proofErr w:type="gramStart"/>
      <w:r>
        <w:t xml:space="preserve">Chang, S., Gong, Y., Way, S.A. and </w:t>
      </w:r>
      <w:proofErr w:type="spellStart"/>
      <w:r>
        <w:t>Jia</w:t>
      </w:r>
      <w:proofErr w:type="spellEnd"/>
      <w:r>
        <w:t>, L. (2013).</w:t>
      </w:r>
      <w:proofErr w:type="gramEnd"/>
      <w:r>
        <w:t xml:space="preserve"> </w:t>
      </w:r>
      <w:proofErr w:type="gramStart"/>
      <w:r>
        <w:t>Flexibility-oriented HRM systems, absorptive capacity, and market responsiveness and firm i</w:t>
      </w:r>
      <w:r w:rsidRPr="00FE2E7E">
        <w:t>nnovativeness</w:t>
      </w:r>
      <w:r>
        <w:t>.</w:t>
      </w:r>
      <w:proofErr w:type="gramEnd"/>
      <w:r>
        <w:t xml:space="preserve"> Journal of Management, 39(7), 1924 – 1951.</w:t>
      </w:r>
    </w:p>
    <w:p w14:paraId="6ACCCA76" w14:textId="3BA9E4C2" w:rsidR="00A2681A" w:rsidRDefault="002828E6" w:rsidP="00A2681A">
      <w:proofErr w:type="spellStart"/>
      <w:r>
        <w:t>Chesbrough</w:t>
      </w:r>
      <w:proofErr w:type="spellEnd"/>
      <w:r>
        <w:t>, H.W. (200</w:t>
      </w:r>
      <w:r w:rsidR="00A2681A">
        <w:t>3). Open innovation: The new imperative for creating and profiting from technology. Boston, Harvard Business School Publishing Corporation.</w:t>
      </w:r>
    </w:p>
    <w:p w14:paraId="4D7FFE43" w14:textId="77777777" w:rsidR="00A2681A" w:rsidRDefault="00A2681A" w:rsidP="00A2681A">
      <w:proofErr w:type="gramStart"/>
      <w:r>
        <w:t xml:space="preserve">Cohen, W. M. and </w:t>
      </w:r>
      <w:proofErr w:type="spellStart"/>
      <w:r>
        <w:t>Levinthal</w:t>
      </w:r>
      <w:proofErr w:type="spellEnd"/>
      <w:r>
        <w:t>, D.A. (1990).</w:t>
      </w:r>
      <w:proofErr w:type="gramEnd"/>
      <w:r>
        <w:t xml:space="preserve"> Absorptive capacity:  a new perspective on learning and innovation. Administrative Science Quarterly, 35(1), 128-152.</w:t>
      </w:r>
    </w:p>
    <w:p w14:paraId="424A31AC" w14:textId="77777777" w:rsidR="00A2681A" w:rsidRDefault="00A2681A" w:rsidP="00A2681A">
      <w:r>
        <w:t xml:space="preserve">Cooper, C. (2006). </w:t>
      </w:r>
      <w:proofErr w:type="gramStart"/>
      <w:r>
        <w:t>Knowledge management and tourism.</w:t>
      </w:r>
      <w:proofErr w:type="gramEnd"/>
      <w:r>
        <w:t xml:space="preserve"> Annals of Tourism Research, 33(1), 47-64.</w:t>
      </w:r>
    </w:p>
    <w:p w14:paraId="11929F5B" w14:textId="250E34CC" w:rsidR="00EB17C5" w:rsidRDefault="00EB17C5" w:rsidP="00A2681A">
      <w:proofErr w:type="spellStart"/>
      <w:r>
        <w:t>Czernek</w:t>
      </w:r>
      <w:proofErr w:type="spellEnd"/>
      <w:r>
        <w:t xml:space="preserve">, K. (2014). Tourism features as determinants of knowledge transfer in the process of tourist cooperation. </w:t>
      </w:r>
      <w:proofErr w:type="gramStart"/>
      <w:r>
        <w:t>Current Issues in Tourism.</w:t>
      </w:r>
      <w:proofErr w:type="gramEnd"/>
      <w:r>
        <w:t xml:space="preserve"> </w:t>
      </w:r>
      <w:r w:rsidRPr="00EB17C5">
        <w:t>DOI:10.1080/13683500.2014.944107</w:t>
      </w:r>
    </w:p>
    <w:p w14:paraId="33606B74" w14:textId="4BB7267F" w:rsidR="00A2681A" w:rsidRDefault="00DB0095" w:rsidP="00A2681A">
      <w:proofErr w:type="spellStart"/>
      <w:proofErr w:type="gramStart"/>
      <w:r>
        <w:t>Daspit</w:t>
      </w:r>
      <w:proofErr w:type="spellEnd"/>
      <w:r>
        <w:t>, J. J., and</w:t>
      </w:r>
      <w:r w:rsidR="00A2681A">
        <w:t xml:space="preserve"> D'Souza, D. E. (2013).</w:t>
      </w:r>
      <w:proofErr w:type="gramEnd"/>
      <w:r w:rsidR="00A2681A">
        <w:t xml:space="preserve"> </w:t>
      </w:r>
      <w:proofErr w:type="gramStart"/>
      <w:r w:rsidR="00A2681A">
        <w:t>Understanding the multi-dimensional nature of absorptive capacity.</w:t>
      </w:r>
      <w:proofErr w:type="gramEnd"/>
      <w:r w:rsidR="00A2681A">
        <w:t xml:space="preserve"> Journal of Managerial Issues, 25(3), 299-316.</w:t>
      </w:r>
    </w:p>
    <w:p w14:paraId="1506FE0F" w14:textId="77777777" w:rsidR="00A2681A" w:rsidRDefault="00A2681A" w:rsidP="00A2681A">
      <w:bookmarkStart w:id="0" w:name="_GoBack"/>
      <w:proofErr w:type="spellStart"/>
      <w:proofErr w:type="gramStart"/>
      <w:r>
        <w:t>Decelle</w:t>
      </w:r>
      <w:bookmarkEnd w:id="0"/>
      <w:proofErr w:type="spellEnd"/>
      <w:r>
        <w:t>, X (2004) A conceptual and dynamic approach to innovation in tourism.</w:t>
      </w:r>
      <w:proofErr w:type="gramEnd"/>
      <w:r>
        <w:t xml:space="preserve"> Paris, Organisation for Economic Co-operation and Development (OECD). </w:t>
      </w:r>
    </w:p>
    <w:p w14:paraId="484D52C6" w14:textId="77846AAA" w:rsidR="00A2681A" w:rsidRDefault="00DB0095" w:rsidP="00A2681A">
      <w:proofErr w:type="spellStart"/>
      <w:proofErr w:type="gramStart"/>
      <w:r>
        <w:t>DeGroot</w:t>
      </w:r>
      <w:proofErr w:type="spellEnd"/>
      <w:r>
        <w:t xml:space="preserve">, T., </w:t>
      </w:r>
      <w:proofErr w:type="spellStart"/>
      <w:r>
        <w:t>Kiker</w:t>
      </w:r>
      <w:proofErr w:type="spellEnd"/>
      <w:r>
        <w:t>, D. S., and</w:t>
      </w:r>
      <w:r w:rsidR="00A2681A">
        <w:t xml:space="preserve"> Cross, T. C. (2009).</w:t>
      </w:r>
      <w:proofErr w:type="gramEnd"/>
      <w:r w:rsidR="00A2681A">
        <w:t xml:space="preserve"> A meta-analysis to review organisational outcomes related to charismatic leadership. Canadian Journal of Administrative Sciences, 17(4), 356-372.</w:t>
      </w:r>
    </w:p>
    <w:p w14:paraId="596D6127" w14:textId="77777777" w:rsidR="00A2681A" w:rsidRDefault="00A2681A" w:rsidP="00A2681A">
      <w:proofErr w:type="spellStart"/>
      <w:proofErr w:type="gramStart"/>
      <w:r>
        <w:t>Delmas</w:t>
      </w:r>
      <w:proofErr w:type="spellEnd"/>
      <w:r>
        <w:t xml:space="preserve">, M., Hoffman, V.H. and </w:t>
      </w:r>
      <w:proofErr w:type="spellStart"/>
      <w:r>
        <w:t>Kuss</w:t>
      </w:r>
      <w:proofErr w:type="spellEnd"/>
      <w:r>
        <w:t>, M. (2011).</w:t>
      </w:r>
      <w:proofErr w:type="gramEnd"/>
      <w:r>
        <w:t xml:space="preserve">  Under the tip of the iceberg: Absorptive capacity, environmental strategy, and competitive advantage. Business &amp; Society, 50(1), 116-154.</w:t>
      </w:r>
    </w:p>
    <w:p w14:paraId="5434EC3C" w14:textId="77777777" w:rsidR="00A2681A" w:rsidRDefault="00A2681A" w:rsidP="00A2681A">
      <w:proofErr w:type="spellStart"/>
      <w:proofErr w:type="gramStart"/>
      <w:r>
        <w:t>Duchek</w:t>
      </w:r>
      <w:proofErr w:type="spellEnd"/>
      <w:r>
        <w:t>, S. (2013).</w:t>
      </w:r>
      <w:proofErr w:type="gramEnd"/>
      <w:r>
        <w:t xml:space="preserve"> </w:t>
      </w:r>
      <w:proofErr w:type="gramStart"/>
      <w:r>
        <w:t>Capturing absorptive capacity: A critical review and future prospects.</w:t>
      </w:r>
      <w:proofErr w:type="gramEnd"/>
      <w:r>
        <w:t xml:space="preserve"> </w:t>
      </w:r>
      <w:proofErr w:type="spellStart"/>
      <w:r>
        <w:t>Schmalenbach</w:t>
      </w:r>
      <w:proofErr w:type="spellEnd"/>
      <w:r>
        <w:t xml:space="preserve"> Business Review, 65(3), 312-329.</w:t>
      </w:r>
    </w:p>
    <w:p w14:paraId="0D579630" w14:textId="77777777" w:rsidR="00A2681A" w:rsidRDefault="00A2681A" w:rsidP="00A2681A">
      <w:proofErr w:type="spellStart"/>
      <w:proofErr w:type="gramStart"/>
      <w:r>
        <w:t>Easterby</w:t>
      </w:r>
      <w:proofErr w:type="spellEnd"/>
      <w:r>
        <w:t xml:space="preserve">-Smith, M., </w:t>
      </w:r>
      <w:proofErr w:type="spellStart"/>
      <w:r>
        <w:t>Antonacopoulou</w:t>
      </w:r>
      <w:proofErr w:type="spellEnd"/>
      <w:r>
        <w:t>, E. and Ferdinand, J. (2008).</w:t>
      </w:r>
      <w:proofErr w:type="gramEnd"/>
      <w:r>
        <w:t xml:space="preserve"> Absorptive capacity: A process perspective. Management Learning, 39(5), 483-501.</w:t>
      </w:r>
    </w:p>
    <w:p w14:paraId="7429617D" w14:textId="77D643C5" w:rsidR="00A2681A" w:rsidRDefault="00DB0095" w:rsidP="00A2681A">
      <w:proofErr w:type="spellStart"/>
      <w:r>
        <w:lastRenderedPageBreak/>
        <w:t>Elenkov</w:t>
      </w:r>
      <w:proofErr w:type="spellEnd"/>
      <w:r>
        <w:t>, D. S., Judge, W., and</w:t>
      </w:r>
      <w:r w:rsidR="00A2681A">
        <w:t xml:space="preserve"> Wright, P. (2005). Strategic leadership and executive innovation influence: an international multi-cluster comparative study. Strategic Management Journal, 26(7), 665-682.</w:t>
      </w:r>
    </w:p>
    <w:p w14:paraId="51575528" w14:textId="1E6AC9B5" w:rsidR="002828E6" w:rsidRDefault="002828E6" w:rsidP="00A2681A">
      <w:proofErr w:type="spellStart"/>
      <w:r>
        <w:t>Es</w:t>
      </w:r>
      <w:proofErr w:type="spellEnd"/>
    </w:p>
    <w:p w14:paraId="47B61CC1" w14:textId="77777777" w:rsidR="00A2681A" w:rsidRDefault="00A2681A" w:rsidP="00A2681A">
      <w:r>
        <w:t xml:space="preserve">Flatten, T.C., </w:t>
      </w:r>
      <w:proofErr w:type="spellStart"/>
      <w:r>
        <w:t>Engelen</w:t>
      </w:r>
      <w:proofErr w:type="spellEnd"/>
      <w:r>
        <w:t xml:space="preserve">, A., Zahra, S.A., and </w:t>
      </w:r>
      <w:proofErr w:type="spellStart"/>
      <w:r>
        <w:t>Brettel</w:t>
      </w:r>
      <w:proofErr w:type="spellEnd"/>
      <w:r>
        <w:t xml:space="preserve">, M. (2011) A measure of absorptive capacity: Scale development and validation. </w:t>
      </w:r>
      <w:proofErr w:type="gramStart"/>
      <w:r>
        <w:t>European Management Journal, 29, 98– 116.</w:t>
      </w:r>
      <w:proofErr w:type="gramEnd"/>
    </w:p>
    <w:p w14:paraId="3079E644" w14:textId="77777777" w:rsidR="00A2681A" w:rsidRDefault="00A2681A" w:rsidP="00A2681A">
      <w:proofErr w:type="spellStart"/>
      <w:r>
        <w:t>Fogg</w:t>
      </w:r>
      <w:proofErr w:type="spellEnd"/>
      <w:r>
        <w:t xml:space="preserve">, H. (2012). </w:t>
      </w:r>
      <w:proofErr w:type="gramStart"/>
      <w:r>
        <w:t>Tracing the links between absorptive capacity, university knowledge exchange and competitive advantage in SMEs.</w:t>
      </w:r>
      <w:proofErr w:type="gramEnd"/>
      <w:r>
        <w:t xml:space="preserve"> International Journal of Entrepreneurship and Innovation, 13(1), 35-44.</w:t>
      </w:r>
    </w:p>
    <w:p w14:paraId="4F83837D" w14:textId="77777777" w:rsidR="00A2681A" w:rsidRDefault="00A2681A" w:rsidP="00A2681A">
      <w:proofErr w:type="spellStart"/>
      <w:proofErr w:type="gramStart"/>
      <w:r>
        <w:t>Fosfuri</w:t>
      </w:r>
      <w:proofErr w:type="spellEnd"/>
      <w:r>
        <w:t xml:space="preserve">, A. and </w:t>
      </w:r>
      <w:proofErr w:type="spellStart"/>
      <w:r>
        <w:t>Tribo</w:t>
      </w:r>
      <w:proofErr w:type="spellEnd"/>
      <w:r>
        <w:t>, J.A. (2008).</w:t>
      </w:r>
      <w:proofErr w:type="gramEnd"/>
      <w:r>
        <w:t xml:space="preserve"> </w:t>
      </w:r>
      <w:proofErr w:type="gramStart"/>
      <w:r>
        <w:t>Exploring the antecedents of potential absorptive capacity and its impact on innovation performance.</w:t>
      </w:r>
      <w:proofErr w:type="gramEnd"/>
      <w:r>
        <w:t xml:space="preserve"> Omega, 36, 173-187. </w:t>
      </w:r>
    </w:p>
    <w:p w14:paraId="03582283" w14:textId="77777777" w:rsidR="00A2681A" w:rsidRDefault="00A2681A" w:rsidP="00A2681A">
      <w:proofErr w:type="gramStart"/>
      <w:r>
        <w:t xml:space="preserve">Gallego, J., </w:t>
      </w:r>
      <w:proofErr w:type="spellStart"/>
      <w:r>
        <w:t>Rubalcaba</w:t>
      </w:r>
      <w:proofErr w:type="spellEnd"/>
      <w:r>
        <w:t>, L. and Suarez, C. (2013).</w:t>
      </w:r>
      <w:proofErr w:type="gramEnd"/>
      <w:r>
        <w:t xml:space="preserve"> Knowledge for innovation in Europe: The role of external knowledge on firms’ cooperation strategies. Journal of Business Research, 66(10), 2034-2014.</w:t>
      </w:r>
    </w:p>
    <w:p w14:paraId="6730B5BB" w14:textId="278C8C2A" w:rsidR="00A2681A" w:rsidRDefault="00A2681A" w:rsidP="00A2681A">
      <w:proofErr w:type="spellStart"/>
      <w:proofErr w:type="gramStart"/>
      <w:r>
        <w:t>Garud</w:t>
      </w:r>
      <w:proofErr w:type="spellEnd"/>
      <w:r>
        <w:t xml:space="preserve">, R. </w:t>
      </w:r>
      <w:proofErr w:type="spellStart"/>
      <w:r>
        <w:t>Gehman</w:t>
      </w:r>
      <w:proofErr w:type="spellEnd"/>
      <w:r>
        <w:t xml:space="preserve">, J. and </w:t>
      </w:r>
      <w:proofErr w:type="spellStart"/>
      <w:r>
        <w:t>Guiliani</w:t>
      </w:r>
      <w:proofErr w:type="spellEnd"/>
      <w:r>
        <w:t>, A.P.</w:t>
      </w:r>
      <w:r w:rsidR="00117570">
        <w:t xml:space="preserve"> </w:t>
      </w:r>
      <w:r>
        <w:t>(2014)</w:t>
      </w:r>
      <w:r w:rsidR="00117570">
        <w:t>.</w:t>
      </w:r>
      <w:proofErr w:type="gramEnd"/>
      <w:r>
        <w:t xml:space="preserve"> Contextualising entrepreneurial innovation: A narrative perspective. Research Policy, 43, 1177-1188.</w:t>
      </w:r>
    </w:p>
    <w:p w14:paraId="52B8C556" w14:textId="77777777" w:rsidR="00A2681A" w:rsidRDefault="00A2681A" w:rsidP="00A2681A">
      <w:proofErr w:type="spellStart"/>
      <w:proofErr w:type="gramStart"/>
      <w:r>
        <w:t>Gebauer</w:t>
      </w:r>
      <w:proofErr w:type="spellEnd"/>
      <w:r>
        <w:t xml:space="preserve">, H., </w:t>
      </w:r>
      <w:proofErr w:type="spellStart"/>
      <w:r>
        <w:t>Worch</w:t>
      </w:r>
      <w:proofErr w:type="spellEnd"/>
      <w:r>
        <w:t xml:space="preserve">, H. and </w:t>
      </w:r>
      <w:proofErr w:type="spellStart"/>
      <w:r>
        <w:t>Truffer</w:t>
      </w:r>
      <w:proofErr w:type="spellEnd"/>
      <w:r>
        <w:t>, B. (2012).</w:t>
      </w:r>
      <w:proofErr w:type="gramEnd"/>
      <w:r>
        <w:t xml:space="preserve"> </w:t>
      </w:r>
      <w:proofErr w:type="gramStart"/>
      <w:r>
        <w:t>Absorptive capacity, learning processes and combinative capabilities as determinants of strategic innovation.</w:t>
      </w:r>
      <w:proofErr w:type="gramEnd"/>
      <w:r>
        <w:t xml:space="preserve"> European Management Journal, 30, 57-73.</w:t>
      </w:r>
    </w:p>
    <w:p w14:paraId="15775E7E" w14:textId="77777777" w:rsidR="00A2681A" w:rsidRDefault="00A2681A" w:rsidP="00A2681A">
      <w:r>
        <w:t>Getz, D. (2008). Event tourism: Definition, evolution, and research. Tourism Management, 29(3), 403-428.</w:t>
      </w:r>
    </w:p>
    <w:p w14:paraId="2D0C4B9B" w14:textId="5FDF7796" w:rsidR="00EB17C5" w:rsidRDefault="00EB17C5" w:rsidP="00A2681A">
      <w:proofErr w:type="spellStart"/>
      <w:r>
        <w:t>Granovetter</w:t>
      </w:r>
      <w:proofErr w:type="spellEnd"/>
      <w:r>
        <w:t xml:space="preserve">, M.S. (1973). </w:t>
      </w:r>
      <w:proofErr w:type="gramStart"/>
      <w:r>
        <w:t>The strength of weak ties.</w:t>
      </w:r>
      <w:proofErr w:type="gramEnd"/>
      <w:r>
        <w:t xml:space="preserve"> American Journal of Sociology, 78 (6), 1360 – 1380.</w:t>
      </w:r>
    </w:p>
    <w:p w14:paraId="1F70D0FB" w14:textId="77777777" w:rsidR="00A2681A" w:rsidRDefault="00A2681A" w:rsidP="00A2681A">
      <w:proofErr w:type="spellStart"/>
      <w:proofErr w:type="gramStart"/>
      <w:r>
        <w:t>Gursoy</w:t>
      </w:r>
      <w:proofErr w:type="spellEnd"/>
      <w:r>
        <w:t>, D. and Kendall, K.W. (2006).</w:t>
      </w:r>
      <w:proofErr w:type="gramEnd"/>
      <w:r>
        <w:t xml:space="preserve"> Hosting mega events: Modelling Locals’ Support.  Annals of Tourism Research, 33 (3), 603–623</w:t>
      </w:r>
    </w:p>
    <w:p w14:paraId="460DF26B" w14:textId="77777777" w:rsidR="00A2681A" w:rsidRDefault="00A2681A" w:rsidP="00A2681A">
      <w:r>
        <w:t>Hall, C.M. (2009). Innovation and tourism policy in Australia and New Zealand: never the twain shall meet? Journal of Policy Research in Tourism, Leisure and Events, 1(1), 2-18.</w:t>
      </w:r>
    </w:p>
    <w:p w14:paraId="2019C66B" w14:textId="77777777" w:rsidR="00A2681A" w:rsidRDefault="00A2681A" w:rsidP="00A2681A">
      <w:proofErr w:type="gramStart"/>
      <w:r>
        <w:t>Hall, C.M. and Williams, A. M. (2008).</w:t>
      </w:r>
      <w:proofErr w:type="gramEnd"/>
      <w:r>
        <w:t xml:space="preserve"> </w:t>
      </w:r>
      <w:proofErr w:type="gramStart"/>
      <w:r>
        <w:t>Tourism and innovation.</w:t>
      </w:r>
      <w:proofErr w:type="gramEnd"/>
      <w:r>
        <w:t xml:space="preserve"> London, Routledge.</w:t>
      </w:r>
    </w:p>
    <w:p w14:paraId="17DDBEA8" w14:textId="77777777" w:rsidR="00A2681A" w:rsidRDefault="00A2681A" w:rsidP="00A2681A">
      <w:proofErr w:type="gramStart"/>
      <w:r>
        <w:t xml:space="preserve">Harris, R., McAdam, R., </w:t>
      </w:r>
      <w:proofErr w:type="spellStart"/>
      <w:r>
        <w:t>McCausland</w:t>
      </w:r>
      <w:proofErr w:type="spellEnd"/>
      <w:r>
        <w:t>, I. and Reid, R. (2013).</w:t>
      </w:r>
      <w:proofErr w:type="gramEnd"/>
      <w:r>
        <w:t xml:space="preserve"> </w:t>
      </w:r>
      <w:proofErr w:type="gramStart"/>
      <w:r>
        <w:t>Knowledge management as a source of innovation and competitive advantage for SMEs in peripheral regions.</w:t>
      </w:r>
      <w:proofErr w:type="gramEnd"/>
      <w:r>
        <w:t xml:space="preserve"> International Journal of Entrepreneurship and Innovation, 14(1), 49 – 61.</w:t>
      </w:r>
    </w:p>
    <w:p w14:paraId="4E588815" w14:textId="2D874C03" w:rsidR="00A5452D" w:rsidRDefault="00A5452D" w:rsidP="00A2681A">
      <w:proofErr w:type="spellStart"/>
      <w:proofErr w:type="gramStart"/>
      <w:r>
        <w:t>Hashim</w:t>
      </w:r>
      <w:proofErr w:type="spellEnd"/>
      <w:r>
        <w:t>, K.F. and Tan, F.B. (2015).</w:t>
      </w:r>
      <w:proofErr w:type="gramEnd"/>
      <w:r>
        <w:t xml:space="preserve"> The mediating role of trust and commitment on members’ continuous knowledge sharing intention: A commitment-trust theory perspective. International Journal of Information Management, 35, 145 – 151.</w:t>
      </w:r>
    </w:p>
    <w:p w14:paraId="0BBAFE4B" w14:textId="2B574756" w:rsidR="00A2681A" w:rsidRDefault="00A2681A" w:rsidP="00A2681A">
      <w:proofErr w:type="spellStart"/>
      <w:proofErr w:type="gramStart"/>
      <w:r>
        <w:lastRenderedPageBreak/>
        <w:t>Hau</w:t>
      </w:r>
      <w:proofErr w:type="spellEnd"/>
      <w:r>
        <w:t>, Y.S., Kim, B., Lee, H. and Kim, Y-G.</w:t>
      </w:r>
      <w:proofErr w:type="gramEnd"/>
      <w:r>
        <w:t xml:space="preserve"> (2013). </w:t>
      </w:r>
      <w:proofErr w:type="gramStart"/>
      <w:r>
        <w:t>The</w:t>
      </w:r>
      <w:proofErr w:type="gramEnd"/>
      <w:r>
        <w:t xml:space="preserve"> effects of individual motivations and social capital on employees’ tacit and explicit knowledge sharing intentions.  International Journal of Information Management, 33(2), 356-366.</w:t>
      </w:r>
    </w:p>
    <w:p w14:paraId="1FBA2D5C" w14:textId="77777777" w:rsidR="00A2681A" w:rsidRDefault="00A2681A" w:rsidP="00A2681A">
      <w:proofErr w:type="spellStart"/>
      <w:proofErr w:type="gramStart"/>
      <w:r>
        <w:t>Hertog</w:t>
      </w:r>
      <w:proofErr w:type="spellEnd"/>
      <w:r>
        <w:t xml:space="preserve">, P M </w:t>
      </w:r>
      <w:proofErr w:type="spellStart"/>
      <w:r>
        <w:t>Gallouj</w:t>
      </w:r>
      <w:proofErr w:type="spellEnd"/>
      <w:r>
        <w:t xml:space="preserve">, F. and </w:t>
      </w:r>
      <w:proofErr w:type="spellStart"/>
      <w:r>
        <w:t>Segers</w:t>
      </w:r>
      <w:proofErr w:type="spellEnd"/>
      <w:r>
        <w:t>, J. (2011).</w:t>
      </w:r>
      <w:proofErr w:type="gramEnd"/>
      <w:r>
        <w:t xml:space="preserve"> </w:t>
      </w:r>
      <w:proofErr w:type="gramStart"/>
      <w:r>
        <w:t>Measuring innovation in a ‘low tech’ service industry: the case of the Dutch hospitality industry.</w:t>
      </w:r>
      <w:proofErr w:type="gramEnd"/>
      <w:r>
        <w:t xml:space="preserve">  The Service Industries Journal, 31(9), 1429-1449.</w:t>
      </w:r>
    </w:p>
    <w:p w14:paraId="446AD90B" w14:textId="77777777" w:rsidR="00A2681A" w:rsidRDefault="00A2681A" w:rsidP="00A2681A">
      <w:proofErr w:type="gramStart"/>
      <w:r>
        <w:t>Hjalager, A-M.</w:t>
      </w:r>
      <w:proofErr w:type="gramEnd"/>
      <w:r>
        <w:t xml:space="preserve"> (2002). Repairing innovation defectiveness in tourism. Tourism Management, 23, 465-474. </w:t>
      </w:r>
    </w:p>
    <w:p w14:paraId="521564CB" w14:textId="77777777" w:rsidR="00A2681A" w:rsidRDefault="00A2681A" w:rsidP="00A2681A">
      <w:proofErr w:type="gramStart"/>
      <w:r>
        <w:t>Hjalager, A-M.</w:t>
      </w:r>
      <w:proofErr w:type="gramEnd"/>
      <w:r>
        <w:t xml:space="preserve"> </w:t>
      </w:r>
      <w:proofErr w:type="gramStart"/>
      <w:r>
        <w:t>(2010). A review of innovation research in tourism.</w:t>
      </w:r>
      <w:proofErr w:type="gramEnd"/>
      <w:r>
        <w:t xml:space="preserve"> Tourism Management, 31, 1-12.</w:t>
      </w:r>
    </w:p>
    <w:p w14:paraId="19C8ABDF" w14:textId="095FAB12" w:rsidR="00A2681A" w:rsidRDefault="00031E07" w:rsidP="00A2681A">
      <w:proofErr w:type="gramStart"/>
      <w:r>
        <w:t>Hjalager, A-M.</w:t>
      </w:r>
      <w:proofErr w:type="gramEnd"/>
      <w:r>
        <w:t xml:space="preserve"> </w:t>
      </w:r>
      <w:proofErr w:type="gramStart"/>
      <w:r>
        <w:t>(2015</w:t>
      </w:r>
      <w:r w:rsidR="00A2681A">
        <w:t>). 100 innovations that transformed touri</w:t>
      </w:r>
      <w:r>
        <w:t>sm.</w:t>
      </w:r>
      <w:proofErr w:type="gramEnd"/>
      <w:r>
        <w:t xml:space="preserve">  Journal of Travel Research, 54(1), 3-21.</w:t>
      </w:r>
    </w:p>
    <w:p w14:paraId="4276419C" w14:textId="77777777" w:rsidR="00A2681A" w:rsidRDefault="00A2681A" w:rsidP="00A2681A">
      <w:proofErr w:type="gramStart"/>
      <w:r>
        <w:t xml:space="preserve">Hjalager, A-M., and </w:t>
      </w:r>
      <w:proofErr w:type="spellStart"/>
      <w:r>
        <w:t>Flagestad</w:t>
      </w:r>
      <w:proofErr w:type="spellEnd"/>
      <w:r>
        <w:t>, A. (2012) Innovations in well-being tourism in the Nordic countries.</w:t>
      </w:r>
      <w:proofErr w:type="gramEnd"/>
      <w:r>
        <w:t xml:space="preserve"> Current Issues in Tourism, 15(8), 725-740.</w:t>
      </w:r>
    </w:p>
    <w:p w14:paraId="47E4A45B" w14:textId="07E3EA7F" w:rsidR="006A04F2" w:rsidRDefault="006A04F2" w:rsidP="00A2681A">
      <w:proofErr w:type="spellStart"/>
      <w:proofErr w:type="gramStart"/>
      <w:r>
        <w:rPr>
          <w:rFonts w:cstheme="minorHAnsi"/>
        </w:rPr>
        <w:t>Hoarau</w:t>
      </w:r>
      <w:proofErr w:type="spellEnd"/>
      <w:r>
        <w:rPr>
          <w:rFonts w:cstheme="minorHAnsi"/>
        </w:rPr>
        <w:t>, H. and Kline, C. (2014).</w:t>
      </w:r>
      <w:proofErr w:type="gramEnd"/>
      <w:r>
        <w:rPr>
          <w:rFonts w:cstheme="minorHAnsi"/>
        </w:rPr>
        <w:t xml:space="preserve"> Science and industry: Sharing knowledge for innovation.  Annals of Tourism Research, 46, 44 – 61.</w:t>
      </w:r>
    </w:p>
    <w:p w14:paraId="027CCDAA" w14:textId="4FC3F907" w:rsidR="00031E07" w:rsidRDefault="00031E07" w:rsidP="00A2681A">
      <w:proofErr w:type="spellStart"/>
      <w:r>
        <w:t>Hodur</w:t>
      </w:r>
      <w:proofErr w:type="gramStart"/>
      <w:r>
        <w:t>,N.M</w:t>
      </w:r>
      <w:proofErr w:type="spellEnd"/>
      <w:proofErr w:type="gramEnd"/>
      <w:r>
        <w:t xml:space="preserve">. and </w:t>
      </w:r>
      <w:proofErr w:type="spellStart"/>
      <w:r>
        <w:t>Leistritz</w:t>
      </w:r>
      <w:proofErr w:type="spellEnd"/>
      <w:r>
        <w:t xml:space="preserve">, F.L. (2006) Estimating the economic impact of event tourism. Journal of Convention and Event Tourism, 8(4), 63-79. </w:t>
      </w:r>
    </w:p>
    <w:p w14:paraId="10DD4A4F" w14:textId="3972639E" w:rsidR="00D600E0" w:rsidRDefault="00D2443D" w:rsidP="00D600E0">
      <w:proofErr w:type="spellStart"/>
      <w:proofErr w:type="gramStart"/>
      <w:r w:rsidRPr="00D2443D">
        <w:t>Hotho</w:t>
      </w:r>
      <w:proofErr w:type="spellEnd"/>
      <w:r w:rsidRPr="00D2443D">
        <w:t xml:space="preserve">, </w:t>
      </w:r>
      <w:r>
        <w:t xml:space="preserve">J. J., </w:t>
      </w:r>
      <w:r w:rsidRPr="00D2443D">
        <w:t>Becker-</w:t>
      </w:r>
      <w:proofErr w:type="spellStart"/>
      <w:r w:rsidRPr="00D2443D">
        <w:t>Ritterspach</w:t>
      </w:r>
      <w:proofErr w:type="spellEnd"/>
      <w:r>
        <w:t xml:space="preserve">, F. and </w:t>
      </w:r>
      <w:r w:rsidRPr="00D2443D">
        <w:t>Saka-</w:t>
      </w:r>
      <w:proofErr w:type="spellStart"/>
      <w:r w:rsidRPr="00D2443D">
        <w:t>Helmhout</w:t>
      </w:r>
      <w:proofErr w:type="spellEnd"/>
      <w:r>
        <w:t>, A. (201</w:t>
      </w:r>
      <w:r w:rsidR="00D600E0">
        <w:t>2</w:t>
      </w:r>
      <w:r>
        <w:t>).</w:t>
      </w:r>
      <w:proofErr w:type="gramEnd"/>
      <w:r>
        <w:t xml:space="preserve"> </w:t>
      </w:r>
      <w:proofErr w:type="gramStart"/>
      <w:r>
        <w:t>Enriching absorptive capacity through social interaction.</w:t>
      </w:r>
      <w:proofErr w:type="gramEnd"/>
      <w:r>
        <w:t xml:space="preserve"> </w:t>
      </w:r>
      <w:r w:rsidR="00D600E0">
        <w:t xml:space="preserve">British Journal of Management, 23 (3), 383 – 401. </w:t>
      </w:r>
    </w:p>
    <w:p w14:paraId="4DBFCEF8" w14:textId="77777777" w:rsidR="00A2681A" w:rsidRDefault="00A2681A" w:rsidP="00A2681A">
      <w:r>
        <w:t xml:space="preserve">IMEX (2014) UNWTO, WTTC and JMIC sign historic agreement. IMEX Daily 3, 20 – 22nd May, </w:t>
      </w:r>
      <w:proofErr w:type="spellStart"/>
      <w:r>
        <w:t>Franfurt</w:t>
      </w:r>
      <w:proofErr w:type="spellEnd"/>
      <w:r>
        <w:t>.</w:t>
      </w:r>
    </w:p>
    <w:p w14:paraId="65F5729C" w14:textId="13B61586" w:rsidR="00E937EC" w:rsidRDefault="00E937EC" w:rsidP="00A2681A">
      <w:proofErr w:type="gramStart"/>
      <w:r>
        <w:t xml:space="preserve">Jacob, M., </w:t>
      </w:r>
      <w:proofErr w:type="spellStart"/>
      <w:r>
        <w:t>Florido</w:t>
      </w:r>
      <w:proofErr w:type="spellEnd"/>
      <w:r>
        <w:t xml:space="preserve">, C. and </w:t>
      </w:r>
      <w:proofErr w:type="spellStart"/>
      <w:r>
        <w:t>Payeras</w:t>
      </w:r>
      <w:proofErr w:type="spellEnd"/>
      <w:r>
        <w:t>, M. (2014).</w:t>
      </w:r>
      <w:proofErr w:type="gramEnd"/>
      <w:r>
        <w:t xml:space="preserve"> </w:t>
      </w:r>
      <w:proofErr w:type="gramStart"/>
      <w:r>
        <w:t>Knowledge production in two mature destinations.</w:t>
      </w:r>
      <w:proofErr w:type="gramEnd"/>
      <w:r>
        <w:t xml:space="preserve"> Annals of Tourism Research, </w:t>
      </w:r>
      <w:r w:rsidR="00645E0C">
        <w:t>48, 280 – 284.</w:t>
      </w:r>
    </w:p>
    <w:p w14:paraId="5273DD01" w14:textId="77777777" w:rsidR="00A2681A" w:rsidRDefault="00A2681A" w:rsidP="00A2681A">
      <w:proofErr w:type="gramStart"/>
      <w:r>
        <w:t xml:space="preserve">Jansen, J.J., van den Bosch, F.A.J. and </w:t>
      </w:r>
      <w:proofErr w:type="spellStart"/>
      <w:r>
        <w:t>Volberda</w:t>
      </w:r>
      <w:proofErr w:type="spellEnd"/>
      <w:r>
        <w:t>, H.W. (2005).</w:t>
      </w:r>
      <w:proofErr w:type="gramEnd"/>
      <w:r>
        <w:t xml:space="preserve"> Managing potential and realized absorptive capacity: How do organizational antecedents matter? </w:t>
      </w:r>
      <w:proofErr w:type="gramStart"/>
      <w:r>
        <w:t>Research in Management, ERIM Report Series, 2005-025-STR, April.</w:t>
      </w:r>
      <w:proofErr w:type="gramEnd"/>
    </w:p>
    <w:p w14:paraId="41F25232" w14:textId="77777777" w:rsidR="00A2681A" w:rsidRDefault="00A2681A" w:rsidP="00A2681A">
      <w:proofErr w:type="gramStart"/>
      <w:r>
        <w:t>Jimenez-</w:t>
      </w:r>
      <w:proofErr w:type="spellStart"/>
      <w:r>
        <w:t>Barrionuevo</w:t>
      </w:r>
      <w:proofErr w:type="spellEnd"/>
      <w:r>
        <w:t>, M.M., Garcia-Morales, V.J. and Molina, L.M. (2011) Validation of an instrument to measure absorptive capacity.</w:t>
      </w:r>
      <w:proofErr w:type="gramEnd"/>
      <w:r>
        <w:t xml:space="preserve"> </w:t>
      </w:r>
      <w:proofErr w:type="spellStart"/>
      <w:r>
        <w:t>Technovation</w:t>
      </w:r>
      <w:proofErr w:type="spellEnd"/>
      <w:r>
        <w:t>, 31, 190-202.</w:t>
      </w:r>
    </w:p>
    <w:p w14:paraId="0848120C" w14:textId="7A841DF1" w:rsidR="00A2681A" w:rsidRDefault="00A2681A" w:rsidP="00A2681A">
      <w:proofErr w:type="gramStart"/>
      <w:r>
        <w:t>Jiménez-Casti</w:t>
      </w:r>
      <w:r w:rsidR="00DB0095">
        <w:t>llo, D., and</w:t>
      </w:r>
      <w:r>
        <w:t xml:space="preserve"> Sánchez-Pérez, M. (2013).</w:t>
      </w:r>
      <w:proofErr w:type="gramEnd"/>
      <w:r>
        <w:t xml:space="preserve"> Market knowledge absorptive capacity: A measurement scale. Information Research, 18(4), 1-15.</w:t>
      </w:r>
    </w:p>
    <w:p w14:paraId="44973980" w14:textId="079044CC" w:rsidR="00F40CD3" w:rsidRDefault="00F40CD3" w:rsidP="00A2681A">
      <w:proofErr w:type="spellStart"/>
      <w:proofErr w:type="gramStart"/>
      <w:r>
        <w:t>Kelliher</w:t>
      </w:r>
      <w:proofErr w:type="spellEnd"/>
      <w:r>
        <w:t xml:space="preserve">, F. and </w:t>
      </w:r>
      <w:proofErr w:type="spellStart"/>
      <w:r>
        <w:t>Reinl</w:t>
      </w:r>
      <w:proofErr w:type="spellEnd"/>
      <w:r>
        <w:t>, L. (2011).</w:t>
      </w:r>
      <w:proofErr w:type="gramEnd"/>
      <w:r>
        <w:t xml:space="preserve"> </w:t>
      </w:r>
      <w:proofErr w:type="gramStart"/>
      <w:r>
        <w:t>From facilitated to independent tourism learning networks: Connecting the dots.</w:t>
      </w:r>
      <w:proofErr w:type="gramEnd"/>
      <w:r>
        <w:t xml:space="preserve"> Tourism Planning and Development, 8(2): 185 – 197.</w:t>
      </w:r>
    </w:p>
    <w:p w14:paraId="4FE90D95" w14:textId="77777777" w:rsidR="00A2681A" w:rsidRDefault="00A2681A" w:rsidP="00A2681A">
      <w:proofErr w:type="gramStart"/>
      <w:r>
        <w:t>King, B.E., Breen, J. and Whitelaw, P.A. (2014).</w:t>
      </w:r>
      <w:proofErr w:type="gramEnd"/>
      <w:r>
        <w:t xml:space="preserve"> </w:t>
      </w:r>
      <w:proofErr w:type="gramStart"/>
      <w:r>
        <w:t>Hungry for growth?</w:t>
      </w:r>
      <w:proofErr w:type="gramEnd"/>
      <w:r>
        <w:t xml:space="preserve"> </w:t>
      </w:r>
      <w:proofErr w:type="gramStart"/>
      <w:r>
        <w:t>Small and medium-sized tourism enterprise (SMTE) business ambitions, knowledge acquisition and industry engagement.</w:t>
      </w:r>
      <w:proofErr w:type="gramEnd"/>
      <w:r>
        <w:t xml:space="preserve"> International Journal of Tourism Research, 16(3), 272-281.</w:t>
      </w:r>
    </w:p>
    <w:p w14:paraId="3ABAE1F3" w14:textId="77777777" w:rsidR="00A2681A" w:rsidRDefault="00A2681A" w:rsidP="00A2681A">
      <w:proofErr w:type="spellStart"/>
      <w:proofErr w:type="gramStart"/>
      <w:r>
        <w:lastRenderedPageBreak/>
        <w:t>Kostopoulos</w:t>
      </w:r>
      <w:proofErr w:type="spellEnd"/>
      <w:r>
        <w:t xml:space="preserve">, K., </w:t>
      </w:r>
      <w:proofErr w:type="spellStart"/>
      <w:r>
        <w:t>Papalexandris</w:t>
      </w:r>
      <w:proofErr w:type="spellEnd"/>
      <w:r>
        <w:t xml:space="preserve">, A., </w:t>
      </w:r>
      <w:proofErr w:type="spellStart"/>
      <w:r>
        <w:t>Papachroni</w:t>
      </w:r>
      <w:proofErr w:type="spellEnd"/>
      <w:r>
        <w:t xml:space="preserve">, M. and </w:t>
      </w:r>
      <w:proofErr w:type="spellStart"/>
      <w:r>
        <w:t>Ioannou</w:t>
      </w:r>
      <w:proofErr w:type="spellEnd"/>
      <w:r>
        <w:t>, G. (2011).</w:t>
      </w:r>
      <w:proofErr w:type="gramEnd"/>
      <w:r>
        <w:t xml:space="preserve"> </w:t>
      </w:r>
      <w:proofErr w:type="gramStart"/>
      <w:r>
        <w:t>Absorptive capacity, innovation, and financial performance.</w:t>
      </w:r>
      <w:proofErr w:type="gramEnd"/>
      <w:r>
        <w:t xml:space="preserve">  Journal of Business Research, 64, 1335-1343. </w:t>
      </w:r>
    </w:p>
    <w:p w14:paraId="4D2A63C1" w14:textId="6E41D381" w:rsidR="0055632F" w:rsidRDefault="00A2681A" w:rsidP="00A2681A">
      <w:proofErr w:type="spellStart"/>
      <w:proofErr w:type="gramStart"/>
      <w:r>
        <w:t>Krizaj</w:t>
      </w:r>
      <w:proofErr w:type="spellEnd"/>
      <w:r>
        <w:t xml:space="preserve">, D. </w:t>
      </w:r>
      <w:proofErr w:type="spellStart"/>
      <w:r>
        <w:t>Brodnik</w:t>
      </w:r>
      <w:proofErr w:type="spellEnd"/>
      <w:r>
        <w:t xml:space="preserve">, A. and </w:t>
      </w:r>
      <w:proofErr w:type="spellStart"/>
      <w:r>
        <w:t>Bukovec</w:t>
      </w:r>
      <w:proofErr w:type="spellEnd"/>
      <w:r>
        <w:t>, B. (2014).</w:t>
      </w:r>
      <w:proofErr w:type="gramEnd"/>
      <w:r>
        <w:t xml:space="preserve"> </w:t>
      </w:r>
      <w:proofErr w:type="gramStart"/>
      <w:r>
        <w:t>A tool for measurement of innovation newness and adoption in tourism firms.</w:t>
      </w:r>
      <w:proofErr w:type="gramEnd"/>
      <w:r>
        <w:t xml:space="preserve">  International Journal of Tourism Research, 16(2), 113-125.</w:t>
      </w:r>
    </w:p>
    <w:p w14:paraId="3DB346EB" w14:textId="77777777" w:rsidR="00A2681A" w:rsidRDefault="00A2681A" w:rsidP="00A2681A">
      <w:proofErr w:type="gramStart"/>
      <w:r>
        <w:t xml:space="preserve">Lane, P.J., </w:t>
      </w:r>
      <w:proofErr w:type="spellStart"/>
      <w:r>
        <w:t>Koka</w:t>
      </w:r>
      <w:proofErr w:type="spellEnd"/>
      <w:r>
        <w:t>, B.R. and Pathak, S (2006).</w:t>
      </w:r>
      <w:proofErr w:type="gramEnd"/>
      <w:r>
        <w:t xml:space="preserve">  The reification of absorptive capacity: A critical review and rejuvenation of the construct. Academy of Management Review, 31(4), 833-863.</w:t>
      </w:r>
    </w:p>
    <w:p w14:paraId="21B480DC" w14:textId="77777777" w:rsidR="00A2681A" w:rsidRDefault="00A2681A" w:rsidP="00A2681A">
      <w:proofErr w:type="spellStart"/>
      <w:proofErr w:type="gramStart"/>
      <w:r>
        <w:t>Laursen</w:t>
      </w:r>
      <w:proofErr w:type="spellEnd"/>
      <w:r>
        <w:t>, K. and Salter, A.J. (2014).</w:t>
      </w:r>
      <w:proofErr w:type="gramEnd"/>
      <w:r>
        <w:t xml:space="preserve"> The paradox of openness: </w:t>
      </w:r>
      <w:proofErr w:type="spellStart"/>
      <w:r>
        <w:t>Appropriability</w:t>
      </w:r>
      <w:proofErr w:type="spellEnd"/>
      <w:r>
        <w:t>, external search and collaboration. Research Policy, 43, 867 – 878.</w:t>
      </w:r>
    </w:p>
    <w:p w14:paraId="5A7332E8" w14:textId="5C29DDAF" w:rsidR="0055632F" w:rsidRDefault="0055632F" w:rsidP="00A2681A">
      <w:proofErr w:type="gramStart"/>
      <w:r>
        <w:t>McCabe, V. (2009).</w:t>
      </w:r>
      <w:proofErr w:type="gramEnd"/>
      <w:r>
        <w:t xml:space="preserve"> ‘Butterflying’ career patterns in the convention and exhibition industry: A research perspective. </w:t>
      </w:r>
      <w:proofErr w:type="gramStart"/>
      <w:r>
        <w:t xml:space="preserve">In Baum, T., Deery, M., Hanlon, C., </w:t>
      </w:r>
      <w:proofErr w:type="spellStart"/>
      <w:r>
        <w:t>Lockstone</w:t>
      </w:r>
      <w:proofErr w:type="spellEnd"/>
      <w:r>
        <w:t>, L. and Smith, K. (Eds.).</w:t>
      </w:r>
      <w:proofErr w:type="gramEnd"/>
      <w:r>
        <w:t xml:space="preserve"> People and work in events and conventions (pp. 51 - 64). Wallingford: CABI.</w:t>
      </w:r>
    </w:p>
    <w:p w14:paraId="24C04972" w14:textId="77777777" w:rsidR="00A2681A" w:rsidRDefault="00A2681A" w:rsidP="00A2681A">
      <w:proofErr w:type="gramStart"/>
      <w:r>
        <w:t xml:space="preserve">Mina, A., </w:t>
      </w:r>
      <w:proofErr w:type="spellStart"/>
      <w:r>
        <w:t>Bascavusoglu</w:t>
      </w:r>
      <w:proofErr w:type="spellEnd"/>
      <w:r>
        <w:t>-Moreau, E. and Hughes, A. (2014).</w:t>
      </w:r>
      <w:proofErr w:type="gramEnd"/>
      <w:r>
        <w:t xml:space="preserve"> Open service innovation and the firm’s search for external knowledge. Research Policy, 43, 853 – 866.</w:t>
      </w:r>
    </w:p>
    <w:p w14:paraId="7FCE65DD" w14:textId="77777777" w:rsidR="00A2681A" w:rsidRDefault="00A2681A" w:rsidP="00A2681A">
      <w:proofErr w:type="gramStart"/>
      <w:r>
        <w:t xml:space="preserve">Nieves, J. and </w:t>
      </w:r>
      <w:proofErr w:type="spellStart"/>
      <w:r>
        <w:t>Segarra-Cipres</w:t>
      </w:r>
      <w:proofErr w:type="spellEnd"/>
      <w:r>
        <w:t>, M. (2015) Management innovation in the hotel industry.</w:t>
      </w:r>
      <w:proofErr w:type="gramEnd"/>
      <w:r>
        <w:t xml:space="preserve"> Tourism Management, 46, 51-58.</w:t>
      </w:r>
    </w:p>
    <w:p w14:paraId="2C26CC1E" w14:textId="77777777" w:rsidR="00A2681A" w:rsidRDefault="00A2681A" w:rsidP="00A2681A">
      <w:proofErr w:type="spellStart"/>
      <w:proofErr w:type="gramStart"/>
      <w:r>
        <w:t>Orfila-Sintes</w:t>
      </w:r>
      <w:proofErr w:type="spellEnd"/>
      <w:r>
        <w:t xml:space="preserve">, F., </w:t>
      </w:r>
      <w:proofErr w:type="spellStart"/>
      <w:r>
        <w:t>Crespi-Cladera</w:t>
      </w:r>
      <w:proofErr w:type="spellEnd"/>
      <w:r>
        <w:t>, R. Martinez-</w:t>
      </w:r>
      <w:proofErr w:type="spellStart"/>
      <w:r>
        <w:t>Ros</w:t>
      </w:r>
      <w:proofErr w:type="spellEnd"/>
      <w:r>
        <w:t>, E. (2005).</w:t>
      </w:r>
      <w:proofErr w:type="gramEnd"/>
      <w:r>
        <w:t xml:space="preserve"> Innovation activity in the hotel industry: Evidence from the Balearic Islands. Tourism Management, 26, 851-865.</w:t>
      </w:r>
    </w:p>
    <w:p w14:paraId="44ABF264" w14:textId="2A00556E" w:rsidR="00F40CD3" w:rsidRDefault="00F40CD3" w:rsidP="00A2681A">
      <w:proofErr w:type="spellStart"/>
      <w:proofErr w:type="gramStart"/>
      <w:r>
        <w:t>Paraskevas</w:t>
      </w:r>
      <w:proofErr w:type="spellEnd"/>
      <w:r>
        <w:t xml:space="preserve">, A., </w:t>
      </w:r>
      <w:proofErr w:type="spellStart"/>
      <w:r>
        <w:t>Altinay</w:t>
      </w:r>
      <w:proofErr w:type="spellEnd"/>
      <w:r>
        <w:t>, L., McLean, J. and Cooper, C. (2013).</w:t>
      </w:r>
      <w:proofErr w:type="gramEnd"/>
      <w:r>
        <w:t xml:space="preserve"> Crisis knowledge in tourism: types, flows and governance. Annals of Tourism Research, 41, 130 – 152.</w:t>
      </w:r>
    </w:p>
    <w:p w14:paraId="5E2369AD" w14:textId="3AFB4A0E" w:rsidR="00FB7964" w:rsidRDefault="00FB7964" w:rsidP="00A2681A">
      <w:proofErr w:type="gramStart"/>
      <w:r>
        <w:t xml:space="preserve">Patterson, W. and </w:t>
      </w:r>
      <w:proofErr w:type="spellStart"/>
      <w:r>
        <w:t>Ambrosini</w:t>
      </w:r>
      <w:proofErr w:type="spellEnd"/>
      <w:r>
        <w:t>, V. (2015).</w:t>
      </w:r>
      <w:proofErr w:type="gramEnd"/>
      <w:r>
        <w:t xml:space="preserve"> </w:t>
      </w:r>
      <w:proofErr w:type="gramStart"/>
      <w:r>
        <w:t>Configuring absorptive capacity as a key process for research intensive firms.</w:t>
      </w:r>
      <w:proofErr w:type="gramEnd"/>
      <w:r>
        <w:t xml:space="preserve"> </w:t>
      </w:r>
      <w:proofErr w:type="spellStart"/>
      <w:r>
        <w:t>Technovation</w:t>
      </w:r>
      <w:proofErr w:type="spellEnd"/>
      <w:r>
        <w:t xml:space="preserve">, 36-37, 77-89.  </w:t>
      </w:r>
    </w:p>
    <w:p w14:paraId="256DE1D1" w14:textId="037CC87A" w:rsidR="00E92119" w:rsidRDefault="00E92119" w:rsidP="00A2681A">
      <w:r>
        <w:t xml:space="preserve">Penrose, E.T. (1959). </w:t>
      </w:r>
      <w:proofErr w:type="gramStart"/>
      <w:r>
        <w:t>The theory of the growth of the firm.</w:t>
      </w:r>
      <w:proofErr w:type="gramEnd"/>
      <w:r>
        <w:t xml:space="preserve"> London: Blackwell.</w:t>
      </w:r>
    </w:p>
    <w:p w14:paraId="0464E1AF" w14:textId="77777777" w:rsidR="00A2681A" w:rsidRDefault="00A2681A" w:rsidP="00A2681A">
      <w:r>
        <w:t>Prentice, R. and Anderson, V. (2003) Festival as creative destination. Annals of Tourism Research, 30(1), 7-30.</w:t>
      </w:r>
    </w:p>
    <w:p w14:paraId="2C3D8CBF" w14:textId="75A93FFB" w:rsidR="007526CE" w:rsidRDefault="007526CE" w:rsidP="00A2681A">
      <w:proofErr w:type="spellStart"/>
      <w:proofErr w:type="gramStart"/>
      <w:r>
        <w:t>Pyo</w:t>
      </w:r>
      <w:proofErr w:type="spellEnd"/>
      <w:r>
        <w:t>, S. (2011)</w:t>
      </w:r>
      <w:r w:rsidR="00F40CD3">
        <w:t>.</w:t>
      </w:r>
      <w:proofErr w:type="gramEnd"/>
      <w:r w:rsidR="00F40CD3">
        <w:t xml:space="preserve">  I</w:t>
      </w:r>
      <w:r>
        <w:t xml:space="preserve">dentifying and prioritizing </w:t>
      </w:r>
      <w:r w:rsidR="00F40CD3">
        <w:t>destination knowledge needs. Annals of Tourism Research, 39 (2), 1156 – 1175.</w:t>
      </w:r>
    </w:p>
    <w:p w14:paraId="482684A6" w14:textId="4776700D" w:rsidR="007423A6" w:rsidRDefault="007423A6" w:rsidP="00A2681A">
      <w:proofErr w:type="spellStart"/>
      <w:proofErr w:type="gramStart"/>
      <w:r>
        <w:t>Reinl</w:t>
      </w:r>
      <w:proofErr w:type="spellEnd"/>
      <w:r>
        <w:t xml:space="preserve">, L. and </w:t>
      </w:r>
      <w:proofErr w:type="spellStart"/>
      <w:r>
        <w:t>Kelliher</w:t>
      </w:r>
      <w:proofErr w:type="spellEnd"/>
      <w:r>
        <w:t>, F. (2010).</w:t>
      </w:r>
      <w:proofErr w:type="gramEnd"/>
      <w:r>
        <w:t xml:space="preserve"> Cooperative micro-firm strategies: Leveraging resources through learning networks. International Journal of Entrepreneurship and Innovation, 11 (2), 141 – 150.</w:t>
      </w:r>
    </w:p>
    <w:p w14:paraId="4449CAEA" w14:textId="3617BFD1" w:rsidR="007423A6" w:rsidRDefault="007423A6" w:rsidP="00A2681A">
      <w:proofErr w:type="spellStart"/>
      <w:proofErr w:type="gramStart"/>
      <w:r>
        <w:t>Reinl</w:t>
      </w:r>
      <w:proofErr w:type="spellEnd"/>
      <w:r>
        <w:t xml:space="preserve">, L. and </w:t>
      </w:r>
      <w:proofErr w:type="spellStart"/>
      <w:r>
        <w:t>Kelliher</w:t>
      </w:r>
      <w:proofErr w:type="spellEnd"/>
      <w:r>
        <w:t>, F. (2014).</w:t>
      </w:r>
      <w:proofErr w:type="gramEnd"/>
      <w:r>
        <w:t xml:space="preserve"> </w:t>
      </w:r>
      <w:proofErr w:type="gramStart"/>
      <w:r>
        <w:t>The social dynamics of micro-firm learning in an evolving learning community.</w:t>
      </w:r>
      <w:proofErr w:type="gramEnd"/>
      <w:r>
        <w:t xml:space="preserve"> Tourism Management, 40, 117 – 125.</w:t>
      </w:r>
    </w:p>
    <w:p w14:paraId="00B1D222" w14:textId="5A308999" w:rsidR="00A5452D" w:rsidRDefault="00A5452D" w:rsidP="00A2681A">
      <w:proofErr w:type="spellStart"/>
      <w:r>
        <w:t>Ritala</w:t>
      </w:r>
      <w:proofErr w:type="spellEnd"/>
      <w:r>
        <w:t xml:space="preserve">, P., </w:t>
      </w:r>
      <w:proofErr w:type="spellStart"/>
      <w:r>
        <w:t>Olander</w:t>
      </w:r>
      <w:proofErr w:type="spellEnd"/>
      <w:r>
        <w:t xml:space="preserve">, H. </w:t>
      </w:r>
      <w:proofErr w:type="spellStart"/>
      <w:r>
        <w:t>Michailova</w:t>
      </w:r>
      <w:proofErr w:type="spellEnd"/>
      <w:r>
        <w:t xml:space="preserve">, S. and Husted, K. (2015). Knowledge sharing, knowledge leaking and relative innovation performance: An empirical study. </w:t>
      </w:r>
      <w:proofErr w:type="spellStart"/>
      <w:r>
        <w:t>Technovation</w:t>
      </w:r>
      <w:proofErr w:type="spellEnd"/>
      <w:r>
        <w:t>, 35, 22 – 31.</w:t>
      </w:r>
    </w:p>
    <w:p w14:paraId="2D32ABB3" w14:textId="77777777" w:rsidR="00A2681A" w:rsidRDefault="00A2681A" w:rsidP="00A2681A">
      <w:proofErr w:type="gramStart"/>
      <w:r>
        <w:t>Rodriguez, I., Williams, A.M. and Hall, C.M. (2014).</w:t>
      </w:r>
      <w:proofErr w:type="gramEnd"/>
      <w:r>
        <w:t xml:space="preserve"> Tourism innovation policy:  Implementation and outcomes. Annals of Tourism Research, 49, 76-93.</w:t>
      </w:r>
    </w:p>
    <w:p w14:paraId="3E0BC384" w14:textId="2E5035C0" w:rsidR="00705030" w:rsidRDefault="00705030" w:rsidP="00A2681A">
      <w:proofErr w:type="gramStart"/>
      <w:r>
        <w:lastRenderedPageBreak/>
        <w:t>Rogers, T. (2013) Conferences and conventions: A global industry.</w:t>
      </w:r>
      <w:proofErr w:type="gramEnd"/>
      <w:r>
        <w:t xml:space="preserve"> London: Routledge.</w:t>
      </w:r>
    </w:p>
    <w:p w14:paraId="0BF1C38E" w14:textId="77777777" w:rsidR="00A2681A" w:rsidRDefault="00A2681A" w:rsidP="00A2681A">
      <w:proofErr w:type="gramStart"/>
      <w:r>
        <w:t xml:space="preserve">Scott, N., </w:t>
      </w:r>
      <w:proofErr w:type="spellStart"/>
      <w:r>
        <w:t>Baggio</w:t>
      </w:r>
      <w:proofErr w:type="spellEnd"/>
      <w:r>
        <w:t>, R. and Cooper, C. (2008).</w:t>
      </w:r>
      <w:proofErr w:type="gramEnd"/>
      <w:r>
        <w:t xml:space="preserve"> </w:t>
      </w:r>
      <w:proofErr w:type="gramStart"/>
      <w:r>
        <w:t>Network analysis and tourism.</w:t>
      </w:r>
      <w:proofErr w:type="gramEnd"/>
      <w:r>
        <w:t xml:space="preserve"> </w:t>
      </w:r>
      <w:proofErr w:type="gramStart"/>
      <w:r>
        <w:t>From theory to practice.</w:t>
      </w:r>
      <w:proofErr w:type="gramEnd"/>
      <w:r>
        <w:t xml:space="preserve"> </w:t>
      </w:r>
      <w:proofErr w:type="gramStart"/>
      <w:r>
        <w:t>Clevedon, Channel View Publications.</w:t>
      </w:r>
      <w:proofErr w:type="gramEnd"/>
    </w:p>
    <w:p w14:paraId="4BF27076" w14:textId="40801CB3" w:rsidR="007601EA" w:rsidRDefault="007601EA" w:rsidP="00A2681A">
      <w:r>
        <w:t xml:space="preserve">Shaw, G. (2015). Tourism networks, knowledge dynamics and co-creation. </w:t>
      </w:r>
      <w:proofErr w:type="gramStart"/>
      <w:r>
        <w:t>In McLeod, M. and Vaughan, R. (Eds.), Knowledge networks and tourism (pp45-61).</w:t>
      </w:r>
      <w:proofErr w:type="gramEnd"/>
      <w:r>
        <w:t xml:space="preserve"> London: Routledge.</w:t>
      </w:r>
    </w:p>
    <w:p w14:paraId="54E7C3AD" w14:textId="77777777" w:rsidR="00A2681A" w:rsidRDefault="00A2681A" w:rsidP="00A2681A">
      <w:proofErr w:type="gramStart"/>
      <w:r>
        <w:t>Shaw, G. and Williams, A.M. (2009).</w:t>
      </w:r>
      <w:proofErr w:type="gramEnd"/>
      <w:r>
        <w:t xml:space="preserve"> Knowledge transfer and management in tourism organisations: An emerging research agenda. Tourism Management, 30(3), 325-335.</w:t>
      </w:r>
    </w:p>
    <w:p w14:paraId="5A4A9A50" w14:textId="77777777" w:rsidR="00A2681A" w:rsidRDefault="00A2681A" w:rsidP="00A2681A">
      <w:proofErr w:type="gramStart"/>
      <w:r>
        <w:t>Sorensen, F. (2007).</w:t>
      </w:r>
      <w:proofErr w:type="gramEnd"/>
      <w:r>
        <w:t xml:space="preserve"> </w:t>
      </w:r>
      <w:proofErr w:type="gramStart"/>
      <w:r>
        <w:t>The geographies of social networks and innovation in tourism.</w:t>
      </w:r>
      <w:proofErr w:type="gramEnd"/>
      <w:r>
        <w:t xml:space="preserve"> Tourism Geographies, 9(1), 22-48.</w:t>
      </w:r>
    </w:p>
    <w:p w14:paraId="3F6BBEBE" w14:textId="2E726DEB" w:rsidR="008E16E0" w:rsidRPr="008E16E0" w:rsidRDefault="008E16E0" w:rsidP="008E16E0">
      <w:proofErr w:type="gramStart"/>
      <w:r w:rsidRPr="008E16E0">
        <w:t>Sun, P</w:t>
      </w:r>
      <w:r>
        <w:t>.Y.T. and Anderson, M.H. (2010).</w:t>
      </w:r>
      <w:proofErr w:type="gramEnd"/>
      <w:r>
        <w:t xml:space="preserve"> </w:t>
      </w:r>
      <w:proofErr w:type="gramStart"/>
      <w:r>
        <w:t>An examination of the relationship between absorptive capacity and organizational learning, and a proposed integration.</w:t>
      </w:r>
      <w:proofErr w:type="gramEnd"/>
      <w:r>
        <w:t xml:space="preserve"> </w:t>
      </w:r>
      <w:r w:rsidRPr="008E16E0">
        <w:t>International Journal of Management Reviews</w:t>
      </w:r>
      <w:r>
        <w:t>, 12(2), 130-150.</w:t>
      </w:r>
    </w:p>
    <w:p w14:paraId="36D386E3" w14:textId="6BEA7958" w:rsidR="008E16E0" w:rsidRDefault="008E16E0" w:rsidP="00A2681A"/>
    <w:p w14:paraId="7B0EE06D" w14:textId="77777777" w:rsidR="00A2681A" w:rsidRDefault="00A2681A" w:rsidP="00A2681A">
      <w:proofErr w:type="spellStart"/>
      <w:r>
        <w:t>Todorova</w:t>
      </w:r>
      <w:proofErr w:type="spellEnd"/>
      <w:r>
        <w:t xml:space="preserve">, G. and </w:t>
      </w:r>
      <w:proofErr w:type="spellStart"/>
      <w:r>
        <w:t>Durisin</w:t>
      </w:r>
      <w:proofErr w:type="spellEnd"/>
      <w:r>
        <w:t xml:space="preserve">, B. (2007) Absorptive capacity: Valuing a reconceptualization.  Academy of Management Review, 32(3), 774-786. </w:t>
      </w:r>
    </w:p>
    <w:p w14:paraId="04C4AEFC" w14:textId="77777777" w:rsidR="00A2681A" w:rsidRDefault="00A2681A" w:rsidP="00A2681A">
      <w:r>
        <w:t>Thomas, R. (2012).  Business elites, universities and knowledge transfer in tourism. Tourism Management, 33 (3), 553-561.</w:t>
      </w:r>
    </w:p>
    <w:p w14:paraId="0879B6EB" w14:textId="77777777" w:rsidR="00A2681A" w:rsidRDefault="00A2681A" w:rsidP="00A2681A">
      <w:proofErr w:type="gramStart"/>
      <w:r>
        <w:t>Thomas, R. and Wood, E. (2014).</w:t>
      </w:r>
      <w:proofErr w:type="gramEnd"/>
      <w:r>
        <w:t xml:space="preserve"> Innovation in tourism: Re-conceptualising and measuring the absorptive capacity of the hotel sector. Tourism Management, 45, 39-48.</w:t>
      </w:r>
    </w:p>
    <w:p w14:paraId="406AFFC8" w14:textId="77777777" w:rsidR="00A2681A" w:rsidRDefault="00A2681A" w:rsidP="00A2681A">
      <w:proofErr w:type="gramStart"/>
      <w:r>
        <w:t>Tejada, P. and Moreno, P. (2013).</w:t>
      </w:r>
      <w:proofErr w:type="gramEnd"/>
      <w:r>
        <w:t xml:space="preserve"> </w:t>
      </w:r>
      <w:proofErr w:type="gramStart"/>
      <w:r>
        <w:t>Patterns of innovation in tourism ‘small and medium sized enterprises’.</w:t>
      </w:r>
      <w:proofErr w:type="gramEnd"/>
      <w:r>
        <w:t xml:space="preserve"> The Service Industries Journal, 33 (7-8), 749-758.</w:t>
      </w:r>
    </w:p>
    <w:p w14:paraId="0F7F9AFA" w14:textId="24EFD80E" w:rsidR="00A811F3" w:rsidRDefault="00A811F3" w:rsidP="00A2681A">
      <w:proofErr w:type="gramStart"/>
      <w:r>
        <w:t>United Nations World Tourism Organisation (UNWTO) (2014).</w:t>
      </w:r>
      <w:proofErr w:type="gramEnd"/>
      <w:r>
        <w:t xml:space="preserve"> </w:t>
      </w:r>
      <w:proofErr w:type="gramStart"/>
      <w:r>
        <w:t>Global report on the meetings industry.</w:t>
      </w:r>
      <w:proofErr w:type="gramEnd"/>
      <w:r>
        <w:t xml:space="preserve"> Madrid: UNWTO. </w:t>
      </w:r>
    </w:p>
    <w:p w14:paraId="63E36E27" w14:textId="77777777" w:rsidR="00A2681A" w:rsidRDefault="00A2681A" w:rsidP="00A2681A">
      <w:proofErr w:type="gramStart"/>
      <w:r>
        <w:t xml:space="preserve">Valentina, N. and </w:t>
      </w:r>
      <w:proofErr w:type="spellStart"/>
      <w:r>
        <w:t>Passiante</w:t>
      </w:r>
      <w:proofErr w:type="spellEnd"/>
      <w:r>
        <w:t>, G. (2009).</w:t>
      </w:r>
      <w:proofErr w:type="gramEnd"/>
      <w:r>
        <w:t xml:space="preserve"> </w:t>
      </w:r>
      <w:proofErr w:type="gramStart"/>
      <w:r>
        <w:t>Impacts of absorptive capacity on value creation.</w:t>
      </w:r>
      <w:proofErr w:type="gramEnd"/>
      <w:r>
        <w:t xml:space="preserve">  Anatolia: An International Journal of Tourism and Hospitality Research, 20(2), 269-287.</w:t>
      </w:r>
    </w:p>
    <w:p w14:paraId="1EF7074E" w14:textId="77777777" w:rsidR="00A2681A" w:rsidRDefault="00A2681A" w:rsidP="00A2681A">
      <w:proofErr w:type="gramStart"/>
      <w:r>
        <w:t xml:space="preserve">Van de </w:t>
      </w:r>
      <w:proofErr w:type="spellStart"/>
      <w:r>
        <w:t>Ven</w:t>
      </w:r>
      <w:proofErr w:type="spellEnd"/>
      <w:r>
        <w:t xml:space="preserve">, A.H., </w:t>
      </w:r>
      <w:proofErr w:type="spellStart"/>
      <w:r>
        <w:t>Polley</w:t>
      </w:r>
      <w:proofErr w:type="spellEnd"/>
      <w:r>
        <w:t xml:space="preserve">, D.E., </w:t>
      </w:r>
      <w:proofErr w:type="spellStart"/>
      <w:r>
        <w:t>Garud</w:t>
      </w:r>
      <w:proofErr w:type="spellEnd"/>
      <w:r>
        <w:t xml:space="preserve">, R. and </w:t>
      </w:r>
      <w:proofErr w:type="spellStart"/>
      <w:r>
        <w:t>Venkataraman</w:t>
      </w:r>
      <w:proofErr w:type="spellEnd"/>
      <w:r>
        <w:t>, S. (2008).</w:t>
      </w:r>
      <w:proofErr w:type="gramEnd"/>
      <w:r>
        <w:t xml:space="preserve"> </w:t>
      </w:r>
      <w:proofErr w:type="gramStart"/>
      <w:r>
        <w:t>The innovation journey.</w:t>
      </w:r>
      <w:proofErr w:type="gramEnd"/>
      <w:r>
        <w:t xml:space="preserve"> Oxford, Oxford University Press.</w:t>
      </w:r>
    </w:p>
    <w:p w14:paraId="7F1F33A7" w14:textId="77777777" w:rsidR="00A5452D" w:rsidRDefault="00A5452D" w:rsidP="00A5452D">
      <w:r>
        <w:t>Vega –</w:t>
      </w:r>
      <w:proofErr w:type="spellStart"/>
      <w:r>
        <w:t>Jurado</w:t>
      </w:r>
      <w:proofErr w:type="spellEnd"/>
      <w:r>
        <w:t xml:space="preserve">, J., Gutierrez-Garcia, A. and Fernandez-de-Lucio, I. (2008). </w:t>
      </w:r>
      <w:proofErr w:type="gramStart"/>
      <w:r>
        <w:t>The effect of external and internal factors on firms’ product innovation.</w:t>
      </w:r>
      <w:proofErr w:type="gramEnd"/>
      <w:r>
        <w:t xml:space="preserve"> Research Policy, 37, 616 – 632</w:t>
      </w:r>
    </w:p>
    <w:p w14:paraId="6B0D8D32" w14:textId="77777777" w:rsidR="00A5452D" w:rsidRDefault="00A5452D" w:rsidP="00A5452D">
      <w:r>
        <w:t>Vega –</w:t>
      </w:r>
      <w:proofErr w:type="spellStart"/>
      <w:r>
        <w:t>Jurado</w:t>
      </w:r>
      <w:proofErr w:type="spellEnd"/>
      <w:r>
        <w:t xml:space="preserve">, J., Gutierrez-Garcia, A. and Fernandez-de-Lucio, I. (2009). Does external knowledge sourcing matter for innovation? </w:t>
      </w:r>
      <w:proofErr w:type="gramStart"/>
      <w:r>
        <w:t>Evidence from the Spanish manufacturing industry.</w:t>
      </w:r>
      <w:proofErr w:type="gramEnd"/>
      <w:r>
        <w:t xml:space="preserve"> Industrial and Corporate Change, 18 (4), 637 – 670.</w:t>
      </w:r>
    </w:p>
    <w:p w14:paraId="1CBD5984" w14:textId="39239AC4" w:rsidR="00A5452D" w:rsidRDefault="00A5452D" w:rsidP="00A2681A">
      <w:r>
        <w:lastRenderedPageBreak/>
        <w:t>Vega –</w:t>
      </w:r>
      <w:proofErr w:type="spellStart"/>
      <w:r>
        <w:t>Jurado</w:t>
      </w:r>
      <w:proofErr w:type="spellEnd"/>
      <w:r>
        <w:t xml:space="preserve">, J., Gutierrez-Garcia, A., Fernandez-de-Lucio, I. and </w:t>
      </w:r>
      <w:proofErr w:type="spellStart"/>
      <w:r>
        <w:t>Manjarres</w:t>
      </w:r>
      <w:proofErr w:type="spellEnd"/>
      <w:r>
        <w:t xml:space="preserve">-Henriquez, L. (2008). Analysing the determinants of a firm’s absorptive capacity: beyond R&amp;D. R&amp;D Management, 38 (4), 392 – 405. </w:t>
      </w:r>
    </w:p>
    <w:p w14:paraId="6E5BE762" w14:textId="4570C8D0" w:rsidR="0055632F" w:rsidRDefault="0055632F" w:rsidP="00A2681A">
      <w:r>
        <w:t xml:space="preserve">Weber, K. and </w:t>
      </w:r>
      <w:proofErr w:type="spellStart"/>
      <w:r>
        <w:t>Ladkin</w:t>
      </w:r>
      <w:proofErr w:type="spellEnd"/>
      <w:r>
        <w:t xml:space="preserve">, A. (2009) Career anchors of convention and exhibition industry professionals in Asia. Journal of Convention and Event Tourism, </w:t>
      </w:r>
      <w:r w:rsidR="00A811F3">
        <w:t>10, 243 – 255.</w:t>
      </w:r>
    </w:p>
    <w:p w14:paraId="05E00B37" w14:textId="77777777" w:rsidR="00A2681A" w:rsidRDefault="00A2681A" w:rsidP="00A2681A">
      <w:proofErr w:type="gramStart"/>
      <w:r>
        <w:t>Williams, A.M. and Shaw, G. (2011).</w:t>
      </w:r>
      <w:proofErr w:type="gramEnd"/>
      <w:r>
        <w:t xml:space="preserve"> </w:t>
      </w:r>
      <w:proofErr w:type="gramStart"/>
      <w:r>
        <w:t>Internationalization and innovation in tourism.</w:t>
      </w:r>
      <w:proofErr w:type="gramEnd"/>
      <w:r>
        <w:t xml:space="preserve"> Annals of Tourism Research, 38(1), 27-51.</w:t>
      </w:r>
    </w:p>
    <w:p w14:paraId="69DA1335" w14:textId="4A42094E" w:rsidR="00F40CD3" w:rsidRDefault="00F40CD3" w:rsidP="00A2681A">
      <w:r>
        <w:t>Weidenfeld, A. (2013). Tourism and cross border regional innovation systems. Annals of Tourism Research, 42, 191 – 213.</w:t>
      </w:r>
    </w:p>
    <w:p w14:paraId="7F1AE237" w14:textId="29120770" w:rsidR="00A2681A" w:rsidRDefault="00A2681A" w:rsidP="00A2681A">
      <w:proofErr w:type="gramStart"/>
      <w:r>
        <w:t>We</w:t>
      </w:r>
      <w:r w:rsidR="00DB0095">
        <w:t>idenfeld, A., Williams, A. M., and</w:t>
      </w:r>
      <w:r>
        <w:t xml:space="preserve"> Butler, R. W. (2010).</w:t>
      </w:r>
      <w:proofErr w:type="gramEnd"/>
      <w:r>
        <w:t xml:space="preserve"> </w:t>
      </w:r>
      <w:proofErr w:type="gramStart"/>
      <w:r>
        <w:t>Knowledge transfer and innovation among attractions.</w:t>
      </w:r>
      <w:proofErr w:type="gramEnd"/>
      <w:r>
        <w:t xml:space="preserve"> </w:t>
      </w:r>
      <w:proofErr w:type="gramStart"/>
      <w:r>
        <w:t>Annals of Tourism Research, 37(3), 604 -626.</w:t>
      </w:r>
      <w:proofErr w:type="gramEnd"/>
    </w:p>
    <w:p w14:paraId="456562BF" w14:textId="77777777" w:rsidR="00A2681A" w:rsidRDefault="00A2681A" w:rsidP="00A2681A">
      <w:proofErr w:type="gramStart"/>
      <w:r>
        <w:t xml:space="preserve">West, J., Salter, A., </w:t>
      </w:r>
      <w:proofErr w:type="spellStart"/>
      <w:r>
        <w:t>Vanhaverbeke</w:t>
      </w:r>
      <w:proofErr w:type="spellEnd"/>
      <w:r>
        <w:t xml:space="preserve">, W. and </w:t>
      </w:r>
      <w:proofErr w:type="spellStart"/>
      <w:r>
        <w:t>Chesbrough</w:t>
      </w:r>
      <w:proofErr w:type="spellEnd"/>
      <w:r>
        <w:t>, H. (2014).</w:t>
      </w:r>
      <w:proofErr w:type="gramEnd"/>
      <w:r>
        <w:t xml:space="preserve"> Open innovation: The next decade. Research Policy, 43, 805-811.</w:t>
      </w:r>
    </w:p>
    <w:p w14:paraId="71EB089F" w14:textId="60B6B60B" w:rsidR="00985998" w:rsidRDefault="00985998" w:rsidP="00A2681A">
      <w:proofErr w:type="gramStart"/>
      <w:r>
        <w:t>Woods, A. and Joyce, P. (2003) Owner-managers and the practice of strategic management.</w:t>
      </w:r>
      <w:proofErr w:type="gramEnd"/>
      <w:r>
        <w:t xml:space="preserve"> International Small Business Journal, 21(2), 181-195.</w:t>
      </w:r>
    </w:p>
    <w:p w14:paraId="5D8A2282" w14:textId="48075C7E" w:rsidR="00A2681A" w:rsidRDefault="00DB0095" w:rsidP="00A2681A">
      <w:proofErr w:type="gramStart"/>
      <w:r>
        <w:t>Xiao, H., and</w:t>
      </w:r>
      <w:r w:rsidR="00A2681A">
        <w:t xml:space="preserve"> Smith, S. L. J. (2007).</w:t>
      </w:r>
      <w:proofErr w:type="gramEnd"/>
      <w:r w:rsidR="00A2681A">
        <w:t xml:space="preserve"> The use of tourism knowledge: research propositions. Annals of Tourism Research, 34(2), 310-331.</w:t>
      </w:r>
    </w:p>
    <w:p w14:paraId="175ACF5D" w14:textId="77777777" w:rsidR="00A2681A" w:rsidRDefault="00A2681A" w:rsidP="00A2681A">
      <w:proofErr w:type="gramStart"/>
      <w:r>
        <w:t>Zach, F. (2012).</w:t>
      </w:r>
      <w:proofErr w:type="gramEnd"/>
      <w:r>
        <w:t xml:space="preserve"> </w:t>
      </w:r>
      <w:proofErr w:type="gramStart"/>
      <w:r>
        <w:t>Partners and innovation in American destination marketing organisations.</w:t>
      </w:r>
      <w:proofErr w:type="gramEnd"/>
      <w:r>
        <w:t xml:space="preserve"> Journal of Travel Research, 51(4), 412-425.</w:t>
      </w:r>
    </w:p>
    <w:p w14:paraId="3DD1877C" w14:textId="35F1FF61" w:rsidR="0071190B" w:rsidRDefault="00A2681A" w:rsidP="00A2681A">
      <w:proofErr w:type="gramStart"/>
      <w:r>
        <w:t>Zahra, S.A. and George, G. (2002).</w:t>
      </w:r>
      <w:proofErr w:type="gramEnd"/>
      <w:r>
        <w:t xml:space="preserve"> Absorptive capacity: A review, reconceptualization, and extension.  Academy of Management Review, 27(2), 1</w:t>
      </w:r>
      <w:r w:rsidR="00A5452D">
        <w:t>85-203.</w:t>
      </w:r>
    </w:p>
    <w:p w14:paraId="2D9E88C7" w14:textId="77777777" w:rsidR="00A5452D" w:rsidRDefault="00A5452D" w:rsidP="00A5452D">
      <w:proofErr w:type="gramStart"/>
      <w:r>
        <w:t>Zheng, Y. and Yang, H. (2015).</w:t>
      </w:r>
      <w:proofErr w:type="gramEnd"/>
      <w:r>
        <w:t xml:space="preserve"> Does familiarity foster innovation? </w:t>
      </w:r>
      <w:proofErr w:type="gramStart"/>
      <w:r>
        <w:t xml:space="preserve">The impact of alliance partner </w:t>
      </w:r>
      <w:proofErr w:type="spellStart"/>
      <w:r>
        <w:t>repeatedness</w:t>
      </w:r>
      <w:proofErr w:type="spellEnd"/>
      <w:r>
        <w:t xml:space="preserve"> on breakthrough innovations.</w:t>
      </w:r>
      <w:proofErr w:type="gramEnd"/>
      <w:r>
        <w:t xml:space="preserve">  Journal of Management Studies, 52(2), 213 – 230.</w:t>
      </w:r>
    </w:p>
    <w:p w14:paraId="02122D8A" w14:textId="77777777" w:rsidR="00A5452D" w:rsidRPr="00A52FE1" w:rsidRDefault="00A5452D" w:rsidP="00A2681A"/>
    <w:sectPr w:rsidR="00A5452D" w:rsidRPr="00A52F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3B5D" w14:textId="77777777" w:rsidR="008E16E0" w:rsidRDefault="008E16E0" w:rsidP="00C51C43">
      <w:pPr>
        <w:spacing w:after="0" w:line="240" w:lineRule="auto"/>
      </w:pPr>
      <w:r>
        <w:separator/>
      </w:r>
    </w:p>
  </w:endnote>
  <w:endnote w:type="continuationSeparator" w:id="0">
    <w:p w14:paraId="46AAF469" w14:textId="77777777" w:rsidR="008E16E0" w:rsidRDefault="008E16E0" w:rsidP="00C5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76996"/>
      <w:docPartObj>
        <w:docPartGallery w:val="Page Numbers (Bottom of Page)"/>
        <w:docPartUnique/>
      </w:docPartObj>
    </w:sdtPr>
    <w:sdtEndPr>
      <w:rPr>
        <w:color w:val="808080" w:themeColor="background1" w:themeShade="80"/>
        <w:spacing w:val="60"/>
      </w:rPr>
    </w:sdtEndPr>
    <w:sdtContent>
      <w:p w14:paraId="4B698FD3" w14:textId="77777777" w:rsidR="008E16E0" w:rsidRDefault="008E16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273E">
          <w:rPr>
            <w:noProof/>
          </w:rPr>
          <w:t>23</w:t>
        </w:r>
        <w:r>
          <w:rPr>
            <w:noProof/>
          </w:rPr>
          <w:fldChar w:fldCharType="end"/>
        </w:r>
        <w:r>
          <w:t xml:space="preserve"> | </w:t>
        </w:r>
        <w:r>
          <w:rPr>
            <w:color w:val="808080" w:themeColor="background1" w:themeShade="80"/>
            <w:spacing w:val="60"/>
          </w:rPr>
          <w:t>Page</w:t>
        </w:r>
      </w:p>
    </w:sdtContent>
  </w:sdt>
  <w:p w14:paraId="2BBF8113" w14:textId="77777777" w:rsidR="008E16E0" w:rsidRDefault="008E1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4566" w14:textId="77777777" w:rsidR="008E16E0" w:rsidRDefault="008E16E0" w:rsidP="00C51C43">
      <w:pPr>
        <w:spacing w:after="0" w:line="240" w:lineRule="auto"/>
      </w:pPr>
      <w:r>
        <w:separator/>
      </w:r>
    </w:p>
  </w:footnote>
  <w:footnote w:type="continuationSeparator" w:id="0">
    <w:p w14:paraId="22F232B7" w14:textId="77777777" w:rsidR="008E16E0" w:rsidRDefault="008E16E0" w:rsidP="00C51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DEB"/>
    <w:multiLevelType w:val="multilevel"/>
    <w:tmpl w:val="40FC86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D135DDB"/>
    <w:multiLevelType w:val="hybridMultilevel"/>
    <w:tmpl w:val="671041C4"/>
    <w:lvl w:ilvl="0" w:tplc="D5FC9B5A">
      <w:start w:val="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E01BA"/>
    <w:multiLevelType w:val="hybridMultilevel"/>
    <w:tmpl w:val="C4F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50F4A"/>
    <w:multiLevelType w:val="hybridMultilevel"/>
    <w:tmpl w:val="C7DCF3AE"/>
    <w:lvl w:ilvl="0" w:tplc="9A48615E">
      <w:start w:val="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E40DB"/>
    <w:multiLevelType w:val="multilevel"/>
    <w:tmpl w:val="A8A44BF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D4009C7"/>
    <w:multiLevelType w:val="hybridMultilevel"/>
    <w:tmpl w:val="2D80E0EC"/>
    <w:lvl w:ilvl="0" w:tplc="1D886744">
      <w:start w:val="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B14526"/>
    <w:multiLevelType w:val="hybridMultilevel"/>
    <w:tmpl w:val="C7A2211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B6010F"/>
    <w:multiLevelType w:val="multilevel"/>
    <w:tmpl w:val="7214DA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4FB6012"/>
    <w:multiLevelType w:val="multilevel"/>
    <w:tmpl w:val="BF7CA7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585210B2"/>
    <w:multiLevelType w:val="multilevel"/>
    <w:tmpl w:val="40FC86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AC215A8"/>
    <w:multiLevelType w:val="hybridMultilevel"/>
    <w:tmpl w:val="464E6F4A"/>
    <w:lvl w:ilvl="0" w:tplc="5D002AEE">
      <w:start w:val="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F6BB5"/>
    <w:multiLevelType w:val="multilevel"/>
    <w:tmpl w:val="8F3A3E7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0880247"/>
    <w:multiLevelType w:val="hybridMultilevel"/>
    <w:tmpl w:val="A6BE70B0"/>
    <w:lvl w:ilvl="0" w:tplc="995E39C4">
      <w:start w:val="2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F15EEC"/>
    <w:multiLevelType w:val="hybridMultilevel"/>
    <w:tmpl w:val="15C0BF5C"/>
    <w:lvl w:ilvl="0" w:tplc="B9F47A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0"/>
  </w:num>
  <w:num w:numId="5">
    <w:abstractNumId w:val="5"/>
  </w:num>
  <w:num w:numId="6">
    <w:abstractNumId w:val="1"/>
  </w:num>
  <w:num w:numId="7">
    <w:abstractNumId w:val="13"/>
  </w:num>
  <w:num w:numId="8">
    <w:abstractNumId w:val="2"/>
  </w:num>
  <w:num w:numId="9">
    <w:abstractNumId w:val="9"/>
  </w:num>
  <w:num w:numId="10">
    <w:abstractNumId w:val="4"/>
  </w:num>
  <w:num w:numId="11">
    <w:abstractNumId w:val="0"/>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DF"/>
    <w:rsid w:val="00000A62"/>
    <w:rsid w:val="00000B33"/>
    <w:rsid w:val="00002415"/>
    <w:rsid w:val="000025DA"/>
    <w:rsid w:val="000056FD"/>
    <w:rsid w:val="00007695"/>
    <w:rsid w:val="00007F11"/>
    <w:rsid w:val="00015B18"/>
    <w:rsid w:val="000235E5"/>
    <w:rsid w:val="000261B4"/>
    <w:rsid w:val="00031E07"/>
    <w:rsid w:val="00035E68"/>
    <w:rsid w:val="000406F8"/>
    <w:rsid w:val="0004258E"/>
    <w:rsid w:val="000472F7"/>
    <w:rsid w:val="00052F61"/>
    <w:rsid w:val="00061791"/>
    <w:rsid w:val="0006273E"/>
    <w:rsid w:val="00063F45"/>
    <w:rsid w:val="00066FC0"/>
    <w:rsid w:val="000720A9"/>
    <w:rsid w:val="00077BB4"/>
    <w:rsid w:val="00086B3B"/>
    <w:rsid w:val="00091D45"/>
    <w:rsid w:val="000A15D0"/>
    <w:rsid w:val="000A67BA"/>
    <w:rsid w:val="000A6800"/>
    <w:rsid w:val="000A6F18"/>
    <w:rsid w:val="000B4EB5"/>
    <w:rsid w:val="000C24AD"/>
    <w:rsid w:val="000C2F5D"/>
    <w:rsid w:val="000C56C3"/>
    <w:rsid w:val="000D00E6"/>
    <w:rsid w:val="000D3CCF"/>
    <w:rsid w:val="000D65B1"/>
    <w:rsid w:val="000D7612"/>
    <w:rsid w:val="000E3DCA"/>
    <w:rsid w:val="000E7245"/>
    <w:rsid w:val="001021D7"/>
    <w:rsid w:val="001117EB"/>
    <w:rsid w:val="001161C7"/>
    <w:rsid w:val="00117570"/>
    <w:rsid w:val="00121353"/>
    <w:rsid w:val="0012448D"/>
    <w:rsid w:val="00132A5B"/>
    <w:rsid w:val="00134C9C"/>
    <w:rsid w:val="00135938"/>
    <w:rsid w:val="00136621"/>
    <w:rsid w:val="00141D13"/>
    <w:rsid w:val="00144F09"/>
    <w:rsid w:val="00151F75"/>
    <w:rsid w:val="001606C2"/>
    <w:rsid w:val="0016086D"/>
    <w:rsid w:val="00164D09"/>
    <w:rsid w:val="001749B1"/>
    <w:rsid w:val="0017746B"/>
    <w:rsid w:val="00180440"/>
    <w:rsid w:val="0018447D"/>
    <w:rsid w:val="00186C78"/>
    <w:rsid w:val="001940FD"/>
    <w:rsid w:val="001954D6"/>
    <w:rsid w:val="001A0879"/>
    <w:rsid w:val="001A334B"/>
    <w:rsid w:val="001A4563"/>
    <w:rsid w:val="001B0519"/>
    <w:rsid w:val="001B69A0"/>
    <w:rsid w:val="001B7CBA"/>
    <w:rsid w:val="001C70A1"/>
    <w:rsid w:val="001D327E"/>
    <w:rsid w:val="001E2780"/>
    <w:rsid w:val="001E7AF8"/>
    <w:rsid w:val="00202F6A"/>
    <w:rsid w:val="00206218"/>
    <w:rsid w:val="002073A7"/>
    <w:rsid w:val="002107FD"/>
    <w:rsid w:val="002139C5"/>
    <w:rsid w:val="002140F2"/>
    <w:rsid w:val="00222766"/>
    <w:rsid w:val="00227832"/>
    <w:rsid w:val="00234A00"/>
    <w:rsid w:val="00237FF8"/>
    <w:rsid w:val="002466CE"/>
    <w:rsid w:val="0024711E"/>
    <w:rsid w:val="0024750D"/>
    <w:rsid w:val="00247713"/>
    <w:rsid w:val="0026269A"/>
    <w:rsid w:val="002644C5"/>
    <w:rsid w:val="00264B30"/>
    <w:rsid w:val="002660DE"/>
    <w:rsid w:val="00271141"/>
    <w:rsid w:val="002828E6"/>
    <w:rsid w:val="00285CD4"/>
    <w:rsid w:val="002865E1"/>
    <w:rsid w:val="002B55C7"/>
    <w:rsid w:val="002C174D"/>
    <w:rsid w:val="002C30D6"/>
    <w:rsid w:val="002C4E67"/>
    <w:rsid w:val="002C76CF"/>
    <w:rsid w:val="002D0E6B"/>
    <w:rsid w:val="002D1F04"/>
    <w:rsid w:val="002D2B48"/>
    <w:rsid w:val="002D7D20"/>
    <w:rsid w:val="002E05F8"/>
    <w:rsid w:val="002E1206"/>
    <w:rsid w:val="002E2F69"/>
    <w:rsid w:val="002F01FA"/>
    <w:rsid w:val="002F274D"/>
    <w:rsid w:val="002F2866"/>
    <w:rsid w:val="002F4195"/>
    <w:rsid w:val="002F44B5"/>
    <w:rsid w:val="002F691B"/>
    <w:rsid w:val="00301420"/>
    <w:rsid w:val="0030533F"/>
    <w:rsid w:val="003054AA"/>
    <w:rsid w:val="003063E5"/>
    <w:rsid w:val="00311AB2"/>
    <w:rsid w:val="00313D1C"/>
    <w:rsid w:val="00315BD4"/>
    <w:rsid w:val="00321B46"/>
    <w:rsid w:val="00323325"/>
    <w:rsid w:val="003261C2"/>
    <w:rsid w:val="00327D2B"/>
    <w:rsid w:val="00336508"/>
    <w:rsid w:val="00336C54"/>
    <w:rsid w:val="00336CDD"/>
    <w:rsid w:val="0033745D"/>
    <w:rsid w:val="00337FA0"/>
    <w:rsid w:val="00344A48"/>
    <w:rsid w:val="0035020F"/>
    <w:rsid w:val="00355FE0"/>
    <w:rsid w:val="003615EC"/>
    <w:rsid w:val="00370BCF"/>
    <w:rsid w:val="00383138"/>
    <w:rsid w:val="00383A1C"/>
    <w:rsid w:val="00385284"/>
    <w:rsid w:val="00385868"/>
    <w:rsid w:val="00385E55"/>
    <w:rsid w:val="00396CEB"/>
    <w:rsid w:val="003A6653"/>
    <w:rsid w:val="003A6B3F"/>
    <w:rsid w:val="003B0E4E"/>
    <w:rsid w:val="003B11B1"/>
    <w:rsid w:val="003B58BF"/>
    <w:rsid w:val="003C3F36"/>
    <w:rsid w:val="003E149C"/>
    <w:rsid w:val="003E48A5"/>
    <w:rsid w:val="003F3E96"/>
    <w:rsid w:val="003F6E52"/>
    <w:rsid w:val="004012AE"/>
    <w:rsid w:val="00401F54"/>
    <w:rsid w:val="00404B1B"/>
    <w:rsid w:val="00407E1D"/>
    <w:rsid w:val="00411BF7"/>
    <w:rsid w:val="004124F2"/>
    <w:rsid w:val="00416169"/>
    <w:rsid w:val="00420806"/>
    <w:rsid w:val="004235B6"/>
    <w:rsid w:val="00424154"/>
    <w:rsid w:val="0042698A"/>
    <w:rsid w:val="00426AA9"/>
    <w:rsid w:val="00430388"/>
    <w:rsid w:val="00432455"/>
    <w:rsid w:val="004406D4"/>
    <w:rsid w:val="004442C1"/>
    <w:rsid w:val="00446A50"/>
    <w:rsid w:val="00452C48"/>
    <w:rsid w:val="00462024"/>
    <w:rsid w:val="00463E33"/>
    <w:rsid w:val="0046612B"/>
    <w:rsid w:val="00467B87"/>
    <w:rsid w:val="00475C06"/>
    <w:rsid w:val="00476941"/>
    <w:rsid w:val="004774AD"/>
    <w:rsid w:val="004874EA"/>
    <w:rsid w:val="004A0DC7"/>
    <w:rsid w:val="004A41F7"/>
    <w:rsid w:val="004B28B4"/>
    <w:rsid w:val="004B3C1B"/>
    <w:rsid w:val="004B60DC"/>
    <w:rsid w:val="004C279D"/>
    <w:rsid w:val="004C67E5"/>
    <w:rsid w:val="004C6FBB"/>
    <w:rsid w:val="004D40D6"/>
    <w:rsid w:val="004D44C1"/>
    <w:rsid w:val="004D6EDB"/>
    <w:rsid w:val="004E1F1D"/>
    <w:rsid w:val="004F1DD4"/>
    <w:rsid w:val="004F565B"/>
    <w:rsid w:val="004F712B"/>
    <w:rsid w:val="00503B58"/>
    <w:rsid w:val="0051165E"/>
    <w:rsid w:val="00513B8F"/>
    <w:rsid w:val="005160EB"/>
    <w:rsid w:val="00517EDA"/>
    <w:rsid w:val="00520570"/>
    <w:rsid w:val="005207B7"/>
    <w:rsid w:val="00522C04"/>
    <w:rsid w:val="00536C94"/>
    <w:rsid w:val="00541386"/>
    <w:rsid w:val="00541E8B"/>
    <w:rsid w:val="00542EB0"/>
    <w:rsid w:val="005430A7"/>
    <w:rsid w:val="00543E81"/>
    <w:rsid w:val="00546F6A"/>
    <w:rsid w:val="005508C9"/>
    <w:rsid w:val="00553C5C"/>
    <w:rsid w:val="0055632F"/>
    <w:rsid w:val="00564B31"/>
    <w:rsid w:val="0056662D"/>
    <w:rsid w:val="00567CBE"/>
    <w:rsid w:val="00567D4F"/>
    <w:rsid w:val="00571307"/>
    <w:rsid w:val="005833F2"/>
    <w:rsid w:val="00583632"/>
    <w:rsid w:val="00586431"/>
    <w:rsid w:val="00586FD2"/>
    <w:rsid w:val="00591710"/>
    <w:rsid w:val="00595CA2"/>
    <w:rsid w:val="005A1E7B"/>
    <w:rsid w:val="005A37D2"/>
    <w:rsid w:val="005A44CD"/>
    <w:rsid w:val="005A5B51"/>
    <w:rsid w:val="005B09CB"/>
    <w:rsid w:val="005C1230"/>
    <w:rsid w:val="005C5EC3"/>
    <w:rsid w:val="005C725F"/>
    <w:rsid w:val="005C793F"/>
    <w:rsid w:val="005C7994"/>
    <w:rsid w:val="005D01D5"/>
    <w:rsid w:val="005D6866"/>
    <w:rsid w:val="005D6C94"/>
    <w:rsid w:val="005D7C91"/>
    <w:rsid w:val="005E0A69"/>
    <w:rsid w:val="005E52A8"/>
    <w:rsid w:val="005E56EF"/>
    <w:rsid w:val="005E7A71"/>
    <w:rsid w:val="005F076B"/>
    <w:rsid w:val="00605D02"/>
    <w:rsid w:val="00615EB4"/>
    <w:rsid w:val="00616329"/>
    <w:rsid w:val="00623465"/>
    <w:rsid w:val="0062636D"/>
    <w:rsid w:val="00627C37"/>
    <w:rsid w:val="00642967"/>
    <w:rsid w:val="00645E0C"/>
    <w:rsid w:val="00645EDB"/>
    <w:rsid w:val="006521BC"/>
    <w:rsid w:val="00654F3B"/>
    <w:rsid w:val="006559AB"/>
    <w:rsid w:val="00656B70"/>
    <w:rsid w:val="00662FCA"/>
    <w:rsid w:val="006642C3"/>
    <w:rsid w:val="006648FE"/>
    <w:rsid w:val="00665D4D"/>
    <w:rsid w:val="00666789"/>
    <w:rsid w:val="0067464F"/>
    <w:rsid w:val="00676A19"/>
    <w:rsid w:val="00685BF5"/>
    <w:rsid w:val="0068643B"/>
    <w:rsid w:val="00693077"/>
    <w:rsid w:val="00697740"/>
    <w:rsid w:val="006979E1"/>
    <w:rsid w:val="006A04F2"/>
    <w:rsid w:val="006A3331"/>
    <w:rsid w:val="006B1628"/>
    <w:rsid w:val="006C6855"/>
    <w:rsid w:val="006D158D"/>
    <w:rsid w:val="006D24D4"/>
    <w:rsid w:val="006D260A"/>
    <w:rsid w:val="006D46E4"/>
    <w:rsid w:val="006E1D4A"/>
    <w:rsid w:val="006E6576"/>
    <w:rsid w:val="006E7009"/>
    <w:rsid w:val="00705030"/>
    <w:rsid w:val="007061D7"/>
    <w:rsid w:val="0071190B"/>
    <w:rsid w:val="00720639"/>
    <w:rsid w:val="00722F41"/>
    <w:rsid w:val="00723BAA"/>
    <w:rsid w:val="007243E1"/>
    <w:rsid w:val="00724632"/>
    <w:rsid w:val="00734E67"/>
    <w:rsid w:val="00736886"/>
    <w:rsid w:val="007423A6"/>
    <w:rsid w:val="007439EB"/>
    <w:rsid w:val="0075098A"/>
    <w:rsid w:val="00750BD4"/>
    <w:rsid w:val="0075215E"/>
    <w:rsid w:val="007526CE"/>
    <w:rsid w:val="00757E88"/>
    <w:rsid w:val="007601EA"/>
    <w:rsid w:val="007615E0"/>
    <w:rsid w:val="007641BE"/>
    <w:rsid w:val="00771BED"/>
    <w:rsid w:val="007746F3"/>
    <w:rsid w:val="00780FB4"/>
    <w:rsid w:val="0078127C"/>
    <w:rsid w:val="007815BF"/>
    <w:rsid w:val="00790578"/>
    <w:rsid w:val="00790D71"/>
    <w:rsid w:val="00794CA5"/>
    <w:rsid w:val="007A078A"/>
    <w:rsid w:val="007A52EE"/>
    <w:rsid w:val="007A54C3"/>
    <w:rsid w:val="007A6A56"/>
    <w:rsid w:val="007A7DDD"/>
    <w:rsid w:val="007B422A"/>
    <w:rsid w:val="007C09D4"/>
    <w:rsid w:val="007C5C3E"/>
    <w:rsid w:val="007C6359"/>
    <w:rsid w:val="007D02A0"/>
    <w:rsid w:val="007D398C"/>
    <w:rsid w:val="007E1922"/>
    <w:rsid w:val="007E66C0"/>
    <w:rsid w:val="007F1202"/>
    <w:rsid w:val="007F4536"/>
    <w:rsid w:val="007F68DA"/>
    <w:rsid w:val="0080023E"/>
    <w:rsid w:val="00801542"/>
    <w:rsid w:val="00803A4E"/>
    <w:rsid w:val="00805D59"/>
    <w:rsid w:val="00806B23"/>
    <w:rsid w:val="00806CF2"/>
    <w:rsid w:val="00811348"/>
    <w:rsid w:val="00815A37"/>
    <w:rsid w:val="00820970"/>
    <w:rsid w:val="0082215C"/>
    <w:rsid w:val="00822440"/>
    <w:rsid w:val="00823045"/>
    <w:rsid w:val="008343E3"/>
    <w:rsid w:val="00837B5A"/>
    <w:rsid w:val="00841F22"/>
    <w:rsid w:val="008467A5"/>
    <w:rsid w:val="008509AE"/>
    <w:rsid w:val="00851CB1"/>
    <w:rsid w:val="008523DF"/>
    <w:rsid w:val="00855D09"/>
    <w:rsid w:val="00857485"/>
    <w:rsid w:val="0086231E"/>
    <w:rsid w:val="00862465"/>
    <w:rsid w:val="00862AB3"/>
    <w:rsid w:val="00865D94"/>
    <w:rsid w:val="0086635D"/>
    <w:rsid w:val="00867409"/>
    <w:rsid w:val="0087016C"/>
    <w:rsid w:val="00874AA7"/>
    <w:rsid w:val="0087620F"/>
    <w:rsid w:val="0087625A"/>
    <w:rsid w:val="00881733"/>
    <w:rsid w:val="00883686"/>
    <w:rsid w:val="00885003"/>
    <w:rsid w:val="00886510"/>
    <w:rsid w:val="0088676C"/>
    <w:rsid w:val="00886ABE"/>
    <w:rsid w:val="008872B4"/>
    <w:rsid w:val="00887DFF"/>
    <w:rsid w:val="00894583"/>
    <w:rsid w:val="00895496"/>
    <w:rsid w:val="008A0431"/>
    <w:rsid w:val="008B113C"/>
    <w:rsid w:val="008B5216"/>
    <w:rsid w:val="008B7A9D"/>
    <w:rsid w:val="008C7FB4"/>
    <w:rsid w:val="008E16E0"/>
    <w:rsid w:val="008F1C2D"/>
    <w:rsid w:val="008F311F"/>
    <w:rsid w:val="008F44B1"/>
    <w:rsid w:val="008F4842"/>
    <w:rsid w:val="008F4C02"/>
    <w:rsid w:val="00905E40"/>
    <w:rsid w:val="00916BFA"/>
    <w:rsid w:val="00920DA7"/>
    <w:rsid w:val="009250A6"/>
    <w:rsid w:val="00937097"/>
    <w:rsid w:val="00941F41"/>
    <w:rsid w:val="00945287"/>
    <w:rsid w:val="00946C4D"/>
    <w:rsid w:val="00950E29"/>
    <w:rsid w:val="00960F4A"/>
    <w:rsid w:val="009647B8"/>
    <w:rsid w:val="00973D95"/>
    <w:rsid w:val="00975293"/>
    <w:rsid w:val="00977CC0"/>
    <w:rsid w:val="00981220"/>
    <w:rsid w:val="00981AEF"/>
    <w:rsid w:val="00982C16"/>
    <w:rsid w:val="00983555"/>
    <w:rsid w:val="00985998"/>
    <w:rsid w:val="00991209"/>
    <w:rsid w:val="00991DF5"/>
    <w:rsid w:val="00992CD5"/>
    <w:rsid w:val="00993A64"/>
    <w:rsid w:val="00993BDB"/>
    <w:rsid w:val="009975FC"/>
    <w:rsid w:val="00997A5D"/>
    <w:rsid w:val="009A6515"/>
    <w:rsid w:val="009B0272"/>
    <w:rsid w:val="009C3906"/>
    <w:rsid w:val="009C5B25"/>
    <w:rsid w:val="009C6245"/>
    <w:rsid w:val="009D0620"/>
    <w:rsid w:val="009D2441"/>
    <w:rsid w:val="009E144F"/>
    <w:rsid w:val="009E3AB1"/>
    <w:rsid w:val="009E5E0B"/>
    <w:rsid w:val="00A004CC"/>
    <w:rsid w:val="00A00A18"/>
    <w:rsid w:val="00A104E9"/>
    <w:rsid w:val="00A10ABE"/>
    <w:rsid w:val="00A1225E"/>
    <w:rsid w:val="00A17D30"/>
    <w:rsid w:val="00A21969"/>
    <w:rsid w:val="00A252B1"/>
    <w:rsid w:val="00A2681A"/>
    <w:rsid w:val="00A30DD2"/>
    <w:rsid w:val="00A359C4"/>
    <w:rsid w:val="00A35B1B"/>
    <w:rsid w:val="00A37AAB"/>
    <w:rsid w:val="00A42A3E"/>
    <w:rsid w:val="00A43D38"/>
    <w:rsid w:val="00A4685E"/>
    <w:rsid w:val="00A46E63"/>
    <w:rsid w:val="00A47860"/>
    <w:rsid w:val="00A52FE1"/>
    <w:rsid w:val="00A5452D"/>
    <w:rsid w:val="00A6034C"/>
    <w:rsid w:val="00A6469E"/>
    <w:rsid w:val="00A706AF"/>
    <w:rsid w:val="00A74203"/>
    <w:rsid w:val="00A7701F"/>
    <w:rsid w:val="00A811F3"/>
    <w:rsid w:val="00A8206C"/>
    <w:rsid w:val="00A930C8"/>
    <w:rsid w:val="00AA17F3"/>
    <w:rsid w:val="00AA6428"/>
    <w:rsid w:val="00AB55AE"/>
    <w:rsid w:val="00AC47CC"/>
    <w:rsid w:val="00AD0792"/>
    <w:rsid w:val="00AD11FF"/>
    <w:rsid w:val="00AD7FB8"/>
    <w:rsid w:val="00AE017B"/>
    <w:rsid w:val="00AE75EF"/>
    <w:rsid w:val="00AF71A8"/>
    <w:rsid w:val="00B04E42"/>
    <w:rsid w:val="00B052DA"/>
    <w:rsid w:val="00B073AB"/>
    <w:rsid w:val="00B07CE9"/>
    <w:rsid w:val="00B10F56"/>
    <w:rsid w:val="00B12593"/>
    <w:rsid w:val="00B15099"/>
    <w:rsid w:val="00B26953"/>
    <w:rsid w:val="00B27D22"/>
    <w:rsid w:val="00B322A8"/>
    <w:rsid w:val="00B3445A"/>
    <w:rsid w:val="00B3502A"/>
    <w:rsid w:val="00B35141"/>
    <w:rsid w:val="00B4745E"/>
    <w:rsid w:val="00B51D8D"/>
    <w:rsid w:val="00B6201F"/>
    <w:rsid w:val="00B66C01"/>
    <w:rsid w:val="00B70108"/>
    <w:rsid w:val="00B81D03"/>
    <w:rsid w:val="00B82251"/>
    <w:rsid w:val="00B82A52"/>
    <w:rsid w:val="00B82B66"/>
    <w:rsid w:val="00B84FC9"/>
    <w:rsid w:val="00B856AD"/>
    <w:rsid w:val="00B919BA"/>
    <w:rsid w:val="00B92166"/>
    <w:rsid w:val="00B92B42"/>
    <w:rsid w:val="00B96CC4"/>
    <w:rsid w:val="00B97A00"/>
    <w:rsid w:val="00BA3636"/>
    <w:rsid w:val="00BB015F"/>
    <w:rsid w:val="00BB3FAB"/>
    <w:rsid w:val="00BB7A82"/>
    <w:rsid w:val="00BC20EF"/>
    <w:rsid w:val="00BC4886"/>
    <w:rsid w:val="00BD10C2"/>
    <w:rsid w:val="00BD3F54"/>
    <w:rsid w:val="00BD56F1"/>
    <w:rsid w:val="00BF002E"/>
    <w:rsid w:val="00BF2EEC"/>
    <w:rsid w:val="00BF3137"/>
    <w:rsid w:val="00BF3E70"/>
    <w:rsid w:val="00BF5471"/>
    <w:rsid w:val="00C13407"/>
    <w:rsid w:val="00C13BB6"/>
    <w:rsid w:val="00C1748C"/>
    <w:rsid w:val="00C346B9"/>
    <w:rsid w:val="00C35906"/>
    <w:rsid w:val="00C51150"/>
    <w:rsid w:val="00C51C43"/>
    <w:rsid w:val="00C52639"/>
    <w:rsid w:val="00C536C5"/>
    <w:rsid w:val="00C5694F"/>
    <w:rsid w:val="00C66F33"/>
    <w:rsid w:val="00C73830"/>
    <w:rsid w:val="00C738A0"/>
    <w:rsid w:val="00C764EC"/>
    <w:rsid w:val="00C8400B"/>
    <w:rsid w:val="00C920E8"/>
    <w:rsid w:val="00C938FD"/>
    <w:rsid w:val="00C976B2"/>
    <w:rsid w:val="00CA0611"/>
    <w:rsid w:val="00CA3BB3"/>
    <w:rsid w:val="00CA5ED3"/>
    <w:rsid w:val="00CA689F"/>
    <w:rsid w:val="00CB1720"/>
    <w:rsid w:val="00CB26A0"/>
    <w:rsid w:val="00CC44D2"/>
    <w:rsid w:val="00CC739E"/>
    <w:rsid w:val="00CD1458"/>
    <w:rsid w:val="00CD7AFC"/>
    <w:rsid w:val="00CE293B"/>
    <w:rsid w:val="00CE442F"/>
    <w:rsid w:val="00CF0CDD"/>
    <w:rsid w:val="00CF64EB"/>
    <w:rsid w:val="00D0523B"/>
    <w:rsid w:val="00D06995"/>
    <w:rsid w:val="00D104D0"/>
    <w:rsid w:val="00D127AD"/>
    <w:rsid w:val="00D1442D"/>
    <w:rsid w:val="00D16B39"/>
    <w:rsid w:val="00D23058"/>
    <w:rsid w:val="00D2443D"/>
    <w:rsid w:val="00D259B8"/>
    <w:rsid w:val="00D275D8"/>
    <w:rsid w:val="00D27C74"/>
    <w:rsid w:val="00D3489E"/>
    <w:rsid w:val="00D353DD"/>
    <w:rsid w:val="00D37A3B"/>
    <w:rsid w:val="00D4067F"/>
    <w:rsid w:val="00D42B3A"/>
    <w:rsid w:val="00D46917"/>
    <w:rsid w:val="00D47EBD"/>
    <w:rsid w:val="00D519D3"/>
    <w:rsid w:val="00D52353"/>
    <w:rsid w:val="00D56A9F"/>
    <w:rsid w:val="00D57B30"/>
    <w:rsid w:val="00D57D93"/>
    <w:rsid w:val="00D600E0"/>
    <w:rsid w:val="00D629AD"/>
    <w:rsid w:val="00D62B9C"/>
    <w:rsid w:val="00D64847"/>
    <w:rsid w:val="00D64C9E"/>
    <w:rsid w:val="00D6684F"/>
    <w:rsid w:val="00D80BF0"/>
    <w:rsid w:val="00D82550"/>
    <w:rsid w:val="00D906C6"/>
    <w:rsid w:val="00D92C0B"/>
    <w:rsid w:val="00D92CA8"/>
    <w:rsid w:val="00D95057"/>
    <w:rsid w:val="00D963DB"/>
    <w:rsid w:val="00DA03DD"/>
    <w:rsid w:val="00DA7777"/>
    <w:rsid w:val="00DB0095"/>
    <w:rsid w:val="00DB200D"/>
    <w:rsid w:val="00DB3848"/>
    <w:rsid w:val="00DB6F9D"/>
    <w:rsid w:val="00DC6D3C"/>
    <w:rsid w:val="00DD2682"/>
    <w:rsid w:val="00DE54FD"/>
    <w:rsid w:val="00DF3547"/>
    <w:rsid w:val="00DF67AB"/>
    <w:rsid w:val="00E1089F"/>
    <w:rsid w:val="00E12906"/>
    <w:rsid w:val="00E14DFA"/>
    <w:rsid w:val="00E175A2"/>
    <w:rsid w:val="00E232CE"/>
    <w:rsid w:val="00E27676"/>
    <w:rsid w:val="00E33782"/>
    <w:rsid w:val="00E33F34"/>
    <w:rsid w:val="00E37E8B"/>
    <w:rsid w:val="00E405B1"/>
    <w:rsid w:val="00E42C62"/>
    <w:rsid w:val="00E45D9F"/>
    <w:rsid w:val="00E56EE1"/>
    <w:rsid w:val="00E57956"/>
    <w:rsid w:val="00E80E50"/>
    <w:rsid w:val="00E82501"/>
    <w:rsid w:val="00E9021A"/>
    <w:rsid w:val="00E908E0"/>
    <w:rsid w:val="00E9201A"/>
    <w:rsid w:val="00E92119"/>
    <w:rsid w:val="00E937EC"/>
    <w:rsid w:val="00EA2A31"/>
    <w:rsid w:val="00EA7923"/>
    <w:rsid w:val="00EB0D75"/>
    <w:rsid w:val="00EB111B"/>
    <w:rsid w:val="00EB17C5"/>
    <w:rsid w:val="00EB19A9"/>
    <w:rsid w:val="00EB473F"/>
    <w:rsid w:val="00EC28A6"/>
    <w:rsid w:val="00EC3C92"/>
    <w:rsid w:val="00EC5315"/>
    <w:rsid w:val="00EC61C2"/>
    <w:rsid w:val="00EC6533"/>
    <w:rsid w:val="00EC71F9"/>
    <w:rsid w:val="00EE3021"/>
    <w:rsid w:val="00EE4866"/>
    <w:rsid w:val="00EF17DF"/>
    <w:rsid w:val="00EF2119"/>
    <w:rsid w:val="00EF5021"/>
    <w:rsid w:val="00F00C88"/>
    <w:rsid w:val="00F01E3A"/>
    <w:rsid w:val="00F02824"/>
    <w:rsid w:val="00F02A99"/>
    <w:rsid w:val="00F05F4F"/>
    <w:rsid w:val="00F062E8"/>
    <w:rsid w:val="00F12793"/>
    <w:rsid w:val="00F13055"/>
    <w:rsid w:val="00F242D8"/>
    <w:rsid w:val="00F26431"/>
    <w:rsid w:val="00F27893"/>
    <w:rsid w:val="00F33388"/>
    <w:rsid w:val="00F33DCD"/>
    <w:rsid w:val="00F374A9"/>
    <w:rsid w:val="00F40CD3"/>
    <w:rsid w:val="00F4111E"/>
    <w:rsid w:val="00F51491"/>
    <w:rsid w:val="00F568CD"/>
    <w:rsid w:val="00F62892"/>
    <w:rsid w:val="00F629B6"/>
    <w:rsid w:val="00F650C6"/>
    <w:rsid w:val="00F75943"/>
    <w:rsid w:val="00F77953"/>
    <w:rsid w:val="00F90E7C"/>
    <w:rsid w:val="00F93ACF"/>
    <w:rsid w:val="00F93F51"/>
    <w:rsid w:val="00FB1361"/>
    <w:rsid w:val="00FB1736"/>
    <w:rsid w:val="00FB20AE"/>
    <w:rsid w:val="00FB2FA4"/>
    <w:rsid w:val="00FB373B"/>
    <w:rsid w:val="00FB522B"/>
    <w:rsid w:val="00FB57F7"/>
    <w:rsid w:val="00FB60C7"/>
    <w:rsid w:val="00FB70FF"/>
    <w:rsid w:val="00FB7964"/>
    <w:rsid w:val="00FC6F06"/>
    <w:rsid w:val="00FD2F39"/>
    <w:rsid w:val="00FD6031"/>
    <w:rsid w:val="00FD6790"/>
    <w:rsid w:val="00FD7284"/>
    <w:rsid w:val="00FE0ADE"/>
    <w:rsid w:val="00FE2E7E"/>
    <w:rsid w:val="00FE341C"/>
    <w:rsid w:val="00FF4A01"/>
    <w:rsid w:val="00FF53D8"/>
    <w:rsid w:val="00FF5891"/>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59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045"/>
    <w:rPr>
      <w:color w:val="0000FF" w:themeColor="hyperlink"/>
      <w:u w:val="single"/>
    </w:rPr>
  </w:style>
  <w:style w:type="paragraph" w:styleId="Header">
    <w:name w:val="header"/>
    <w:basedOn w:val="Normal"/>
    <w:link w:val="HeaderChar"/>
    <w:uiPriority w:val="99"/>
    <w:unhideWhenUsed/>
    <w:rsid w:val="00C5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43"/>
  </w:style>
  <w:style w:type="paragraph" w:styleId="Footer">
    <w:name w:val="footer"/>
    <w:basedOn w:val="Normal"/>
    <w:link w:val="FooterChar"/>
    <w:uiPriority w:val="99"/>
    <w:unhideWhenUsed/>
    <w:rsid w:val="00C5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43"/>
  </w:style>
  <w:style w:type="paragraph" w:styleId="ListParagraph">
    <w:name w:val="List Paragraph"/>
    <w:basedOn w:val="Normal"/>
    <w:uiPriority w:val="34"/>
    <w:qFormat/>
    <w:rsid w:val="00567CBE"/>
    <w:pPr>
      <w:ind w:left="720"/>
      <w:contextualSpacing/>
    </w:pPr>
    <w:rPr>
      <w:rFonts w:eastAsiaTheme="minorEastAsia"/>
      <w:lang w:eastAsia="en-GB"/>
    </w:rPr>
  </w:style>
  <w:style w:type="table" w:styleId="TableGrid">
    <w:name w:val="Table Grid"/>
    <w:basedOn w:val="TableNormal"/>
    <w:uiPriority w:val="59"/>
    <w:rsid w:val="00FB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9F"/>
    <w:rPr>
      <w:rFonts w:ascii="Tahoma" w:hAnsi="Tahoma" w:cs="Tahoma"/>
      <w:sz w:val="16"/>
      <w:szCs w:val="16"/>
    </w:rPr>
  </w:style>
  <w:style w:type="character" w:styleId="CommentReference">
    <w:name w:val="annotation reference"/>
    <w:basedOn w:val="DefaultParagraphFont"/>
    <w:uiPriority w:val="99"/>
    <w:semiHidden/>
    <w:unhideWhenUsed/>
    <w:rsid w:val="00905E40"/>
    <w:rPr>
      <w:sz w:val="16"/>
      <w:szCs w:val="16"/>
    </w:rPr>
  </w:style>
  <w:style w:type="paragraph" w:styleId="CommentText">
    <w:name w:val="annotation text"/>
    <w:basedOn w:val="Normal"/>
    <w:link w:val="CommentTextChar"/>
    <w:uiPriority w:val="99"/>
    <w:semiHidden/>
    <w:unhideWhenUsed/>
    <w:rsid w:val="00905E40"/>
    <w:pPr>
      <w:spacing w:line="240" w:lineRule="auto"/>
    </w:pPr>
    <w:rPr>
      <w:sz w:val="20"/>
      <w:szCs w:val="20"/>
    </w:rPr>
  </w:style>
  <w:style w:type="character" w:customStyle="1" w:styleId="CommentTextChar">
    <w:name w:val="Comment Text Char"/>
    <w:basedOn w:val="DefaultParagraphFont"/>
    <w:link w:val="CommentText"/>
    <w:uiPriority w:val="99"/>
    <w:semiHidden/>
    <w:rsid w:val="00905E40"/>
    <w:rPr>
      <w:sz w:val="20"/>
      <w:szCs w:val="20"/>
    </w:rPr>
  </w:style>
  <w:style w:type="paragraph" w:styleId="CommentSubject">
    <w:name w:val="annotation subject"/>
    <w:basedOn w:val="CommentText"/>
    <w:next w:val="CommentText"/>
    <w:link w:val="CommentSubjectChar"/>
    <w:uiPriority w:val="99"/>
    <w:semiHidden/>
    <w:unhideWhenUsed/>
    <w:rsid w:val="00905E40"/>
    <w:rPr>
      <w:b/>
      <w:bCs/>
    </w:rPr>
  </w:style>
  <w:style w:type="character" w:customStyle="1" w:styleId="CommentSubjectChar">
    <w:name w:val="Comment Subject Char"/>
    <w:basedOn w:val="CommentTextChar"/>
    <w:link w:val="CommentSubject"/>
    <w:uiPriority w:val="99"/>
    <w:semiHidden/>
    <w:rsid w:val="00905E40"/>
    <w:rPr>
      <w:b/>
      <w:bCs/>
      <w:sz w:val="20"/>
      <w:szCs w:val="20"/>
    </w:rPr>
  </w:style>
  <w:style w:type="paragraph" w:styleId="PlainText">
    <w:name w:val="Plain Text"/>
    <w:basedOn w:val="Normal"/>
    <w:link w:val="PlainTextChar"/>
    <w:uiPriority w:val="99"/>
    <w:unhideWhenUsed/>
    <w:rsid w:val="00D62B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62B9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045"/>
    <w:rPr>
      <w:color w:val="0000FF" w:themeColor="hyperlink"/>
      <w:u w:val="single"/>
    </w:rPr>
  </w:style>
  <w:style w:type="paragraph" w:styleId="Header">
    <w:name w:val="header"/>
    <w:basedOn w:val="Normal"/>
    <w:link w:val="HeaderChar"/>
    <w:uiPriority w:val="99"/>
    <w:unhideWhenUsed/>
    <w:rsid w:val="00C5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43"/>
  </w:style>
  <w:style w:type="paragraph" w:styleId="Footer">
    <w:name w:val="footer"/>
    <w:basedOn w:val="Normal"/>
    <w:link w:val="FooterChar"/>
    <w:uiPriority w:val="99"/>
    <w:unhideWhenUsed/>
    <w:rsid w:val="00C5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43"/>
  </w:style>
  <w:style w:type="paragraph" w:styleId="ListParagraph">
    <w:name w:val="List Paragraph"/>
    <w:basedOn w:val="Normal"/>
    <w:uiPriority w:val="34"/>
    <w:qFormat/>
    <w:rsid w:val="00567CBE"/>
    <w:pPr>
      <w:ind w:left="720"/>
      <w:contextualSpacing/>
    </w:pPr>
    <w:rPr>
      <w:rFonts w:eastAsiaTheme="minorEastAsia"/>
      <w:lang w:eastAsia="en-GB"/>
    </w:rPr>
  </w:style>
  <w:style w:type="table" w:styleId="TableGrid">
    <w:name w:val="Table Grid"/>
    <w:basedOn w:val="TableNormal"/>
    <w:uiPriority w:val="59"/>
    <w:rsid w:val="00FB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9F"/>
    <w:rPr>
      <w:rFonts w:ascii="Tahoma" w:hAnsi="Tahoma" w:cs="Tahoma"/>
      <w:sz w:val="16"/>
      <w:szCs w:val="16"/>
    </w:rPr>
  </w:style>
  <w:style w:type="character" w:styleId="CommentReference">
    <w:name w:val="annotation reference"/>
    <w:basedOn w:val="DefaultParagraphFont"/>
    <w:uiPriority w:val="99"/>
    <w:semiHidden/>
    <w:unhideWhenUsed/>
    <w:rsid w:val="00905E40"/>
    <w:rPr>
      <w:sz w:val="16"/>
      <w:szCs w:val="16"/>
    </w:rPr>
  </w:style>
  <w:style w:type="paragraph" w:styleId="CommentText">
    <w:name w:val="annotation text"/>
    <w:basedOn w:val="Normal"/>
    <w:link w:val="CommentTextChar"/>
    <w:uiPriority w:val="99"/>
    <w:semiHidden/>
    <w:unhideWhenUsed/>
    <w:rsid w:val="00905E40"/>
    <w:pPr>
      <w:spacing w:line="240" w:lineRule="auto"/>
    </w:pPr>
    <w:rPr>
      <w:sz w:val="20"/>
      <w:szCs w:val="20"/>
    </w:rPr>
  </w:style>
  <w:style w:type="character" w:customStyle="1" w:styleId="CommentTextChar">
    <w:name w:val="Comment Text Char"/>
    <w:basedOn w:val="DefaultParagraphFont"/>
    <w:link w:val="CommentText"/>
    <w:uiPriority w:val="99"/>
    <w:semiHidden/>
    <w:rsid w:val="00905E40"/>
    <w:rPr>
      <w:sz w:val="20"/>
      <w:szCs w:val="20"/>
    </w:rPr>
  </w:style>
  <w:style w:type="paragraph" w:styleId="CommentSubject">
    <w:name w:val="annotation subject"/>
    <w:basedOn w:val="CommentText"/>
    <w:next w:val="CommentText"/>
    <w:link w:val="CommentSubjectChar"/>
    <w:uiPriority w:val="99"/>
    <w:semiHidden/>
    <w:unhideWhenUsed/>
    <w:rsid w:val="00905E40"/>
    <w:rPr>
      <w:b/>
      <w:bCs/>
    </w:rPr>
  </w:style>
  <w:style w:type="character" w:customStyle="1" w:styleId="CommentSubjectChar">
    <w:name w:val="Comment Subject Char"/>
    <w:basedOn w:val="CommentTextChar"/>
    <w:link w:val="CommentSubject"/>
    <w:uiPriority w:val="99"/>
    <w:semiHidden/>
    <w:rsid w:val="00905E40"/>
    <w:rPr>
      <w:b/>
      <w:bCs/>
      <w:sz w:val="20"/>
      <w:szCs w:val="20"/>
    </w:rPr>
  </w:style>
  <w:style w:type="paragraph" w:styleId="PlainText">
    <w:name w:val="Plain Text"/>
    <w:basedOn w:val="Normal"/>
    <w:link w:val="PlainTextChar"/>
    <w:uiPriority w:val="99"/>
    <w:unhideWhenUsed/>
    <w:rsid w:val="00D62B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62B9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7168">
      <w:bodyDiv w:val="1"/>
      <w:marLeft w:val="0"/>
      <w:marRight w:val="0"/>
      <w:marTop w:val="0"/>
      <w:marBottom w:val="0"/>
      <w:divBdr>
        <w:top w:val="none" w:sz="0" w:space="0" w:color="auto"/>
        <w:left w:val="none" w:sz="0" w:space="0" w:color="auto"/>
        <w:bottom w:val="none" w:sz="0" w:space="0" w:color="auto"/>
        <w:right w:val="none" w:sz="0" w:space="0" w:color="auto"/>
      </w:divBdr>
    </w:div>
    <w:div w:id="291907016">
      <w:bodyDiv w:val="1"/>
      <w:marLeft w:val="0"/>
      <w:marRight w:val="0"/>
      <w:marTop w:val="0"/>
      <w:marBottom w:val="0"/>
      <w:divBdr>
        <w:top w:val="none" w:sz="0" w:space="0" w:color="auto"/>
        <w:left w:val="none" w:sz="0" w:space="0" w:color="auto"/>
        <w:bottom w:val="none" w:sz="0" w:space="0" w:color="auto"/>
        <w:right w:val="none" w:sz="0" w:space="0" w:color="auto"/>
      </w:divBdr>
    </w:div>
    <w:div w:id="424573723">
      <w:bodyDiv w:val="1"/>
      <w:marLeft w:val="0"/>
      <w:marRight w:val="0"/>
      <w:marTop w:val="0"/>
      <w:marBottom w:val="0"/>
      <w:divBdr>
        <w:top w:val="none" w:sz="0" w:space="0" w:color="auto"/>
        <w:left w:val="none" w:sz="0" w:space="0" w:color="auto"/>
        <w:bottom w:val="none" w:sz="0" w:space="0" w:color="auto"/>
        <w:right w:val="none" w:sz="0" w:space="0" w:color="auto"/>
      </w:divBdr>
    </w:div>
    <w:div w:id="497500565">
      <w:bodyDiv w:val="1"/>
      <w:marLeft w:val="0"/>
      <w:marRight w:val="0"/>
      <w:marTop w:val="0"/>
      <w:marBottom w:val="0"/>
      <w:divBdr>
        <w:top w:val="none" w:sz="0" w:space="0" w:color="auto"/>
        <w:left w:val="none" w:sz="0" w:space="0" w:color="auto"/>
        <w:bottom w:val="none" w:sz="0" w:space="0" w:color="auto"/>
        <w:right w:val="none" w:sz="0" w:space="0" w:color="auto"/>
      </w:divBdr>
    </w:div>
    <w:div w:id="945117357">
      <w:bodyDiv w:val="1"/>
      <w:marLeft w:val="0"/>
      <w:marRight w:val="0"/>
      <w:marTop w:val="0"/>
      <w:marBottom w:val="0"/>
      <w:divBdr>
        <w:top w:val="none" w:sz="0" w:space="0" w:color="auto"/>
        <w:left w:val="none" w:sz="0" w:space="0" w:color="auto"/>
        <w:bottom w:val="none" w:sz="0" w:space="0" w:color="auto"/>
        <w:right w:val="none" w:sz="0" w:space="0" w:color="auto"/>
      </w:divBdr>
      <w:divsChild>
        <w:div w:id="1400710178">
          <w:marLeft w:val="0"/>
          <w:marRight w:val="0"/>
          <w:marTop w:val="0"/>
          <w:marBottom w:val="0"/>
          <w:divBdr>
            <w:top w:val="none" w:sz="0" w:space="0" w:color="auto"/>
            <w:left w:val="none" w:sz="0" w:space="0" w:color="auto"/>
            <w:bottom w:val="none" w:sz="0" w:space="0" w:color="auto"/>
            <w:right w:val="none" w:sz="0" w:space="0" w:color="auto"/>
          </w:divBdr>
          <w:divsChild>
            <w:div w:id="1467308297">
              <w:marLeft w:val="0"/>
              <w:marRight w:val="0"/>
              <w:marTop w:val="0"/>
              <w:marBottom w:val="0"/>
              <w:divBdr>
                <w:top w:val="none" w:sz="0" w:space="0" w:color="auto"/>
                <w:left w:val="none" w:sz="0" w:space="0" w:color="auto"/>
                <w:bottom w:val="none" w:sz="0" w:space="0" w:color="auto"/>
                <w:right w:val="none" w:sz="0" w:space="0" w:color="auto"/>
              </w:divBdr>
              <w:divsChild>
                <w:div w:id="1988633144">
                  <w:marLeft w:val="0"/>
                  <w:marRight w:val="0"/>
                  <w:marTop w:val="0"/>
                  <w:marBottom w:val="0"/>
                  <w:divBdr>
                    <w:top w:val="none" w:sz="0" w:space="0" w:color="auto"/>
                    <w:left w:val="none" w:sz="0" w:space="0" w:color="auto"/>
                    <w:bottom w:val="none" w:sz="0" w:space="0" w:color="auto"/>
                    <w:right w:val="none" w:sz="0" w:space="0" w:color="auto"/>
                  </w:divBdr>
                  <w:divsChild>
                    <w:div w:id="1765610727">
                      <w:marLeft w:val="0"/>
                      <w:marRight w:val="0"/>
                      <w:marTop w:val="0"/>
                      <w:marBottom w:val="0"/>
                      <w:divBdr>
                        <w:top w:val="none" w:sz="0" w:space="0" w:color="auto"/>
                        <w:left w:val="none" w:sz="0" w:space="0" w:color="auto"/>
                        <w:bottom w:val="none" w:sz="0" w:space="0" w:color="auto"/>
                        <w:right w:val="none" w:sz="0" w:space="0" w:color="auto"/>
                      </w:divBdr>
                      <w:divsChild>
                        <w:div w:id="1467428583">
                          <w:marLeft w:val="0"/>
                          <w:marRight w:val="0"/>
                          <w:marTop w:val="0"/>
                          <w:marBottom w:val="0"/>
                          <w:divBdr>
                            <w:top w:val="none" w:sz="0" w:space="0" w:color="auto"/>
                            <w:left w:val="none" w:sz="0" w:space="0" w:color="auto"/>
                            <w:bottom w:val="none" w:sz="0" w:space="0" w:color="auto"/>
                            <w:right w:val="none" w:sz="0" w:space="0" w:color="auto"/>
                          </w:divBdr>
                          <w:divsChild>
                            <w:div w:id="777260395">
                              <w:marLeft w:val="0"/>
                              <w:marRight w:val="0"/>
                              <w:marTop w:val="0"/>
                              <w:marBottom w:val="0"/>
                              <w:divBdr>
                                <w:top w:val="none" w:sz="0" w:space="0" w:color="auto"/>
                                <w:left w:val="none" w:sz="0" w:space="0" w:color="auto"/>
                                <w:bottom w:val="none" w:sz="0" w:space="0" w:color="auto"/>
                                <w:right w:val="none" w:sz="0" w:space="0" w:color="auto"/>
                              </w:divBdr>
                              <w:divsChild>
                                <w:div w:id="13065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93011">
      <w:bodyDiv w:val="1"/>
      <w:marLeft w:val="0"/>
      <w:marRight w:val="0"/>
      <w:marTop w:val="0"/>
      <w:marBottom w:val="0"/>
      <w:divBdr>
        <w:top w:val="none" w:sz="0" w:space="0" w:color="auto"/>
        <w:left w:val="none" w:sz="0" w:space="0" w:color="auto"/>
        <w:bottom w:val="none" w:sz="0" w:space="0" w:color="auto"/>
        <w:right w:val="none" w:sz="0" w:space="0" w:color="auto"/>
      </w:divBdr>
      <w:divsChild>
        <w:div w:id="595990051">
          <w:marLeft w:val="0"/>
          <w:marRight w:val="0"/>
          <w:marTop w:val="0"/>
          <w:marBottom w:val="0"/>
          <w:divBdr>
            <w:top w:val="none" w:sz="0" w:space="0" w:color="auto"/>
            <w:left w:val="none" w:sz="0" w:space="0" w:color="auto"/>
            <w:bottom w:val="none" w:sz="0" w:space="0" w:color="auto"/>
            <w:right w:val="none" w:sz="0" w:space="0" w:color="auto"/>
          </w:divBdr>
          <w:divsChild>
            <w:div w:id="637884143">
              <w:marLeft w:val="0"/>
              <w:marRight w:val="0"/>
              <w:marTop w:val="0"/>
              <w:marBottom w:val="0"/>
              <w:divBdr>
                <w:top w:val="none" w:sz="0" w:space="0" w:color="auto"/>
                <w:left w:val="none" w:sz="0" w:space="0" w:color="auto"/>
                <w:bottom w:val="none" w:sz="0" w:space="0" w:color="auto"/>
                <w:right w:val="none" w:sz="0" w:space="0" w:color="auto"/>
              </w:divBdr>
              <w:divsChild>
                <w:div w:id="670566188">
                  <w:marLeft w:val="0"/>
                  <w:marRight w:val="0"/>
                  <w:marTop w:val="0"/>
                  <w:marBottom w:val="0"/>
                  <w:divBdr>
                    <w:top w:val="none" w:sz="0" w:space="0" w:color="auto"/>
                    <w:left w:val="none" w:sz="0" w:space="0" w:color="auto"/>
                    <w:bottom w:val="none" w:sz="0" w:space="0" w:color="auto"/>
                    <w:right w:val="none" w:sz="0" w:space="0" w:color="auto"/>
                  </w:divBdr>
                  <w:divsChild>
                    <w:div w:id="797379422">
                      <w:marLeft w:val="0"/>
                      <w:marRight w:val="0"/>
                      <w:marTop w:val="0"/>
                      <w:marBottom w:val="0"/>
                      <w:divBdr>
                        <w:top w:val="none" w:sz="0" w:space="0" w:color="auto"/>
                        <w:left w:val="none" w:sz="0" w:space="0" w:color="auto"/>
                        <w:bottom w:val="none" w:sz="0" w:space="0" w:color="auto"/>
                        <w:right w:val="none" w:sz="0" w:space="0" w:color="auto"/>
                      </w:divBdr>
                      <w:divsChild>
                        <w:div w:id="1179587657">
                          <w:marLeft w:val="0"/>
                          <w:marRight w:val="0"/>
                          <w:marTop w:val="0"/>
                          <w:marBottom w:val="0"/>
                          <w:divBdr>
                            <w:top w:val="none" w:sz="0" w:space="0" w:color="auto"/>
                            <w:left w:val="none" w:sz="0" w:space="0" w:color="auto"/>
                            <w:bottom w:val="none" w:sz="0" w:space="0" w:color="auto"/>
                            <w:right w:val="none" w:sz="0" w:space="0" w:color="auto"/>
                          </w:divBdr>
                          <w:divsChild>
                            <w:div w:id="1639411411">
                              <w:marLeft w:val="0"/>
                              <w:marRight w:val="0"/>
                              <w:marTop w:val="0"/>
                              <w:marBottom w:val="0"/>
                              <w:divBdr>
                                <w:top w:val="none" w:sz="0" w:space="0" w:color="auto"/>
                                <w:left w:val="none" w:sz="0" w:space="0" w:color="auto"/>
                                <w:bottom w:val="none" w:sz="0" w:space="0" w:color="auto"/>
                                <w:right w:val="none" w:sz="0" w:space="0" w:color="auto"/>
                              </w:divBdr>
                              <w:divsChild>
                                <w:div w:id="20651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3740">
      <w:bodyDiv w:val="1"/>
      <w:marLeft w:val="0"/>
      <w:marRight w:val="0"/>
      <w:marTop w:val="0"/>
      <w:marBottom w:val="0"/>
      <w:divBdr>
        <w:top w:val="none" w:sz="0" w:space="0" w:color="auto"/>
        <w:left w:val="none" w:sz="0" w:space="0" w:color="auto"/>
        <w:bottom w:val="none" w:sz="0" w:space="0" w:color="auto"/>
        <w:right w:val="none" w:sz="0" w:space="0" w:color="auto"/>
      </w:divBdr>
    </w:div>
    <w:div w:id="16892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FDBE-BF85-4CBE-AF30-CD556968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28</Pages>
  <Words>9827</Words>
  <Characters>56020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thomas07</dc:creator>
  <cp:lastModifiedBy>thomas07</cp:lastModifiedBy>
  <cp:revision>9</cp:revision>
  <cp:lastPrinted>2015-04-17T15:37:00Z</cp:lastPrinted>
  <dcterms:created xsi:type="dcterms:W3CDTF">2015-04-14T13:42:00Z</dcterms:created>
  <dcterms:modified xsi:type="dcterms:W3CDTF">2015-06-30T17:08:00Z</dcterms:modified>
</cp:coreProperties>
</file>