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C1" w:rsidRDefault="007C1EC1" w:rsidP="007C1EC1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Book Review: </w:t>
      </w:r>
    </w:p>
    <w:p w:rsidR="007C1EC1" w:rsidRDefault="007C1EC1" w:rsidP="007C1EC1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1EC1" w:rsidRDefault="007C1EC1" w:rsidP="007C1EC1">
      <w:pPr>
        <w:pStyle w:val="NoSpacing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C1EC1">
        <w:rPr>
          <w:rFonts w:ascii="Arial" w:hAnsi="Arial" w:cs="Arial"/>
          <w:sz w:val="24"/>
          <w:szCs w:val="24"/>
        </w:rPr>
        <w:t>Pentti</w:t>
      </w:r>
      <w:proofErr w:type="spellEnd"/>
      <w:r w:rsidRPr="007C1E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1EC1">
        <w:rPr>
          <w:rFonts w:ascii="Arial" w:hAnsi="Arial" w:cs="Arial"/>
          <w:sz w:val="24"/>
          <w:szCs w:val="24"/>
        </w:rPr>
        <w:t>Haddington</w:t>
      </w:r>
      <w:proofErr w:type="spellEnd"/>
      <w:r w:rsidRPr="007C1E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1EC1">
        <w:rPr>
          <w:rFonts w:ascii="Arial" w:hAnsi="Arial" w:cs="Arial"/>
          <w:sz w:val="24"/>
          <w:szCs w:val="24"/>
        </w:rPr>
        <w:t>Lorenza</w:t>
      </w:r>
      <w:proofErr w:type="spellEnd"/>
      <w:r w:rsidRPr="007C1E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1EC1">
        <w:rPr>
          <w:rFonts w:ascii="Arial" w:hAnsi="Arial" w:cs="Arial"/>
          <w:sz w:val="24"/>
          <w:szCs w:val="24"/>
        </w:rPr>
        <w:t>Mondada</w:t>
      </w:r>
      <w:proofErr w:type="spellEnd"/>
      <w:r w:rsidRPr="007C1EC1">
        <w:rPr>
          <w:rFonts w:ascii="Arial" w:hAnsi="Arial" w:cs="Arial"/>
          <w:sz w:val="24"/>
          <w:szCs w:val="24"/>
        </w:rPr>
        <w:t xml:space="preserve"> and Maurice Nevile (</w:t>
      </w:r>
      <w:proofErr w:type="spellStart"/>
      <w:proofErr w:type="gramStart"/>
      <w:r w:rsidRPr="007C1EC1">
        <w:rPr>
          <w:rFonts w:ascii="Arial" w:hAnsi="Arial" w:cs="Arial"/>
          <w:sz w:val="24"/>
          <w:szCs w:val="24"/>
        </w:rPr>
        <w:t>eds</w:t>
      </w:r>
      <w:proofErr w:type="spellEnd"/>
      <w:proofErr w:type="gramEnd"/>
      <w:r w:rsidRPr="007C1EC1">
        <w:rPr>
          <w:rFonts w:ascii="Arial" w:hAnsi="Arial" w:cs="Arial"/>
          <w:sz w:val="24"/>
          <w:szCs w:val="24"/>
        </w:rPr>
        <w:t xml:space="preserve">), </w:t>
      </w:r>
      <w:r w:rsidRPr="007C1EC1">
        <w:rPr>
          <w:rFonts w:ascii="Arial" w:hAnsi="Arial" w:cs="Arial"/>
          <w:i/>
          <w:iCs/>
          <w:sz w:val="24"/>
          <w:szCs w:val="24"/>
        </w:rPr>
        <w:t>Interaction and Mobility: Language</w:t>
      </w:r>
      <w:r w:rsidRPr="007C1EC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i/>
          <w:iCs/>
          <w:color w:val="000000"/>
          <w:sz w:val="24"/>
          <w:szCs w:val="24"/>
        </w:rPr>
        <w:t>and the Body in Motion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, Berlin and Boston, MA: Walter de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Gruyter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7C1EC1" w:rsidRPr="007C1EC1" w:rsidRDefault="007C1EC1" w:rsidP="007C1EC1">
      <w:pPr>
        <w:pStyle w:val="NoSpacing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C1EC1" w:rsidRDefault="007C1EC1" w:rsidP="007C1EC1">
      <w:pPr>
        <w:pStyle w:val="NoSpacing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1EC1">
        <w:rPr>
          <w:rFonts w:ascii="Arial" w:hAnsi="Arial" w:cs="Arial"/>
          <w:color w:val="000000"/>
          <w:sz w:val="24"/>
          <w:szCs w:val="24"/>
        </w:rPr>
        <w:t>This ambitious volume sets itself the challenge of ex</w:t>
      </w:r>
      <w:r>
        <w:rPr>
          <w:rFonts w:ascii="Arial" w:hAnsi="Arial" w:cs="Arial"/>
          <w:color w:val="000000"/>
          <w:sz w:val="24"/>
          <w:szCs w:val="24"/>
        </w:rPr>
        <w:t xml:space="preserve">ploring embodied interaction in </w:t>
      </w:r>
      <w:r w:rsidRPr="007C1EC1">
        <w:rPr>
          <w:rFonts w:ascii="Arial" w:hAnsi="Arial" w:cs="Arial"/>
          <w:color w:val="000000"/>
          <w:sz w:val="24"/>
          <w:szCs w:val="24"/>
        </w:rPr>
        <w:t>various contexts of mobility. Its 11 papers address the dynamic ter</w:t>
      </w:r>
      <w:r>
        <w:rPr>
          <w:rFonts w:ascii="Arial" w:hAnsi="Arial" w:cs="Arial"/>
          <w:color w:val="000000"/>
          <w:sz w:val="24"/>
          <w:szCs w:val="24"/>
        </w:rPr>
        <w:t xml:space="preserve">rain of verbal and nonverbal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interaction in a variety of contexts and settings where </w:t>
      </w:r>
      <w:r>
        <w:rPr>
          <w:rFonts w:ascii="Arial" w:hAnsi="Arial" w:cs="Arial"/>
          <w:color w:val="000000"/>
          <w:sz w:val="24"/>
          <w:szCs w:val="24"/>
        </w:rPr>
        <w:t xml:space="preserve">bodies, either real or virtual, are in motion. </w:t>
      </w:r>
      <w:r w:rsidRPr="007C1EC1">
        <w:rPr>
          <w:rFonts w:ascii="Arial" w:hAnsi="Arial" w:cs="Arial"/>
          <w:color w:val="000000"/>
          <w:sz w:val="24"/>
          <w:szCs w:val="24"/>
        </w:rPr>
        <w:t>These different contexts and interactional ecologie</w:t>
      </w:r>
      <w:r>
        <w:rPr>
          <w:rFonts w:ascii="Arial" w:hAnsi="Arial" w:cs="Arial"/>
          <w:color w:val="000000"/>
          <w:sz w:val="24"/>
          <w:szCs w:val="24"/>
        </w:rPr>
        <w:t xml:space="preserve">s are organized in four themes, </w:t>
      </w:r>
      <w:r w:rsidRPr="007C1EC1">
        <w:rPr>
          <w:rFonts w:ascii="Arial" w:hAnsi="Arial" w:cs="Arial"/>
          <w:color w:val="000000"/>
          <w:sz w:val="24"/>
          <w:szCs w:val="24"/>
        </w:rPr>
        <w:t>supplemented by a fascinating and extensive Introductio</w:t>
      </w:r>
      <w:r>
        <w:rPr>
          <w:rFonts w:ascii="Arial" w:hAnsi="Arial" w:cs="Arial"/>
          <w:color w:val="000000"/>
          <w:sz w:val="24"/>
          <w:szCs w:val="24"/>
        </w:rPr>
        <w:t xml:space="preserve">n, as well as a brief Epilogue. </w:t>
      </w:r>
    </w:p>
    <w:p w:rsidR="007C1EC1" w:rsidRPr="007C1EC1" w:rsidRDefault="007C1EC1" w:rsidP="007C1EC1">
      <w:pPr>
        <w:pStyle w:val="NoSpacing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1EC1">
        <w:rPr>
          <w:rFonts w:ascii="Arial" w:hAnsi="Arial" w:cs="Arial"/>
          <w:color w:val="000000"/>
          <w:sz w:val="24"/>
          <w:szCs w:val="24"/>
        </w:rPr>
        <w:t>The first theme, ‘Staging and collaborating for mobility</w:t>
      </w:r>
      <w:r>
        <w:rPr>
          <w:rFonts w:ascii="Arial" w:hAnsi="Arial" w:cs="Arial"/>
          <w:color w:val="000000"/>
          <w:sz w:val="24"/>
          <w:szCs w:val="24"/>
        </w:rPr>
        <w:t xml:space="preserve">’, comprises four chapters that </w:t>
      </w:r>
      <w:r w:rsidRPr="007C1EC1">
        <w:rPr>
          <w:rFonts w:ascii="Arial" w:hAnsi="Arial" w:cs="Arial"/>
          <w:color w:val="000000"/>
          <w:sz w:val="24"/>
          <w:szCs w:val="24"/>
        </w:rPr>
        <w:t>concentrate their attention on the navigation of space. Beginnin</w:t>
      </w:r>
      <w:r>
        <w:rPr>
          <w:rFonts w:ascii="Arial" w:hAnsi="Arial" w:cs="Arial"/>
          <w:color w:val="000000"/>
          <w:sz w:val="24"/>
          <w:szCs w:val="24"/>
        </w:rPr>
        <w:t xml:space="preserve">g with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Lehn’s consideration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of couples negotiating their transit around </w:t>
      </w:r>
      <w:r>
        <w:rPr>
          <w:rFonts w:ascii="Arial" w:hAnsi="Arial" w:cs="Arial"/>
          <w:color w:val="000000"/>
          <w:sz w:val="24"/>
          <w:szCs w:val="24"/>
        </w:rPr>
        <w:t xml:space="preserve">an art gallery, we move through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Broth and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Lundstrom’s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analysis of waterside conversatio</w:t>
      </w:r>
      <w:r>
        <w:rPr>
          <w:rFonts w:ascii="Arial" w:hAnsi="Arial" w:cs="Arial"/>
          <w:color w:val="000000"/>
          <w:sz w:val="24"/>
          <w:szCs w:val="24"/>
        </w:rPr>
        <w:t xml:space="preserve">ns at a marina, to De Stefani’s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observations of shoppers in a supermarket and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Nevile’s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scrutiny of interactions in the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more confined space of a battlefield helicopter. These </w:t>
      </w:r>
      <w:r>
        <w:rPr>
          <w:rFonts w:ascii="Arial" w:hAnsi="Arial" w:cs="Arial"/>
          <w:color w:val="000000"/>
          <w:sz w:val="24"/>
          <w:szCs w:val="24"/>
        </w:rPr>
        <w:t xml:space="preserve">four opening chapters serve the </w:t>
      </w:r>
      <w:r w:rsidRPr="007C1EC1">
        <w:rPr>
          <w:rFonts w:ascii="Arial" w:hAnsi="Arial" w:cs="Arial"/>
          <w:color w:val="000000"/>
          <w:sz w:val="24"/>
          <w:szCs w:val="24"/>
        </w:rPr>
        <w:t>book well in establishing the breadth of analytic approac</w:t>
      </w:r>
      <w:r>
        <w:rPr>
          <w:rFonts w:ascii="Arial" w:hAnsi="Arial" w:cs="Arial"/>
          <w:color w:val="000000"/>
          <w:sz w:val="24"/>
          <w:szCs w:val="24"/>
        </w:rPr>
        <w:t xml:space="preserve">hes, as well as its interest in </w:t>
      </w:r>
      <w:r w:rsidRPr="007C1EC1">
        <w:rPr>
          <w:rFonts w:ascii="Arial" w:hAnsi="Arial" w:cs="Arial"/>
          <w:color w:val="000000"/>
          <w:sz w:val="24"/>
          <w:szCs w:val="24"/>
        </w:rPr>
        <w:t>mobility in both open arenas and those defined by physical or activity-specific confinement.</w:t>
      </w:r>
    </w:p>
    <w:p w:rsidR="007C1EC1" w:rsidRPr="007C1EC1" w:rsidRDefault="007C1EC1" w:rsidP="007C1EC1">
      <w:pPr>
        <w:pStyle w:val="NoSpacing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1EC1">
        <w:rPr>
          <w:rFonts w:ascii="Arial" w:hAnsi="Arial" w:cs="Arial"/>
          <w:color w:val="000000"/>
          <w:sz w:val="24"/>
          <w:szCs w:val="24"/>
        </w:rPr>
        <w:t>‘Projecting and engaging mobility’, the book’s second</w:t>
      </w:r>
      <w:r>
        <w:rPr>
          <w:rFonts w:ascii="Arial" w:hAnsi="Arial" w:cs="Arial"/>
          <w:color w:val="000000"/>
          <w:sz w:val="24"/>
          <w:szCs w:val="24"/>
        </w:rPr>
        <w:t xml:space="preserve"> theme, continues this interest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in confined spaces by focusing on interaction in the </w:t>
      </w:r>
      <w:r>
        <w:rPr>
          <w:rFonts w:ascii="Arial" w:hAnsi="Arial" w:cs="Arial"/>
          <w:color w:val="000000"/>
          <w:sz w:val="24"/>
          <w:szCs w:val="24"/>
        </w:rPr>
        <w:t xml:space="preserve">restricted environment of motor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vehicles.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Haddington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considers the interactions between passe</w:t>
      </w:r>
      <w:r>
        <w:rPr>
          <w:rFonts w:ascii="Arial" w:hAnsi="Arial" w:cs="Arial"/>
          <w:color w:val="000000"/>
          <w:sz w:val="24"/>
          <w:szCs w:val="24"/>
        </w:rPr>
        <w:t xml:space="preserve">ngers and drivers at junctions,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while Laurier concentrates his analysis on the </w:t>
      </w:r>
      <w:r>
        <w:rPr>
          <w:rFonts w:ascii="Arial" w:hAnsi="Arial" w:cs="Arial"/>
          <w:color w:val="000000"/>
          <w:sz w:val="24"/>
          <w:szCs w:val="24"/>
        </w:rPr>
        <w:t xml:space="preserve">occupants of vehicles entering, </w:t>
      </w:r>
      <w:r w:rsidRPr="007C1EC1">
        <w:rPr>
          <w:rFonts w:ascii="Arial" w:hAnsi="Arial" w:cs="Arial"/>
          <w:color w:val="000000"/>
          <w:sz w:val="24"/>
          <w:szCs w:val="24"/>
        </w:rPr>
        <w:t>trav</w:t>
      </w:r>
      <w:r>
        <w:rPr>
          <w:rFonts w:ascii="Arial" w:hAnsi="Arial" w:cs="Arial"/>
          <w:color w:val="000000"/>
          <w:sz w:val="24"/>
          <w:szCs w:val="24"/>
        </w:rPr>
        <w:t xml:space="preserve">ersing and exiting roundabouts. </w:t>
      </w:r>
      <w:r w:rsidRPr="007C1EC1">
        <w:rPr>
          <w:rFonts w:ascii="Arial" w:hAnsi="Arial" w:cs="Arial"/>
          <w:color w:val="000000"/>
          <w:sz w:val="24"/>
          <w:szCs w:val="24"/>
        </w:rPr>
        <w:t>Having considered mobility and the extension of the relat</w:t>
      </w:r>
      <w:r>
        <w:rPr>
          <w:rFonts w:ascii="Arial" w:hAnsi="Arial" w:cs="Arial"/>
          <w:color w:val="000000"/>
          <w:sz w:val="24"/>
          <w:szCs w:val="24"/>
        </w:rPr>
        <w:t xml:space="preserve">ively still body in a mobile </w:t>
      </w:r>
      <w:r w:rsidRPr="007C1EC1">
        <w:rPr>
          <w:rFonts w:ascii="Arial" w:hAnsi="Arial" w:cs="Arial"/>
          <w:color w:val="000000"/>
          <w:sz w:val="24"/>
          <w:szCs w:val="24"/>
        </w:rPr>
        <w:t>environment, the penultimate theme addresses the coordin</w:t>
      </w:r>
      <w:r>
        <w:rPr>
          <w:rFonts w:ascii="Arial" w:hAnsi="Arial" w:cs="Arial"/>
          <w:color w:val="000000"/>
          <w:sz w:val="24"/>
          <w:szCs w:val="24"/>
        </w:rPr>
        <w:t xml:space="preserve">ation and control of mobilities </w:t>
      </w:r>
      <w:r w:rsidRPr="007C1EC1">
        <w:rPr>
          <w:rFonts w:ascii="Arial" w:hAnsi="Arial" w:cs="Arial"/>
          <w:color w:val="000000"/>
          <w:sz w:val="24"/>
          <w:szCs w:val="24"/>
        </w:rPr>
        <w:t>from a distance. The three chapters in this section cove</w:t>
      </w:r>
      <w:r>
        <w:rPr>
          <w:rFonts w:ascii="Arial" w:hAnsi="Arial" w:cs="Arial"/>
          <w:color w:val="000000"/>
          <w:sz w:val="24"/>
          <w:szCs w:val="24"/>
        </w:rPr>
        <w:t xml:space="preserve">r the management of airspace by </w:t>
      </w:r>
      <w:r w:rsidRPr="007C1EC1">
        <w:rPr>
          <w:rFonts w:ascii="Arial" w:hAnsi="Arial" w:cs="Arial"/>
          <w:color w:val="000000"/>
          <w:sz w:val="24"/>
          <w:szCs w:val="24"/>
        </w:rPr>
        <w:t>air traffic controllers (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Koskela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Arminen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Palukka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>), th</w:t>
      </w:r>
      <w:r>
        <w:rPr>
          <w:rFonts w:ascii="Arial" w:hAnsi="Arial" w:cs="Arial"/>
          <w:color w:val="000000"/>
          <w:sz w:val="24"/>
          <w:szCs w:val="24"/>
        </w:rPr>
        <w:t xml:space="preserve">e setting of meeting points via </w:t>
      </w:r>
      <w:r w:rsidRPr="007C1EC1">
        <w:rPr>
          <w:rFonts w:ascii="Arial" w:hAnsi="Arial" w:cs="Arial"/>
          <w:color w:val="000000"/>
          <w:sz w:val="24"/>
          <w:szCs w:val="24"/>
        </w:rPr>
        <w:t>mobile phone communication (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Licoppe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and Morel) and </w:t>
      </w:r>
      <w:r>
        <w:rPr>
          <w:rFonts w:ascii="Arial" w:hAnsi="Arial" w:cs="Arial"/>
          <w:color w:val="000000"/>
          <w:sz w:val="24"/>
          <w:szCs w:val="24"/>
        </w:rPr>
        <w:t xml:space="preserve">interaction for coordination of </w:t>
      </w:r>
      <w:r w:rsidRPr="007C1EC1">
        <w:rPr>
          <w:rFonts w:ascii="Arial" w:hAnsi="Arial" w:cs="Arial"/>
          <w:color w:val="000000"/>
          <w:sz w:val="24"/>
          <w:szCs w:val="24"/>
        </w:rPr>
        <w:t>video-game avatars (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Mondada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). These chapters extend </w:t>
      </w:r>
      <w:r>
        <w:rPr>
          <w:rFonts w:ascii="Arial" w:hAnsi="Arial" w:cs="Arial"/>
          <w:color w:val="000000"/>
          <w:sz w:val="24"/>
          <w:szCs w:val="24"/>
        </w:rPr>
        <w:t xml:space="preserve">the range of what is to be draw </w:t>
      </w:r>
      <w:r w:rsidRPr="007C1EC1">
        <w:rPr>
          <w:rFonts w:ascii="Arial" w:hAnsi="Arial" w:cs="Arial"/>
          <w:color w:val="000000"/>
          <w:sz w:val="24"/>
          <w:szCs w:val="24"/>
        </w:rPr>
        <w:t>into the analysis of mobility – offering some intriguing insights into the communication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of our understanding of spaces where an ‘other’, real or virt</w:t>
      </w:r>
      <w:r>
        <w:rPr>
          <w:rFonts w:ascii="Arial" w:hAnsi="Arial" w:cs="Arial"/>
          <w:color w:val="000000"/>
          <w:sz w:val="24"/>
          <w:szCs w:val="24"/>
        </w:rPr>
        <w:t xml:space="preserve">ual, is present, or negotiating </w:t>
      </w:r>
      <w:r w:rsidRPr="007C1EC1">
        <w:rPr>
          <w:rFonts w:ascii="Arial" w:hAnsi="Arial" w:cs="Arial"/>
          <w:color w:val="000000"/>
          <w:sz w:val="24"/>
          <w:szCs w:val="24"/>
        </w:rPr>
        <w:lastRenderedPageBreak/>
        <w:t>spatial relationships where one or more of the poten</w:t>
      </w:r>
      <w:r>
        <w:rPr>
          <w:rFonts w:ascii="Arial" w:hAnsi="Arial" w:cs="Arial"/>
          <w:color w:val="000000"/>
          <w:sz w:val="24"/>
          <w:szCs w:val="24"/>
        </w:rPr>
        <w:t xml:space="preserve">tially participating parties is </w:t>
      </w:r>
      <w:r w:rsidRPr="007C1EC1">
        <w:rPr>
          <w:rFonts w:ascii="Arial" w:hAnsi="Arial" w:cs="Arial"/>
          <w:color w:val="000000"/>
          <w:sz w:val="24"/>
          <w:szCs w:val="24"/>
        </w:rPr>
        <w:t>currently absent.</w:t>
      </w:r>
    </w:p>
    <w:p w:rsidR="007C1EC1" w:rsidRPr="007C1EC1" w:rsidRDefault="007C1EC1" w:rsidP="007C1EC1">
      <w:pPr>
        <w:pStyle w:val="NoSpacing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1EC1">
        <w:rPr>
          <w:rFonts w:ascii="Arial" w:hAnsi="Arial" w:cs="Arial"/>
          <w:color w:val="000000"/>
          <w:sz w:val="24"/>
          <w:szCs w:val="24"/>
        </w:rPr>
        <w:t>The final theme, ‘Creating and performing mobil</w:t>
      </w:r>
      <w:r>
        <w:rPr>
          <w:rFonts w:ascii="Arial" w:hAnsi="Arial" w:cs="Arial"/>
          <w:color w:val="000000"/>
          <w:sz w:val="24"/>
          <w:szCs w:val="24"/>
        </w:rPr>
        <w:t xml:space="preserve">ity’, feels the least cohesive.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Keevallik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addresses the communication of ‘here’ in dance </w:t>
      </w:r>
      <w:r>
        <w:rPr>
          <w:rFonts w:ascii="Arial" w:hAnsi="Arial" w:cs="Arial"/>
          <w:color w:val="000000"/>
          <w:sz w:val="24"/>
          <w:szCs w:val="24"/>
        </w:rPr>
        <w:t xml:space="preserve">instruction; while interesting, </w:t>
      </w:r>
      <w:r w:rsidRPr="007C1EC1">
        <w:rPr>
          <w:rFonts w:ascii="Arial" w:hAnsi="Arial" w:cs="Arial"/>
          <w:color w:val="000000"/>
          <w:sz w:val="24"/>
          <w:szCs w:val="24"/>
        </w:rPr>
        <w:t>the chapter does little to explain the relevance of its findings beyond this highly special</w:t>
      </w:r>
      <w:r>
        <w:rPr>
          <w:rFonts w:ascii="Arial" w:hAnsi="Arial" w:cs="Arial"/>
          <w:color w:val="000000"/>
          <w:sz w:val="24"/>
          <w:szCs w:val="24"/>
        </w:rPr>
        <w:t xml:space="preserve">ized </w:t>
      </w:r>
      <w:r w:rsidRPr="007C1EC1">
        <w:rPr>
          <w:rFonts w:ascii="Arial" w:hAnsi="Arial" w:cs="Arial"/>
          <w:color w:val="000000"/>
          <w:sz w:val="24"/>
          <w:szCs w:val="24"/>
        </w:rPr>
        <w:t>field. On the other hand, Ting and colleagues’ c</w:t>
      </w:r>
      <w:r>
        <w:rPr>
          <w:rFonts w:ascii="Arial" w:hAnsi="Arial" w:cs="Arial"/>
          <w:color w:val="000000"/>
          <w:sz w:val="24"/>
          <w:szCs w:val="24"/>
        </w:rPr>
        <w:t xml:space="preserve">ontribution – which documents a </w:t>
      </w:r>
      <w:r w:rsidRPr="007C1EC1">
        <w:rPr>
          <w:rFonts w:ascii="Arial" w:hAnsi="Arial" w:cs="Arial"/>
          <w:color w:val="000000"/>
          <w:sz w:val="24"/>
          <w:szCs w:val="24"/>
        </w:rPr>
        <w:t>performance art intervention in Manchester’s Picca</w:t>
      </w:r>
      <w:r>
        <w:rPr>
          <w:rFonts w:ascii="Arial" w:hAnsi="Arial" w:cs="Arial"/>
          <w:color w:val="000000"/>
          <w:sz w:val="24"/>
          <w:szCs w:val="24"/>
        </w:rPr>
        <w:t xml:space="preserve">dilly Gardens, part of the 2010 </w:t>
      </w:r>
      <w:r w:rsidRPr="007C1EC1">
        <w:rPr>
          <w:rFonts w:ascii="Arial" w:hAnsi="Arial" w:cs="Arial"/>
          <w:color w:val="000000"/>
          <w:sz w:val="24"/>
          <w:szCs w:val="24"/>
        </w:rPr>
        <w:t>Futuresonic Festival – was for me one of the highlights of the book. The freeze performan</w:t>
      </w:r>
      <w:r>
        <w:rPr>
          <w:rFonts w:ascii="Arial" w:hAnsi="Arial" w:cs="Arial"/>
          <w:color w:val="000000"/>
          <w:sz w:val="24"/>
          <w:szCs w:val="24"/>
        </w:rPr>
        <w:t xml:space="preserve">ce, </w:t>
      </w:r>
      <w:r w:rsidRPr="007C1EC1">
        <w:rPr>
          <w:rFonts w:ascii="Arial" w:hAnsi="Arial" w:cs="Arial"/>
          <w:color w:val="000000"/>
          <w:sz w:val="24"/>
          <w:szCs w:val="24"/>
        </w:rPr>
        <w:t>in which participants froze mid-movement to playful</w:t>
      </w:r>
      <w:r>
        <w:rPr>
          <w:rFonts w:ascii="Arial" w:hAnsi="Arial" w:cs="Arial"/>
          <w:color w:val="000000"/>
          <w:sz w:val="24"/>
          <w:szCs w:val="24"/>
        </w:rPr>
        <w:t xml:space="preserve">ly disrupt public performances, </w:t>
      </w:r>
      <w:r w:rsidRPr="007C1EC1">
        <w:rPr>
          <w:rFonts w:ascii="Arial" w:hAnsi="Arial" w:cs="Arial"/>
          <w:color w:val="000000"/>
          <w:sz w:val="24"/>
          <w:szCs w:val="24"/>
        </w:rPr>
        <w:t>provided a genuine breach experiment.</w:t>
      </w:r>
      <w:r>
        <w:rPr>
          <w:rFonts w:ascii="Arial" w:hAnsi="Arial" w:cs="Arial"/>
          <w:color w:val="000000"/>
          <w:sz w:val="24"/>
          <w:szCs w:val="24"/>
        </w:rPr>
        <w:t xml:space="preserve"> While all chapters in the book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acknowledge the influence of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Garfinkel’s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ethnometho</w:t>
      </w:r>
      <w:r>
        <w:rPr>
          <w:rFonts w:ascii="Arial" w:hAnsi="Arial" w:cs="Arial"/>
          <w:color w:val="000000"/>
          <w:sz w:val="24"/>
          <w:szCs w:val="24"/>
        </w:rPr>
        <w:t xml:space="preserve">dology, only here do we see his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radical experimental tradition continued. If the editors’ </w:t>
      </w:r>
      <w:r>
        <w:rPr>
          <w:rFonts w:ascii="Arial" w:hAnsi="Arial" w:cs="Arial"/>
          <w:color w:val="000000"/>
          <w:sz w:val="24"/>
          <w:szCs w:val="24"/>
        </w:rPr>
        <w:t xml:space="preserve">intention was to end the volume </w:t>
      </w:r>
      <w:r w:rsidRPr="007C1EC1">
        <w:rPr>
          <w:rFonts w:ascii="Arial" w:hAnsi="Arial" w:cs="Arial"/>
          <w:color w:val="000000"/>
          <w:sz w:val="24"/>
          <w:szCs w:val="24"/>
        </w:rPr>
        <w:t>on a high note, as in making sure you leave your audienc</w:t>
      </w:r>
      <w:r>
        <w:rPr>
          <w:rFonts w:ascii="Arial" w:hAnsi="Arial" w:cs="Arial"/>
          <w:color w:val="000000"/>
          <w:sz w:val="24"/>
          <w:szCs w:val="24"/>
        </w:rPr>
        <w:t xml:space="preserve">e wanting more, they succeeded. </w:t>
      </w:r>
      <w:r w:rsidRPr="007C1EC1">
        <w:rPr>
          <w:rFonts w:ascii="Arial" w:hAnsi="Arial" w:cs="Arial"/>
          <w:color w:val="000000"/>
          <w:sz w:val="24"/>
          <w:szCs w:val="24"/>
        </w:rPr>
        <w:t>On the downside of that, though, we are left with the feeli</w:t>
      </w:r>
      <w:r>
        <w:rPr>
          <w:rFonts w:ascii="Arial" w:hAnsi="Arial" w:cs="Arial"/>
          <w:color w:val="000000"/>
          <w:sz w:val="24"/>
          <w:szCs w:val="24"/>
        </w:rPr>
        <w:t xml:space="preserve">ng that more of the book should </w:t>
      </w:r>
      <w:r w:rsidRPr="007C1EC1">
        <w:rPr>
          <w:rFonts w:ascii="Arial" w:hAnsi="Arial" w:cs="Arial"/>
          <w:color w:val="000000"/>
          <w:sz w:val="24"/>
          <w:szCs w:val="24"/>
        </w:rPr>
        <w:t>have been in this vein.</w:t>
      </w:r>
    </w:p>
    <w:p w:rsidR="007C1EC1" w:rsidRDefault="007C1EC1" w:rsidP="007C1EC1">
      <w:pPr>
        <w:pStyle w:val="NoSpacing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C1EC1">
        <w:rPr>
          <w:rFonts w:ascii="Arial" w:hAnsi="Arial" w:cs="Arial"/>
          <w:color w:val="000000"/>
          <w:sz w:val="24"/>
          <w:szCs w:val="24"/>
        </w:rPr>
        <w:t>The book also includes a useful key to the transcripti</w:t>
      </w:r>
      <w:r>
        <w:rPr>
          <w:rFonts w:ascii="Arial" w:hAnsi="Arial" w:cs="Arial"/>
          <w:color w:val="000000"/>
          <w:sz w:val="24"/>
          <w:szCs w:val="24"/>
        </w:rPr>
        <w:t xml:space="preserve">on notation conventions used by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many of its authors, based on the work of Gail Jefferson, </w:t>
      </w:r>
      <w:r>
        <w:rPr>
          <w:rFonts w:ascii="Arial" w:hAnsi="Arial" w:cs="Arial"/>
          <w:color w:val="000000"/>
          <w:sz w:val="24"/>
          <w:szCs w:val="24"/>
        </w:rPr>
        <w:t xml:space="preserve">and detailed author and subject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indices. As a final chapter, Paul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McIlvenny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provides a brief</w:t>
      </w:r>
      <w:r>
        <w:rPr>
          <w:rFonts w:ascii="Arial" w:hAnsi="Arial" w:cs="Arial"/>
          <w:color w:val="000000"/>
          <w:sz w:val="24"/>
          <w:szCs w:val="24"/>
        </w:rPr>
        <w:t xml:space="preserve"> Epilogue that is a real asset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to the volume; it draws together what may otherwise feel </w:t>
      </w:r>
      <w:r>
        <w:rPr>
          <w:rFonts w:ascii="Arial" w:hAnsi="Arial" w:cs="Arial"/>
          <w:color w:val="000000"/>
          <w:sz w:val="24"/>
          <w:szCs w:val="24"/>
        </w:rPr>
        <w:t xml:space="preserve">like disparate threads and ties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them effectively, if not neatly.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McIlvenny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rightly highlig</w:t>
      </w:r>
      <w:r>
        <w:rPr>
          <w:rFonts w:ascii="Arial" w:hAnsi="Arial" w:cs="Arial"/>
          <w:color w:val="000000"/>
          <w:sz w:val="24"/>
          <w:szCs w:val="24"/>
        </w:rPr>
        <w:t xml:space="preserve">hts the valuable methodological </w:t>
      </w:r>
      <w:r w:rsidRPr="007C1EC1">
        <w:rPr>
          <w:rFonts w:ascii="Arial" w:hAnsi="Arial" w:cs="Arial"/>
          <w:color w:val="000000"/>
          <w:sz w:val="24"/>
          <w:szCs w:val="24"/>
        </w:rPr>
        <w:t>contributions made by the contributors, and the advances</w:t>
      </w:r>
      <w:r>
        <w:rPr>
          <w:rFonts w:ascii="Arial" w:hAnsi="Arial" w:cs="Arial"/>
          <w:color w:val="000000"/>
          <w:sz w:val="24"/>
          <w:szCs w:val="24"/>
        </w:rPr>
        <w:t xml:space="preserve"> they have made in the capture, </w:t>
      </w:r>
      <w:r w:rsidRPr="007C1EC1">
        <w:rPr>
          <w:rFonts w:ascii="Arial" w:hAnsi="Arial" w:cs="Arial"/>
          <w:color w:val="000000"/>
          <w:sz w:val="24"/>
          <w:szCs w:val="24"/>
        </w:rPr>
        <w:t>documentation, annotation and presentation of mobility. It is</w:t>
      </w:r>
      <w:r>
        <w:rPr>
          <w:rFonts w:ascii="Arial" w:hAnsi="Arial" w:cs="Arial"/>
          <w:color w:val="000000"/>
          <w:sz w:val="24"/>
          <w:szCs w:val="24"/>
        </w:rPr>
        <w:t xml:space="preserve"> an excellent, if rather brief, </w:t>
      </w:r>
      <w:r w:rsidRPr="007C1EC1">
        <w:rPr>
          <w:rFonts w:ascii="Arial" w:hAnsi="Arial" w:cs="Arial"/>
          <w:color w:val="000000"/>
          <w:sz w:val="24"/>
          <w:szCs w:val="24"/>
        </w:rPr>
        <w:t>summation of a volume</w:t>
      </w:r>
      <w:r>
        <w:rPr>
          <w:rFonts w:ascii="Arial" w:hAnsi="Arial" w:cs="Arial"/>
          <w:color w:val="000000"/>
          <w:sz w:val="24"/>
          <w:szCs w:val="24"/>
        </w:rPr>
        <w:t xml:space="preserve"> that has considerable breadth. </w:t>
      </w:r>
      <w:r w:rsidRPr="007C1EC1">
        <w:rPr>
          <w:rFonts w:ascii="Arial" w:hAnsi="Arial" w:cs="Arial"/>
          <w:color w:val="000000"/>
          <w:sz w:val="24"/>
          <w:szCs w:val="24"/>
        </w:rPr>
        <w:t>That breadth, however, is both strength and weakness. In dealing wit</w:t>
      </w:r>
      <w:r>
        <w:rPr>
          <w:rFonts w:ascii="Arial" w:hAnsi="Arial" w:cs="Arial"/>
          <w:color w:val="000000"/>
          <w:sz w:val="24"/>
          <w:szCs w:val="24"/>
        </w:rPr>
        <w:t xml:space="preserve">h such a variety </w:t>
      </w:r>
      <w:r w:rsidRPr="007C1EC1">
        <w:rPr>
          <w:rFonts w:ascii="Arial" w:hAnsi="Arial" w:cs="Arial"/>
          <w:color w:val="000000"/>
          <w:sz w:val="24"/>
          <w:szCs w:val="24"/>
        </w:rPr>
        <w:t>of interactive ecologies in a considerable amount of detail, it a</w:t>
      </w:r>
      <w:r>
        <w:rPr>
          <w:rFonts w:ascii="Arial" w:hAnsi="Arial" w:cs="Arial"/>
          <w:color w:val="000000"/>
          <w:sz w:val="24"/>
          <w:szCs w:val="24"/>
        </w:rPr>
        <w:t xml:space="preserve">ddresses none to a satisfactory </w:t>
      </w:r>
      <w:r w:rsidRPr="007C1EC1">
        <w:rPr>
          <w:rFonts w:ascii="Arial" w:hAnsi="Arial" w:cs="Arial"/>
          <w:color w:val="000000"/>
          <w:sz w:val="24"/>
          <w:szCs w:val="24"/>
        </w:rPr>
        <w:t>depth. The book does not seem intended to be read t</w:t>
      </w:r>
      <w:r>
        <w:rPr>
          <w:rFonts w:ascii="Arial" w:hAnsi="Arial" w:cs="Arial"/>
          <w:color w:val="000000"/>
          <w:sz w:val="24"/>
          <w:szCs w:val="24"/>
        </w:rPr>
        <w:t xml:space="preserve">hrough, cover to cover; it is a </w:t>
      </w:r>
      <w:r w:rsidRPr="007C1EC1">
        <w:rPr>
          <w:rFonts w:ascii="Arial" w:hAnsi="Arial" w:cs="Arial"/>
          <w:color w:val="000000"/>
          <w:sz w:val="24"/>
          <w:szCs w:val="24"/>
        </w:rPr>
        <w:t>book in which one should paddle, not bathe. Such a volume se</w:t>
      </w:r>
      <w:r>
        <w:rPr>
          <w:rFonts w:ascii="Arial" w:hAnsi="Arial" w:cs="Arial"/>
          <w:color w:val="000000"/>
          <w:sz w:val="24"/>
          <w:szCs w:val="24"/>
        </w:rPr>
        <w:t xml:space="preserve">ems destined for the university </w:t>
      </w:r>
      <w:r w:rsidRPr="007C1EC1">
        <w:rPr>
          <w:rFonts w:ascii="Arial" w:hAnsi="Arial" w:cs="Arial"/>
          <w:color w:val="000000"/>
          <w:sz w:val="24"/>
          <w:szCs w:val="24"/>
        </w:rPr>
        <w:t>library shelf and not the student book case; ye</w:t>
      </w:r>
      <w:r>
        <w:rPr>
          <w:rFonts w:ascii="Arial" w:hAnsi="Arial" w:cs="Arial"/>
          <w:color w:val="000000"/>
          <w:sz w:val="24"/>
          <w:szCs w:val="24"/>
        </w:rPr>
        <w:t xml:space="preserve">t it deserves to be there. As a </w:t>
      </w:r>
      <w:r w:rsidRPr="007C1EC1">
        <w:rPr>
          <w:rFonts w:ascii="Arial" w:hAnsi="Arial" w:cs="Arial"/>
          <w:color w:val="000000"/>
          <w:sz w:val="24"/>
          <w:szCs w:val="24"/>
        </w:rPr>
        <w:t>resource to stimulate thoughts for new methodolo</w:t>
      </w:r>
      <w:r>
        <w:rPr>
          <w:rFonts w:ascii="Arial" w:hAnsi="Arial" w:cs="Arial"/>
          <w:color w:val="000000"/>
          <w:sz w:val="24"/>
          <w:szCs w:val="24"/>
        </w:rPr>
        <w:t xml:space="preserve">gies, conventions of annotating </w:t>
      </w:r>
      <w:r w:rsidRPr="007C1EC1">
        <w:rPr>
          <w:rFonts w:ascii="Arial" w:hAnsi="Arial" w:cs="Arial"/>
          <w:color w:val="000000"/>
          <w:sz w:val="24"/>
          <w:szCs w:val="24"/>
        </w:rPr>
        <w:t>video-captured mobilities and the location of interactive e</w:t>
      </w:r>
      <w:r>
        <w:rPr>
          <w:rFonts w:ascii="Arial" w:hAnsi="Arial" w:cs="Arial"/>
          <w:color w:val="000000"/>
          <w:sz w:val="24"/>
          <w:szCs w:val="24"/>
        </w:rPr>
        <w:t xml:space="preserve">cologies, it will be a valuable </w:t>
      </w:r>
      <w:r w:rsidRPr="007C1EC1">
        <w:rPr>
          <w:rFonts w:ascii="Arial" w:hAnsi="Arial" w:cs="Arial"/>
          <w:color w:val="000000"/>
          <w:sz w:val="24"/>
          <w:szCs w:val="24"/>
        </w:rPr>
        <w:t>addition to any collection. From my reading, I can se</w:t>
      </w:r>
      <w:r>
        <w:rPr>
          <w:rFonts w:ascii="Arial" w:hAnsi="Arial" w:cs="Arial"/>
          <w:color w:val="000000"/>
          <w:sz w:val="24"/>
          <w:szCs w:val="24"/>
        </w:rPr>
        <w:t xml:space="preserve">e new avenues for aspects of my </w:t>
      </w:r>
      <w:r w:rsidRPr="007C1EC1">
        <w:rPr>
          <w:rFonts w:ascii="Arial" w:hAnsi="Arial" w:cs="Arial"/>
          <w:color w:val="000000"/>
          <w:sz w:val="24"/>
          <w:szCs w:val="24"/>
        </w:rPr>
        <w:t>own research (on political discourse), and potentials for fresh collaboration with others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in my department and with other departments.</w:t>
      </w:r>
      <w:r>
        <w:rPr>
          <w:rFonts w:ascii="Arial" w:hAnsi="Arial" w:cs="Arial"/>
          <w:color w:val="000000"/>
          <w:sz w:val="24"/>
          <w:szCs w:val="24"/>
        </w:rPr>
        <w:t xml:space="preserve"> That interest, </w:t>
      </w:r>
      <w:r w:rsidRPr="007C1EC1">
        <w:rPr>
          <w:rFonts w:ascii="Arial" w:hAnsi="Arial" w:cs="Arial"/>
          <w:color w:val="000000"/>
          <w:sz w:val="24"/>
          <w:szCs w:val="24"/>
        </w:rPr>
        <w:t>though, comes with a proviso: the limit</w:t>
      </w:r>
      <w:r>
        <w:rPr>
          <w:rFonts w:ascii="Arial" w:hAnsi="Arial" w:cs="Arial"/>
          <w:color w:val="000000"/>
          <w:sz w:val="24"/>
          <w:szCs w:val="24"/>
        </w:rPr>
        <w:t xml:space="preserve">ed conceptualization of context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that all the </w:t>
      </w:r>
      <w:r w:rsidRPr="007C1EC1">
        <w:rPr>
          <w:rFonts w:ascii="Arial" w:hAnsi="Arial" w:cs="Arial"/>
          <w:color w:val="000000"/>
          <w:sz w:val="24"/>
          <w:szCs w:val="24"/>
        </w:rPr>
        <w:lastRenderedPageBreak/>
        <w:t>contributions exhibit. The volume’s framew</w:t>
      </w:r>
      <w:r>
        <w:rPr>
          <w:rFonts w:ascii="Arial" w:hAnsi="Arial" w:cs="Arial"/>
          <w:color w:val="000000"/>
          <w:sz w:val="24"/>
          <w:szCs w:val="24"/>
        </w:rPr>
        <w:t xml:space="preserve">ork is predominantly orientated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towards a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Scheglovian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conversational analysis, and a ti</w:t>
      </w:r>
      <w:r>
        <w:rPr>
          <w:rFonts w:ascii="Arial" w:hAnsi="Arial" w:cs="Arial"/>
          <w:color w:val="000000"/>
          <w:sz w:val="24"/>
          <w:szCs w:val="24"/>
        </w:rPr>
        <w:t xml:space="preserve">ghtly focused interpretation of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Garfinkel’s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ethnomethodology, neither of which acc</w:t>
      </w:r>
      <w:r>
        <w:rPr>
          <w:rFonts w:ascii="Arial" w:hAnsi="Arial" w:cs="Arial"/>
          <w:color w:val="000000"/>
          <w:sz w:val="24"/>
          <w:szCs w:val="24"/>
        </w:rPr>
        <w:t xml:space="preserve">ommodates comfortably the wider </w:t>
      </w:r>
      <w:r w:rsidRPr="007C1EC1">
        <w:rPr>
          <w:rFonts w:ascii="Arial" w:hAnsi="Arial" w:cs="Arial"/>
          <w:color w:val="000000"/>
          <w:sz w:val="24"/>
          <w:szCs w:val="24"/>
        </w:rPr>
        <w:t xml:space="preserve">social, cultural or political context. (The ideas of </w:t>
      </w:r>
      <w:proofErr w:type="spellStart"/>
      <w:r w:rsidRPr="007C1EC1">
        <w:rPr>
          <w:rFonts w:ascii="Arial" w:hAnsi="Arial" w:cs="Arial"/>
          <w:color w:val="000000"/>
          <w:sz w:val="24"/>
          <w:szCs w:val="24"/>
        </w:rPr>
        <w:t>Merleau-Ponty</w:t>
      </w:r>
      <w:proofErr w:type="spellEnd"/>
      <w:r w:rsidRPr="007C1EC1">
        <w:rPr>
          <w:rFonts w:ascii="Arial" w:hAnsi="Arial" w:cs="Arial"/>
          <w:color w:val="000000"/>
          <w:sz w:val="24"/>
          <w:szCs w:val="24"/>
        </w:rPr>
        <w:t xml:space="preserve"> seem to have deeply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influenced many of the authors, but his name remains noticeably absent from the person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index.) Such a narrowly focused construal of context emphasizes the mundane in the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case studies, missing the opportunity to engage with their broader relevance. The section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on the control and coordination of mobility could have included, for example, communications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between police when kettling protesters, or the mechanics of war-drone operation.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If insufficient research is available in these areas, this seems a gap that deserves to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be plugged quickly. But, more generally, the chapters could have done more to highlight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the meaningfulness of their conclusions beyond improving our descriptive arsenal. The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volume is nonetheless fascinating and, in its own way, stimulating. It can open up new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insights in understanding how mobility and the body can have an important place in the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7C1EC1">
        <w:rPr>
          <w:rFonts w:ascii="Arial" w:hAnsi="Arial" w:cs="Arial"/>
          <w:color w:val="000000"/>
          <w:sz w:val="24"/>
          <w:szCs w:val="24"/>
        </w:rPr>
        <w:t>analysis of interpersonal interactional discourse.</w:t>
      </w:r>
    </w:p>
    <w:p w:rsidR="007C1EC1" w:rsidRDefault="007C1EC1" w:rsidP="007C1EC1">
      <w:pPr>
        <w:pStyle w:val="NoSpacing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C1EC1" w:rsidRPr="007C1EC1" w:rsidRDefault="007C1EC1" w:rsidP="007C1EC1">
      <w:pPr>
        <w:pStyle w:val="NoSpacing"/>
        <w:spacing w:line="360" w:lineRule="auto"/>
        <w:jc w:val="righ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R Lamond</w:t>
      </w:r>
      <w:bookmarkStart w:id="0" w:name="_GoBack"/>
      <w:bookmarkEnd w:id="0"/>
    </w:p>
    <w:p w:rsidR="00407A16" w:rsidRPr="007C1EC1" w:rsidRDefault="00407A16" w:rsidP="007C1EC1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07A16" w:rsidRPr="007C1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C1"/>
    <w:rsid w:val="00407A16"/>
    <w:rsid w:val="007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60774-DAE8-4570-A37E-68D49A1F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Beckett University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Lamond, Ian</dc:creator>
  <cp:keywords/>
  <dc:description/>
  <cp:lastModifiedBy>Lamond, Ian</cp:lastModifiedBy>
  <cp:revision>1</cp:revision>
  <dcterms:created xsi:type="dcterms:W3CDTF">2015-08-18T08:02:00Z</dcterms:created>
  <dcterms:modified xsi:type="dcterms:W3CDTF">2015-08-18T08:11:00Z</dcterms:modified>
</cp:coreProperties>
</file>