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1A" w:rsidRDefault="0052381F" w:rsidP="008912E1">
      <w:pPr>
        <w:spacing w:line="480" w:lineRule="auto"/>
        <w:rPr>
          <w:rFonts w:asciiTheme="minorHAnsi" w:hAnsiTheme="minorHAnsi"/>
          <w:b/>
          <w:bCs/>
          <w:sz w:val="22"/>
          <w:szCs w:val="22"/>
          <w:u w:val="single"/>
        </w:rPr>
      </w:pPr>
      <w:r w:rsidRPr="0052381F">
        <w:rPr>
          <w:rFonts w:asciiTheme="minorHAnsi" w:hAnsiTheme="minorHAnsi"/>
          <w:b/>
          <w:bCs/>
          <w:sz w:val="22"/>
          <w:szCs w:val="22"/>
          <w:u w:val="single"/>
        </w:rPr>
        <w:t>Pre-publication version</w:t>
      </w:r>
      <w:r w:rsidR="0021011A">
        <w:rPr>
          <w:rFonts w:asciiTheme="minorHAnsi" w:hAnsiTheme="minorHAnsi"/>
          <w:b/>
          <w:bCs/>
          <w:sz w:val="22"/>
          <w:szCs w:val="22"/>
          <w:u w:val="single"/>
        </w:rPr>
        <w:t xml:space="preserve"> </w:t>
      </w:r>
    </w:p>
    <w:p w:rsidR="0021011A" w:rsidRPr="0021011A" w:rsidRDefault="0052381F" w:rsidP="008912E1">
      <w:pPr>
        <w:spacing w:line="480" w:lineRule="auto"/>
        <w:rPr>
          <w:rFonts w:asciiTheme="minorHAnsi" w:hAnsiTheme="minorHAnsi"/>
          <w:b/>
          <w:bCs/>
          <w:sz w:val="22"/>
          <w:szCs w:val="22"/>
          <w:u w:val="single"/>
        </w:rPr>
      </w:pPr>
      <w:hyperlink r:id="rId7" w:history="1">
        <w:r w:rsidRPr="0052381F">
          <w:rPr>
            <w:rStyle w:val="Hyperlink"/>
            <w:rFonts w:asciiTheme="minorHAnsi" w:hAnsiTheme="minorHAnsi" w:cs="Helvetica"/>
            <w:color w:val="auto"/>
            <w:sz w:val="22"/>
            <w:szCs w:val="22"/>
          </w:rPr>
          <w:t>http://dx.doi.org/10.1016/j.jocd.2013.09.011</w:t>
        </w:r>
      </w:hyperlink>
    </w:p>
    <w:p w:rsidR="0021011A" w:rsidRPr="00C55B7E" w:rsidRDefault="0021011A" w:rsidP="008912E1">
      <w:pPr>
        <w:spacing w:line="480" w:lineRule="auto"/>
        <w:rPr>
          <w:rFonts w:asciiTheme="minorHAnsi" w:hAnsiTheme="minorHAnsi"/>
          <w:b/>
          <w:bCs/>
          <w:sz w:val="22"/>
          <w:szCs w:val="22"/>
        </w:rPr>
      </w:pPr>
    </w:p>
    <w:p w:rsidR="0021011A" w:rsidRPr="00C55B7E" w:rsidRDefault="0052381F" w:rsidP="008912E1">
      <w:pPr>
        <w:spacing w:line="480" w:lineRule="auto"/>
        <w:rPr>
          <w:rFonts w:asciiTheme="minorHAnsi" w:hAnsiTheme="minorHAnsi"/>
          <w:b/>
          <w:bCs/>
          <w:sz w:val="22"/>
          <w:szCs w:val="22"/>
        </w:rPr>
      </w:pPr>
      <w:r w:rsidRPr="0052381F">
        <w:rPr>
          <w:rFonts w:asciiTheme="minorHAnsi" w:hAnsiTheme="minorHAnsi"/>
          <w:b/>
          <w:bCs/>
          <w:sz w:val="22"/>
          <w:szCs w:val="22"/>
        </w:rPr>
        <w:t xml:space="preserve">Cross-calibration of the GE-Lunar </w:t>
      </w:r>
      <w:proofErr w:type="spellStart"/>
      <w:r w:rsidRPr="0052381F">
        <w:rPr>
          <w:rFonts w:asciiTheme="minorHAnsi" w:hAnsiTheme="minorHAnsi"/>
          <w:b/>
          <w:bCs/>
          <w:sz w:val="22"/>
          <w:szCs w:val="22"/>
        </w:rPr>
        <w:t>iDXA</w:t>
      </w:r>
      <w:proofErr w:type="spellEnd"/>
      <w:r w:rsidRPr="0052381F">
        <w:rPr>
          <w:rFonts w:asciiTheme="minorHAnsi" w:hAnsiTheme="minorHAnsi"/>
          <w:b/>
          <w:bCs/>
          <w:sz w:val="22"/>
          <w:szCs w:val="22"/>
        </w:rPr>
        <w:t xml:space="preserve"> and Prodigy for the assessment of lumbar spine and total hip bone parameters using three statistical methods</w:t>
      </w:r>
    </w:p>
    <w:p w:rsidR="00000000" w:rsidRDefault="00BC6F56">
      <w:pPr>
        <w:spacing w:line="480" w:lineRule="auto"/>
        <w:rPr>
          <w:rFonts w:asciiTheme="minorHAnsi" w:hAnsiTheme="minorHAnsi"/>
          <w:bCs/>
          <w:sz w:val="22"/>
          <w:szCs w:val="22"/>
        </w:rPr>
      </w:pPr>
    </w:p>
    <w:p w:rsidR="00C55B7E" w:rsidRDefault="00C55B7E" w:rsidP="008912E1">
      <w:pPr>
        <w:spacing w:line="360" w:lineRule="auto"/>
        <w:rPr>
          <w:rFonts w:asciiTheme="minorHAnsi" w:hAnsiTheme="minorHAnsi"/>
          <w:bCs/>
          <w:sz w:val="22"/>
          <w:szCs w:val="22"/>
        </w:rPr>
      </w:pPr>
      <w:r>
        <w:rPr>
          <w:rFonts w:asciiTheme="minorHAnsi" w:hAnsiTheme="minorHAnsi"/>
          <w:bCs/>
          <w:sz w:val="22"/>
          <w:szCs w:val="22"/>
        </w:rPr>
        <w:t xml:space="preserve">Hind K, Cooper W, </w:t>
      </w:r>
      <w:proofErr w:type="spellStart"/>
      <w:r>
        <w:rPr>
          <w:rFonts w:asciiTheme="minorHAnsi" w:hAnsiTheme="minorHAnsi"/>
          <w:bCs/>
          <w:sz w:val="22"/>
          <w:szCs w:val="22"/>
        </w:rPr>
        <w:t>Oldroyd</w:t>
      </w:r>
      <w:proofErr w:type="spellEnd"/>
      <w:r>
        <w:rPr>
          <w:rFonts w:asciiTheme="minorHAnsi" w:hAnsiTheme="minorHAnsi"/>
          <w:bCs/>
          <w:sz w:val="22"/>
          <w:szCs w:val="22"/>
        </w:rPr>
        <w:t xml:space="preserve"> B, Davies A, Rhodes L.</w:t>
      </w:r>
    </w:p>
    <w:p w:rsidR="00C55B7E" w:rsidRDefault="00C55B7E" w:rsidP="008912E1">
      <w:pPr>
        <w:spacing w:line="360" w:lineRule="auto"/>
        <w:rPr>
          <w:rFonts w:asciiTheme="minorHAnsi" w:hAnsiTheme="minorHAnsi"/>
          <w:bCs/>
          <w:sz w:val="22"/>
          <w:szCs w:val="22"/>
        </w:rPr>
      </w:pPr>
    </w:p>
    <w:p w:rsidR="00C55B7E" w:rsidRPr="00C55B7E" w:rsidRDefault="00C55B7E" w:rsidP="008912E1">
      <w:pPr>
        <w:spacing w:line="360" w:lineRule="auto"/>
        <w:rPr>
          <w:rFonts w:asciiTheme="minorHAnsi" w:hAnsiTheme="minorHAnsi"/>
          <w:bCs/>
          <w:sz w:val="22"/>
          <w:szCs w:val="22"/>
        </w:rPr>
      </w:pPr>
    </w:p>
    <w:p w:rsidR="008912E1" w:rsidRPr="00C55B7E" w:rsidRDefault="0052381F" w:rsidP="0030710D">
      <w:pPr>
        <w:spacing w:line="360" w:lineRule="auto"/>
        <w:jc w:val="both"/>
        <w:rPr>
          <w:rFonts w:asciiTheme="minorHAnsi" w:hAnsiTheme="minorHAnsi"/>
          <w:b/>
          <w:bCs/>
          <w:sz w:val="22"/>
          <w:szCs w:val="22"/>
        </w:rPr>
      </w:pPr>
      <w:r w:rsidRPr="0052381F">
        <w:rPr>
          <w:rFonts w:asciiTheme="minorHAnsi" w:hAnsiTheme="minorHAnsi"/>
          <w:b/>
          <w:bCs/>
          <w:sz w:val="22"/>
          <w:szCs w:val="22"/>
        </w:rPr>
        <w:t>Abstract</w:t>
      </w:r>
    </w:p>
    <w:p w:rsidR="00A053CE" w:rsidRPr="00C55B7E" w:rsidRDefault="0052381F" w:rsidP="00BC4713">
      <w:pPr>
        <w:spacing w:line="360" w:lineRule="auto"/>
        <w:rPr>
          <w:rFonts w:asciiTheme="minorHAnsi" w:hAnsiTheme="minorHAnsi"/>
          <w:bCs/>
          <w:sz w:val="22"/>
          <w:szCs w:val="22"/>
        </w:rPr>
      </w:pPr>
      <w:r w:rsidRPr="0052381F">
        <w:rPr>
          <w:rFonts w:asciiTheme="minorHAnsi" w:hAnsiTheme="minorHAnsi" w:cs="Helvetica"/>
          <w:sz w:val="22"/>
          <w:szCs w:val="22"/>
        </w:rPr>
        <w:t xml:space="preserve">This study assessed agreement between the GE Lunar </w:t>
      </w:r>
      <w:proofErr w:type="spellStart"/>
      <w:r w:rsidRPr="0052381F">
        <w:rPr>
          <w:rFonts w:asciiTheme="minorHAnsi" w:hAnsiTheme="minorHAnsi" w:cs="Helvetica"/>
          <w:sz w:val="22"/>
          <w:szCs w:val="22"/>
        </w:rPr>
        <w:t>iDXA</w:t>
      </w:r>
      <w:proofErr w:type="spellEnd"/>
      <w:r w:rsidRPr="0052381F">
        <w:rPr>
          <w:rFonts w:asciiTheme="minorHAnsi" w:hAnsiTheme="minorHAnsi" w:cs="Helvetica"/>
          <w:sz w:val="22"/>
          <w:szCs w:val="22"/>
        </w:rPr>
        <w:t xml:space="preserve"> and Prodigy densitometers for bone measurements and used 3 statistical methods to derive cross-calibration equations: linear regression, the Deming method, and multivariate analysis. Compatibility of machines for the measurements of bone mineral density, bone mineral content, and bone area also was explored. Eighty-five adults, age: 45.5 (SD 12.8) years; body mass index: 25.6 (SD 3.7) kg.m</w:t>
      </w:r>
      <w:r w:rsidRPr="0052381F">
        <w:rPr>
          <w:rFonts w:asciiTheme="minorHAnsi" w:hAnsiTheme="minorHAnsi" w:cs="Helvetica"/>
          <w:sz w:val="22"/>
          <w:szCs w:val="22"/>
          <w:vertAlign w:val="superscript"/>
        </w:rPr>
        <w:t>−2</w:t>
      </w:r>
      <w:r w:rsidRPr="0052381F">
        <w:rPr>
          <w:rFonts w:asciiTheme="minorHAnsi" w:hAnsiTheme="minorHAnsi" w:cs="Helvetica"/>
          <w:sz w:val="22"/>
          <w:szCs w:val="22"/>
        </w:rPr>
        <w:t xml:space="preserve"> were measured once at the lumbar spine: L1–L4 and total hip on each densitometer, within 24 hours. Both linear regression and Deming analysis indicated that cross-calibration equations were required at the lumbar spine and total hip but not at the femoral neck. Multivariate analysis identified femur thickness and femur percent fat as predictive variables at the femoral neck and total hip. Bland Altman analysis (Prodigy–</w:t>
      </w:r>
      <w:proofErr w:type="spellStart"/>
      <w:r w:rsidRPr="0052381F">
        <w:rPr>
          <w:rFonts w:asciiTheme="minorHAnsi" w:hAnsiTheme="minorHAnsi" w:cs="Helvetica"/>
          <w:sz w:val="22"/>
          <w:szCs w:val="22"/>
        </w:rPr>
        <w:t>iDXA</w:t>
      </w:r>
      <w:proofErr w:type="spellEnd"/>
      <w:r w:rsidRPr="0052381F">
        <w:rPr>
          <w:rFonts w:asciiTheme="minorHAnsi" w:hAnsiTheme="minorHAnsi" w:cs="Helvetica"/>
          <w:sz w:val="22"/>
          <w:szCs w:val="22"/>
        </w:rPr>
        <w:t>) indicated significant positive bone mineral density bias at the lumbar spine and femoral neck. Significant bone mineral content biases were observed at all 3 sites and bone area biases at both hip sites. These initial results suggest there are small significant differences in the bone parameters and that all 3 bone parameters should be evaluated when comparing densitometers, especially when there are differences in pixel size between the densitometers.</w:t>
      </w:r>
    </w:p>
    <w:p w:rsidR="004D3CA1" w:rsidRPr="00C55B7E" w:rsidRDefault="004D3CA1" w:rsidP="00BC4713">
      <w:pPr>
        <w:tabs>
          <w:tab w:val="right" w:pos="8640"/>
        </w:tabs>
        <w:spacing w:line="360" w:lineRule="auto"/>
        <w:jc w:val="both"/>
        <w:rPr>
          <w:rFonts w:asciiTheme="minorHAnsi" w:hAnsiTheme="minorHAnsi"/>
          <w:bCs/>
          <w:sz w:val="22"/>
          <w:szCs w:val="22"/>
        </w:rPr>
      </w:pPr>
    </w:p>
    <w:p w:rsidR="00F76525" w:rsidRPr="00C55B7E" w:rsidRDefault="0052381F" w:rsidP="00BC4713">
      <w:pPr>
        <w:tabs>
          <w:tab w:val="right" w:pos="8640"/>
        </w:tabs>
        <w:spacing w:line="360" w:lineRule="auto"/>
        <w:jc w:val="both"/>
        <w:rPr>
          <w:rFonts w:asciiTheme="minorHAnsi" w:hAnsiTheme="minorHAnsi"/>
          <w:bCs/>
          <w:sz w:val="22"/>
          <w:szCs w:val="22"/>
        </w:rPr>
      </w:pPr>
      <w:r w:rsidRPr="0052381F">
        <w:rPr>
          <w:rFonts w:asciiTheme="minorHAnsi" w:hAnsiTheme="minorHAnsi"/>
          <w:bCs/>
          <w:sz w:val="22"/>
          <w:szCs w:val="22"/>
        </w:rPr>
        <w:t>Key Words: DXA; bone; cross calibration; analysis, agreement</w:t>
      </w:r>
      <w:r w:rsidRPr="0052381F">
        <w:rPr>
          <w:rFonts w:asciiTheme="minorHAnsi" w:hAnsiTheme="minorHAnsi"/>
          <w:bCs/>
          <w:sz w:val="22"/>
          <w:szCs w:val="22"/>
        </w:rPr>
        <w:tab/>
      </w:r>
    </w:p>
    <w:p w:rsidR="003359A4" w:rsidRPr="00C55B7E" w:rsidRDefault="0052381F" w:rsidP="008912E1">
      <w:pPr>
        <w:spacing w:line="480" w:lineRule="auto"/>
        <w:rPr>
          <w:rFonts w:asciiTheme="minorHAnsi" w:hAnsiTheme="minorHAnsi"/>
          <w:b/>
          <w:bCs/>
          <w:sz w:val="22"/>
          <w:szCs w:val="22"/>
          <w:lang w:val="en-GB"/>
        </w:rPr>
      </w:pPr>
      <w:r w:rsidRPr="0052381F">
        <w:rPr>
          <w:rFonts w:asciiTheme="minorHAnsi" w:hAnsiTheme="minorHAnsi"/>
          <w:sz w:val="22"/>
          <w:szCs w:val="22"/>
        </w:rPr>
        <w:br w:type="page"/>
      </w:r>
      <w:r w:rsidRPr="0052381F">
        <w:rPr>
          <w:rFonts w:asciiTheme="minorHAnsi" w:hAnsiTheme="minorHAnsi"/>
          <w:b/>
          <w:bCs/>
          <w:sz w:val="22"/>
          <w:szCs w:val="22"/>
          <w:lang w:val="en-GB"/>
        </w:rPr>
        <w:lastRenderedPageBreak/>
        <w:t>Introduction</w:t>
      </w:r>
    </w:p>
    <w:p w:rsidR="008879F2" w:rsidRPr="00C55B7E" w:rsidRDefault="0052381F" w:rsidP="008912E1">
      <w:pPr>
        <w:spacing w:line="480" w:lineRule="auto"/>
        <w:jc w:val="both"/>
        <w:rPr>
          <w:rFonts w:asciiTheme="minorHAnsi" w:hAnsiTheme="minorHAnsi"/>
          <w:bCs/>
          <w:sz w:val="22"/>
          <w:szCs w:val="22"/>
          <w:lang w:val="en-GB"/>
        </w:rPr>
      </w:pPr>
      <w:r w:rsidRPr="0052381F">
        <w:rPr>
          <w:rFonts w:asciiTheme="minorHAnsi" w:hAnsiTheme="minorHAnsi"/>
          <w:bCs/>
          <w:sz w:val="22"/>
          <w:szCs w:val="22"/>
          <w:lang w:val="en-GB"/>
        </w:rPr>
        <w:t xml:space="preserve">Bone mineral density (BMD) measurements at the lumbar spine and total hip using dual energy x-ray </w:t>
      </w:r>
      <w:proofErr w:type="spellStart"/>
      <w:r w:rsidRPr="0052381F">
        <w:rPr>
          <w:rFonts w:asciiTheme="minorHAnsi" w:hAnsiTheme="minorHAnsi"/>
          <w:bCs/>
          <w:sz w:val="22"/>
          <w:szCs w:val="22"/>
          <w:lang w:val="en-GB"/>
        </w:rPr>
        <w:t>absorptiometry</w:t>
      </w:r>
      <w:proofErr w:type="spellEnd"/>
      <w:r w:rsidRPr="0052381F">
        <w:rPr>
          <w:rFonts w:asciiTheme="minorHAnsi" w:hAnsiTheme="minorHAnsi"/>
          <w:bCs/>
          <w:sz w:val="22"/>
          <w:szCs w:val="22"/>
          <w:lang w:val="en-GB"/>
        </w:rPr>
        <w:t xml:space="preserve"> (DXA) are considered to be the gold standard for osteoporosis diagnosis as defined by the World Health Organisation (1). DXA is also used in both clinical and research settings to monitor long term bone status and/or response to intervention. </w:t>
      </w:r>
      <w:r w:rsidRPr="0052381F">
        <w:rPr>
          <w:rFonts w:asciiTheme="minorHAnsi" w:hAnsiTheme="minorHAnsi"/>
          <w:sz w:val="22"/>
          <w:szCs w:val="22"/>
          <w:lang w:val="en-GB"/>
        </w:rPr>
        <w:t>Of further relevance, BMD can also be incorporated into FRAX algorithms to identify patients’ future risk of a major osteoporotic fracture (</w:t>
      </w:r>
      <w:hyperlink r:id="rId8" w:history="1">
        <w:r w:rsidRPr="0052381F">
          <w:rPr>
            <w:rStyle w:val="Hyperlink"/>
            <w:rFonts w:asciiTheme="minorHAnsi" w:hAnsiTheme="minorHAnsi"/>
            <w:sz w:val="22"/>
            <w:szCs w:val="22"/>
            <w:lang w:val="en-GB"/>
          </w:rPr>
          <w:t>www.sheffield.ac.uk/FRAX</w:t>
        </w:r>
      </w:hyperlink>
      <w:r w:rsidRPr="0052381F">
        <w:rPr>
          <w:rFonts w:asciiTheme="minorHAnsi" w:hAnsiTheme="minorHAnsi"/>
          <w:sz w:val="22"/>
          <w:szCs w:val="22"/>
          <w:lang w:val="en-GB"/>
        </w:rPr>
        <w:t>) (2). The consistent and accurate measurement of DXA-derived BMD over time is therefore fundamental. Precision within DXA is high (3,4) but there can be significant differences between densitometers between manufacturers (5,6), and also between models from the same manufacturer (7,8). These issues arise when conducting multicentre studies or when upgrading DXA densitometers and it is advised by the International Society of Clinical Densitometry (ISCD), that in such circumstances, in-vivo cross calibration is performed (9).</w:t>
      </w:r>
    </w:p>
    <w:p w:rsidR="00EA706C" w:rsidRPr="00C55B7E" w:rsidRDefault="0085600D" w:rsidP="00371BF9">
      <w:pPr>
        <w:spacing w:line="480" w:lineRule="auto"/>
        <w:jc w:val="both"/>
        <w:rPr>
          <w:rFonts w:asciiTheme="minorHAnsi" w:hAnsiTheme="minorHAnsi"/>
          <w:bCs/>
          <w:sz w:val="22"/>
          <w:szCs w:val="22"/>
          <w:lang w:val="en-GB"/>
        </w:rPr>
      </w:pPr>
      <w:r>
        <w:rPr>
          <w:rFonts w:asciiTheme="minorHAnsi" w:hAnsiTheme="minorHAnsi"/>
          <w:sz w:val="22"/>
          <w:szCs w:val="22"/>
          <w:lang w:val="en-GB"/>
        </w:rPr>
        <w:tab/>
      </w:r>
      <w:r w:rsidR="0052381F" w:rsidRPr="0052381F">
        <w:rPr>
          <w:rFonts w:asciiTheme="minorHAnsi" w:hAnsiTheme="minorHAnsi"/>
          <w:sz w:val="22"/>
          <w:szCs w:val="22"/>
          <w:lang w:val="en-GB"/>
        </w:rPr>
        <w:t xml:space="preserve">The GE Lunar range of DXA densitometers are utilised globally both clinically and for research; the </w:t>
      </w:r>
      <w:r w:rsidR="0052381F" w:rsidRPr="0052381F">
        <w:rPr>
          <w:rFonts w:asciiTheme="minorHAnsi" w:hAnsiTheme="minorHAnsi"/>
          <w:bCs/>
          <w:sz w:val="22"/>
          <w:szCs w:val="22"/>
        </w:rPr>
        <w:t xml:space="preserve">GE Lunar </w:t>
      </w:r>
      <w:proofErr w:type="spellStart"/>
      <w:r w:rsidR="0052381F" w:rsidRPr="0052381F">
        <w:rPr>
          <w:rFonts w:asciiTheme="minorHAnsi" w:hAnsiTheme="minorHAnsi"/>
          <w:bCs/>
          <w:sz w:val="22"/>
          <w:szCs w:val="22"/>
        </w:rPr>
        <w:t>iDXA</w:t>
      </w:r>
      <w:proofErr w:type="spellEnd"/>
      <w:r w:rsidR="0052381F" w:rsidRPr="0052381F">
        <w:rPr>
          <w:rFonts w:asciiTheme="minorHAnsi" w:hAnsiTheme="minorHAnsi"/>
          <w:bCs/>
          <w:sz w:val="22"/>
          <w:szCs w:val="22"/>
        </w:rPr>
        <w:t xml:space="preserve"> is the most recent model, advancing on the older Prodigy model. The </w:t>
      </w:r>
      <w:proofErr w:type="spellStart"/>
      <w:r w:rsidR="0052381F" w:rsidRPr="0052381F">
        <w:rPr>
          <w:rFonts w:asciiTheme="minorHAnsi" w:hAnsiTheme="minorHAnsi"/>
          <w:bCs/>
          <w:sz w:val="22"/>
          <w:szCs w:val="22"/>
        </w:rPr>
        <w:t>iDXA</w:t>
      </w:r>
      <w:proofErr w:type="spellEnd"/>
      <w:r w:rsidR="0052381F" w:rsidRPr="0052381F">
        <w:rPr>
          <w:rFonts w:asciiTheme="minorHAnsi" w:hAnsiTheme="minorHAnsi"/>
          <w:bCs/>
          <w:sz w:val="22"/>
          <w:szCs w:val="22"/>
        </w:rPr>
        <w:t xml:space="preserve"> uses a higher output x-ray tube than the Prodigy, an identical narrow angle (4.5</w:t>
      </w:r>
      <w:r w:rsidR="0052381F" w:rsidRPr="0052381F">
        <w:rPr>
          <w:rFonts w:asciiTheme="minorHAnsi" w:hAnsiTheme="minorHAnsi"/>
          <w:bCs/>
          <w:sz w:val="22"/>
          <w:szCs w:val="22"/>
          <w:vertAlign w:val="superscript"/>
        </w:rPr>
        <w:t>o</w:t>
      </w:r>
      <w:r w:rsidR="0052381F" w:rsidRPr="0052381F">
        <w:rPr>
          <w:rFonts w:asciiTheme="minorHAnsi" w:hAnsiTheme="minorHAnsi"/>
          <w:bCs/>
          <w:sz w:val="22"/>
          <w:szCs w:val="22"/>
        </w:rPr>
        <w:t xml:space="preserve">) fan beam with 64 high definition CZT detectors and a staggered element array. This improves the image resolution by reducing the dead space between the detectors, giving a near radiographic image and improved spatial resolution (0.30 x 0.25mm compared to 0.60 x 1.05mm) but with a higher radiation dose (Table 1).  </w:t>
      </w:r>
      <w:r w:rsidR="0052381F" w:rsidRPr="0052381F">
        <w:rPr>
          <w:rFonts w:asciiTheme="minorHAnsi" w:hAnsiTheme="minorHAnsi"/>
          <w:bCs/>
          <w:sz w:val="22"/>
          <w:szCs w:val="22"/>
          <w:lang w:val="en-GB"/>
        </w:rPr>
        <w:t xml:space="preserve">Several studies have cross calibrated the GE Lunar </w:t>
      </w:r>
      <w:proofErr w:type="spellStart"/>
      <w:r w:rsidR="0052381F" w:rsidRPr="0052381F">
        <w:rPr>
          <w:rFonts w:asciiTheme="minorHAnsi" w:hAnsiTheme="minorHAnsi"/>
          <w:bCs/>
          <w:sz w:val="22"/>
          <w:szCs w:val="22"/>
          <w:lang w:val="en-GB"/>
        </w:rPr>
        <w:t>iDXA</w:t>
      </w:r>
      <w:proofErr w:type="spellEnd"/>
      <w:r w:rsidR="0052381F" w:rsidRPr="0052381F">
        <w:rPr>
          <w:rFonts w:asciiTheme="minorHAnsi" w:hAnsiTheme="minorHAnsi"/>
          <w:bCs/>
          <w:sz w:val="22"/>
          <w:szCs w:val="22"/>
          <w:lang w:val="en-GB"/>
        </w:rPr>
        <w:t xml:space="preserve"> with the Prodigy. These studies have generally indicated good agreement for measurements of BMD between the two machines (10-14). However, whilst bone area, along with BMD, is a primary DXA scan parameter, studies to date have only cross calibrated for measures of BMD.</w:t>
      </w:r>
    </w:p>
    <w:p w:rsidR="00624699" w:rsidRPr="00C55B7E" w:rsidRDefault="00624699" w:rsidP="00891EAB">
      <w:pPr>
        <w:spacing w:line="480" w:lineRule="auto"/>
        <w:jc w:val="both"/>
        <w:rPr>
          <w:rFonts w:asciiTheme="minorHAnsi" w:hAnsiTheme="minorHAnsi"/>
          <w:bCs/>
          <w:sz w:val="22"/>
          <w:szCs w:val="22"/>
          <w:lang w:val="en-GB"/>
        </w:rPr>
      </w:pPr>
    </w:p>
    <w:p w:rsidR="00921C93" w:rsidRPr="00C55B7E" w:rsidRDefault="0052381F" w:rsidP="00891EAB">
      <w:pPr>
        <w:spacing w:line="480" w:lineRule="auto"/>
        <w:jc w:val="both"/>
        <w:rPr>
          <w:rFonts w:asciiTheme="minorHAnsi" w:hAnsiTheme="minorHAnsi"/>
          <w:bCs/>
          <w:sz w:val="22"/>
          <w:szCs w:val="22"/>
          <w:lang w:val="en-GB"/>
        </w:rPr>
      </w:pPr>
      <w:r w:rsidRPr="0052381F">
        <w:rPr>
          <w:rFonts w:asciiTheme="minorHAnsi" w:hAnsiTheme="minorHAnsi"/>
          <w:bCs/>
          <w:sz w:val="22"/>
          <w:szCs w:val="22"/>
          <w:lang w:val="en-GB"/>
        </w:rPr>
        <w:lastRenderedPageBreak/>
        <w:t xml:space="preserve">The purpose of this study was to determine if cross calibration was required between two fan beam densitometers from the same manufacturer: the GE Lunar </w:t>
      </w:r>
      <w:proofErr w:type="spellStart"/>
      <w:r w:rsidRPr="0052381F">
        <w:rPr>
          <w:rFonts w:asciiTheme="minorHAnsi" w:hAnsiTheme="minorHAnsi"/>
          <w:bCs/>
          <w:sz w:val="22"/>
          <w:szCs w:val="22"/>
          <w:lang w:val="en-GB"/>
        </w:rPr>
        <w:t>iDXA</w:t>
      </w:r>
      <w:proofErr w:type="spellEnd"/>
      <w:r w:rsidRPr="0052381F">
        <w:rPr>
          <w:rFonts w:asciiTheme="minorHAnsi" w:hAnsiTheme="minorHAnsi"/>
          <w:bCs/>
          <w:sz w:val="22"/>
          <w:szCs w:val="22"/>
          <w:lang w:val="en-GB"/>
        </w:rPr>
        <w:t xml:space="preserve"> and the GE Lunar Prodigy, and if so derive calibration equations using different linear regression methods for BMD.  Furthermore the level of agreement between bone parameters BMC and bone area at the lumbar spine, femoral neck and total hip were investigated.</w:t>
      </w:r>
    </w:p>
    <w:p w:rsidR="003359A4" w:rsidRPr="00C55B7E" w:rsidRDefault="003359A4" w:rsidP="00312225">
      <w:pPr>
        <w:spacing w:line="480" w:lineRule="auto"/>
        <w:rPr>
          <w:rFonts w:asciiTheme="minorHAnsi" w:hAnsiTheme="minorHAnsi"/>
          <w:sz w:val="22"/>
          <w:szCs w:val="22"/>
        </w:rPr>
      </w:pPr>
    </w:p>
    <w:p w:rsidR="00482773" w:rsidRPr="00C55B7E" w:rsidRDefault="0052381F" w:rsidP="00277FAE">
      <w:pPr>
        <w:spacing w:line="480" w:lineRule="auto"/>
        <w:jc w:val="both"/>
        <w:rPr>
          <w:rFonts w:asciiTheme="minorHAnsi" w:hAnsiTheme="minorHAnsi"/>
          <w:b/>
          <w:bCs/>
          <w:sz w:val="22"/>
          <w:szCs w:val="22"/>
        </w:rPr>
      </w:pPr>
      <w:r w:rsidRPr="0052381F">
        <w:rPr>
          <w:rFonts w:asciiTheme="minorHAnsi" w:hAnsiTheme="minorHAnsi"/>
          <w:b/>
          <w:bCs/>
          <w:sz w:val="22"/>
          <w:szCs w:val="22"/>
        </w:rPr>
        <w:t>Methods</w:t>
      </w:r>
    </w:p>
    <w:p w:rsidR="00CD7D60" w:rsidRPr="00C55B7E" w:rsidRDefault="0052381F" w:rsidP="00277FAE">
      <w:pPr>
        <w:spacing w:line="480" w:lineRule="auto"/>
        <w:jc w:val="both"/>
        <w:rPr>
          <w:rFonts w:asciiTheme="minorHAnsi" w:hAnsiTheme="minorHAnsi"/>
          <w:bCs/>
          <w:i/>
          <w:sz w:val="22"/>
          <w:szCs w:val="22"/>
        </w:rPr>
      </w:pPr>
      <w:r w:rsidRPr="0052381F">
        <w:rPr>
          <w:rFonts w:asciiTheme="minorHAnsi" w:hAnsiTheme="minorHAnsi"/>
          <w:bCs/>
          <w:i/>
          <w:sz w:val="22"/>
          <w:szCs w:val="22"/>
        </w:rPr>
        <w:t xml:space="preserve">Participants </w:t>
      </w:r>
    </w:p>
    <w:p w:rsidR="00277FAE" w:rsidRPr="00C55B7E" w:rsidRDefault="0052381F" w:rsidP="00277FAE">
      <w:pPr>
        <w:spacing w:line="480" w:lineRule="auto"/>
        <w:jc w:val="both"/>
        <w:rPr>
          <w:rFonts w:asciiTheme="minorHAnsi" w:hAnsiTheme="minorHAnsi"/>
          <w:bCs/>
          <w:sz w:val="22"/>
          <w:szCs w:val="22"/>
        </w:rPr>
      </w:pPr>
      <w:r w:rsidRPr="0052381F">
        <w:rPr>
          <w:rFonts w:asciiTheme="minorHAnsi" w:hAnsiTheme="minorHAnsi"/>
          <w:bCs/>
          <w:sz w:val="22"/>
          <w:szCs w:val="22"/>
        </w:rPr>
        <w:t xml:space="preserve">Eighty five healthy adults were recruited via an intra-university email invitation and participants were excluded from the study if they had received a DXA scan within the previous 12 months, were pregnant or breast feeding.  Participant descriptive results are provided in Table 2, and in accordance with ISCD recommendations (9), these groups are representative of those normally scanned at the </w:t>
      </w:r>
      <w:proofErr w:type="spellStart"/>
      <w:r w:rsidRPr="0052381F">
        <w:rPr>
          <w:rFonts w:asciiTheme="minorHAnsi" w:hAnsiTheme="minorHAnsi"/>
          <w:bCs/>
          <w:sz w:val="22"/>
          <w:szCs w:val="22"/>
        </w:rPr>
        <w:t>iDXA</w:t>
      </w:r>
      <w:proofErr w:type="spellEnd"/>
      <w:r w:rsidRPr="0052381F">
        <w:rPr>
          <w:rFonts w:asciiTheme="minorHAnsi" w:hAnsiTheme="minorHAnsi"/>
          <w:bCs/>
          <w:sz w:val="22"/>
          <w:szCs w:val="22"/>
        </w:rPr>
        <w:t xml:space="preserve"> facility. Ethical approval for the study was provided by the University Ethics Committee and informed signed consent was attained before scans from all volunteers. All activities performed in this study were in accordance with The Declaration of Helsinki. </w:t>
      </w:r>
    </w:p>
    <w:p w:rsidR="0085600D" w:rsidRDefault="0085600D" w:rsidP="00CD7D60">
      <w:pPr>
        <w:spacing w:line="480" w:lineRule="auto"/>
        <w:jc w:val="both"/>
        <w:rPr>
          <w:rFonts w:asciiTheme="minorHAnsi" w:hAnsiTheme="minorHAnsi"/>
          <w:bCs/>
          <w:sz w:val="22"/>
          <w:szCs w:val="22"/>
          <w:lang w:val="en-GB"/>
        </w:rPr>
      </w:pPr>
    </w:p>
    <w:p w:rsidR="00CD7D60" w:rsidRPr="00C55B7E" w:rsidRDefault="0052381F" w:rsidP="00CD7D60">
      <w:pPr>
        <w:spacing w:line="480" w:lineRule="auto"/>
        <w:jc w:val="both"/>
        <w:rPr>
          <w:rFonts w:asciiTheme="minorHAnsi" w:hAnsiTheme="minorHAnsi"/>
          <w:i/>
          <w:sz w:val="22"/>
          <w:szCs w:val="22"/>
          <w:lang w:val="en-GB"/>
        </w:rPr>
      </w:pPr>
      <w:r w:rsidRPr="0052381F">
        <w:rPr>
          <w:rFonts w:asciiTheme="minorHAnsi" w:hAnsiTheme="minorHAnsi"/>
          <w:i/>
          <w:sz w:val="22"/>
          <w:szCs w:val="22"/>
          <w:lang w:val="en-GB"/>
        </w:rPr>
        <w:t>Measurements</w:t>
      </w:r>
    </w:p>
    <w:p w:rsidR="00CB3A7E" w:rsidRPr="00C55B7E" w:rsidRDefault="0052381F" w:rsidP="00A64C0F">
      <w:pPr>
        <w:spacing w:line="480" w:lineRule="auto"/>
        <w:jc w:val="both"/>
        <w:rPr>
          <w:rFonts w:asciiTheme="minorHAnsi" w:hAnsiTheme="minorHAnsi"/>
          <w:bCs/>
          <w:sz w:val="22"/>
          <w:szCs w:val="22"/>
        </w:rPr>
      </w:pPr>
      <w:r w:rsidRPr="0052381F">
        <w:rPr>
          <w:rFonts w:asciiTheme="minorHAnsi" w:hAnsiTheme="minorHAnsi"/>
          <w:sz w:val="22"/>
          <w:szCs w:val="22"/>
        </w:rPr>
        <w:t xml:space="preserve">For all measurements, participants wore light clothing with all metal and plastic </w:t>
      </w:r>
      <w:proofErr w:type="spellStart"/>
      <w:r w:rsidRPr="0052381F">
        <w:rPr>
          <w:rFonts w:asciiTheme="minorHAnsi" w:hAnsiTheme="minorHAnsi"/>
          <w:sz w:val="22"/>
          <w:szCs w:val="22"/>
        </w:rPr>
        <w:t>artefacts</w:t>
      </w:r>
      <w:proofErr w:type="spellEnd"/>
      <w:r w:rsidRPr="0052381F">
        <w:rPr>
          <w:rFonts w:asciiTheme="minorHAnsi" w:hAnsiTheme="minorHAnsi"/>
          <w:sz w:val="22"/>
          <w:szCs w:val="22"/>
        </w:rPr>
        <w:t xml:space="preserve"> removed. Height was measured on a </w:t>
      </w:r>
      <w:proofErr w:type="spellStart"/>
      <w:r w:rsidRPr="0052381F">
        <w:rPr>
          <w:rFonts w:asciiTheme="minorHAnsi" w:hAnsiTheme="minorHAnsi"/>
          <w:sz w:val="22"/>
          <w:szCs w:val="22"/>
        </w:rPr>
        <w:t>stadiometer</w:t>
      </w:r>
      <w:proofErr w:type="spellEnd"/>
      <w:r w:rsidRPr="0052381F">
        <w:rPr>
          <w:rFonts w:asciiTheme="minorHAnsi" w:hAnsiTheme="minorHAnsi"/>
          <w:sz w:val="22"/>
          <w:szCs w:val="22"/>
        </w:rPr>
        <w:t xml:space="preserve"> and recorded to the nearest millimeter, and body mass was measured on calibrated electronic scales to the nearest gram (both SECA, </w:t>
      </w:r>
      <w:smartTag w:uri="urn:schemas-microsoft-com:office:smarttags" w:element="place">
        <w:smartTag w:uri="urn:schemas-microsoft-com:office:smarttags" w:element="City">
          <w:r w:rsidRPr="0052381F">
            <w:rPr>
              <w:rFonts w:asciiTheme="minorHAnsi" w:hAnsiTheme="minorHAnsi"/>
              <w:sz w:val="22"/>
              <w:szCs w:val="22"/>
            </w:rPr>
            <w:t>Birmingham</w:t>
          </w:r>
        </w:smartTag>
        <w:r w:rsidRPr="0052381F">
          <w:rPr>
            <w:rFonts w:asciiTheme="minorHAnsi" w:hAnsiTheme="minorHAnsi"/>
            <w:sz w:val="22"/>
            <w:szCs w:val="22"/>
          </w:rPr>
          <w:t xml:space="preserve">, </w:t>
        </w:r>
        <w:smartTag w:uri="urn:schemas-microsoft-com:office:smarttags" w:element="country-region">
          <w:r w:rsidRPr="0052381F">
            <w:rPr>
              <w:rFonts w:asciiTheme="minorHAnsi" w:hAnsiTheme="minorHAnsi"/>
              <w:sz w:val="22"/>
              <w:szCs w:val="22"/>
            </w:rPr>
            <w:t>UK</w:t>
          </w:r>
        </w:smartTag>
      </w:smartTag>
      <w:r w:rsidRPr="0052381F">
        <w:rPr>
          <w:rFonts w:asciiTheme="minorHAnsi" w:hAnsiTheme="minorHAnsi"/>
          <w:sz w:val="22"/>
          <w:szCs w:val="22"/>
        </w:rPr>
        <w:t xml:space="preserve">). </w:t>
      </w:r>
      <w:r w:rsidRPr="0052381F">
        <w:rPr>
          <w:rFonts w:asciiTheme="minorHAnsi" w:hAnsiTheme="minorHAnsi"/>
          <w:sz w:val="22"/>
          <w:szCs w:val="22"/>
          <w:lang w:val="en-GB"/>
        </w:rPr>
        <w:t xml:space="preserve">Each participant received one lumbar spine (L1-L4) and one total hip scan on both the </w:t>
      </w:r>
      <w:proofErr w:type="spellStart"/>
      <w:r w:rsidRPr="0052381F">
        <w:rPr>
          <w:rFonts w:asciiTheme="minorHAnsi" w:hAnsiTheme="minorHAnsi"/>
          <w:sz w:val="22"/>
          <w:szCs w:val="22"/>
          <w:lang w:val="en-GB"/>
        </w:rPr>
        <w:t>iDXA</w:t>
      </w:r>
      <w:proofErr w:type="spellEnd"/>
      <w:r w:rsidRPr="0052381F">
        <w:rPr>
          <w:rFonts w:asciiTheme="minorHAnsi" w:hAnsiTheme="minorHAnsi"/>
          <w:sz w:val="22"/>
          <w:szCs w:val="22"/>
          <w:lang w:val="en-GB"/>
        </w:rPr>
        <w:t xml:space="preserve"> and the Prodigy within 24 hours. For all lumbar spine scans, positioning was assisted with the GE-Lunar spine </w:t>
      </w:r>
      <w:proofErr w:type="spellStart"/>
      <w:r w:rsidRPr="0052381F">
        <w:rPr>
          <w:rFonts w:asciiTheme="minorHAnsi" w:hAnsiTheme="minorHAnsi"/>
          <w:sz w:val="22"/>
          <w:szCs w:val="22"/>
          <w:lang w:val="en-GB"/>
        </w:rPr>
        <w:t>positioner</w:t>
      </w:r>
      <w:proofErr w:type="spellEnd"/>
      <w:r w:rsidRPr="0052381F">
        <w:rPr>
          <w:rFonts w:asciiTheme="minorHAnsi" w:hAnsiTheme="minorHAnsi"/>
          <w:sz w:val="22"/>
          <w:szCs w:val="22"/>
          <w:lang w:val="en-GB"/>
        </w:rPr>
        <w:t xml:space="preserve"> which elevates the legs and opens the inter-vertebral spaces to allow clear visualisation of the vertebra. </w:t>
      </w:r>
      <w:r w:rsidRPr="0052381F">
        <w:rPr>
          <w:rFonts w:asciiTheme="minorHAnsi" w:hAnsiTheme="minorHAnsi"/>
          <w:sz w:val="22"/>
          <w:szCs w:val="22"/>
        </w:rPr>
        <w:t xml:space="preserve">For all total hip scans, patient </w:t>
      </w:r>
      <w:r w:rsidRPr="0052381F">
        <w:rPr>
          <w:rFonts w:asciiTheme="minorHAnsi" w:hAnsiTheme="minorHAnsi"/>
          <w:sz w:val="22"/>
          <w:szCs w:val="22"/>
        </w:rPr>
        <w:lastRenderedPageBreak/>
        <w:t>positioning was assisted using the GE-dual femur positioning device which allows both legs to be abducted and inwardly rotated 25</w:t>
      </w:r>
      <w:r w:rsidRPr="0052381F">
        <w:rPr>
          <w:rFonts w:asciiTheme="minorHAnsi" w:hAnsiTheme="minorHAnsi"/>
          <w:sz w:val="22"/>
          <w:szCs w:val="22"/>
          <w:vertAlign w:val="superscript"/>
        </w:rPr>
        <w:t>o</w:t>
      </w:r>
      <w:r w:rsidRPr="0052381F">
        <w:rPr>
          <w:rFonts w:asciiTheme="minorHAnsi" w:hAnsiTheme="minorHAnsi"/>
          <w:sz w:val="22"/>
          <w:szCs w:val="22"/>
        </w:rPr>
        <w:t xml:space="preserve">. </w:t>
      </w:r>
      <w:r w:rsidRPr="0052381F">
        <w:rPr>
          <w:rFonts w:asciiTheme="minorHAnsi" w:hAnsiTheme="minorHAnsi"/>
          <w:bCs/>
          <w:sz w:val="22"/>
          <w:szCs w:val="22"/>
        </w:rPr>
        <w:t>Scans were analyzed using Encore software version 12.5 (Prodigy) and 13.5 (</w:t>
      </w:r>
      <w:proofErr w:type="spellStart"/>
      <w:r w:rsidRPr="0052381F">
        <w:rPr>
          <w:rFonts w:asciiTheme="minorHAnsi" w:hAnsiTheme="minorHAnsi"/>
          <w:bCs/>
          <w:sz w:val="22"/>
          <w:szCs w:val="22"/>
        </w:rPr>
        <w:t>iDXA</w:t>
      </w:r>
      <w:proofErr w:type="spellEnd"/>
      <w:r w:rsidRPr="0052381F">
        <w:rPr>
          <w:rFonts w:asciiTheme="minorHAnsi" w:hAnsiTheme="minorHAnsi"/>
          <w:bCs/>
          <w:sz w:val="22"/>
          <w:szCs w:val="22"/>
        </w:rPr>
        <w:t xml:space="preserve">). </w:t>
      </w:r>
      <w:r w:rsidRPr="0052381F">
        <w:rPr>
          <w:rFonts w:asciiTheme="minorHAnsi" w:hAnsiTheme="minorHAnsi"/>
          <w:sz w:val="22"/>
          <w:szCs w:val="22"/>
        </w:rPr>
        <w:t xml:space="preserve">The analysis of each scan was performed by the same experienced </w:t>
      </w:r>
      <w:proofErr w:type="spellStart"/>
      <w:r w:rsidRPr="0052381F">
        <w:rPr>
          <w:rFonts w:asciiTheme="minorHAnsi" w:hAnsiTheme="minorHAnsi"/>
          <w:sz w:val="22"/>
          <w:szCs w:val="22"/>
        </w:rPr>
        <w:t>densitometrist</w:t>
      </w:r>
      <w:proofErr w:type="spellEnd"/>
      <w:r w:rsidRPr="0052381F">
        <w:rPr>
          <w:rFonts w:asciiTheme="minorHAnsi" w:hAnsiTheme="minorHAnsi"/>
          <w:sz w:val="22"/>
          <w:szCs w:val="22"/>
        </w:rPr>
        <w:t>, manually for the lumbar spine for consistent placing of the inter-vertebrae spaces and with auto analysis used for the total hip.  Point typing and bone edge profiles were systematically monitored. BMD</w:t>
      </w:r>
      <w:r w:rsidRPr="0052381F">
        <w:rPr>
          <w:rFonts w:asciiTheme="minorHAnsi" w:hAnsiTheme="minorHAnsi"/>
          <w:sz w:val="22"/>
          <w:szCs w:val="22"/>
          <w:lang w:val="en-GB"/>
        </w:rPr>
        <w:t xml:space="preserve"> (mean value of a pixel-by-pixel measurement of the BMD within a defined bone area)</w:t>
      </w:r>
      <w:r w:rsidRPr="0052381F">
        <w:rPr>
          <w:rFonts w:asciiTheme="minorHAnsi" w:hAnsiTheme="minorHAnsi"/>
          <w:sz w:val="22"/>
          <w:szCs w:val="22"/>
        </w:rPr>
        <w:t>, BMC (</w:t>
      </w:r>
      <w:r w:rsidRPr="0052381F">
        <w:rPr>
          <w:rFonts w:asciiTheme="minorHAnsi" w:hAnsiTheme="minorHAnsi"/>
          <w:sz w:val="22"/>
          <w:szCs w:val="22"/>
          <w:lang w:val="en-GB"/>
        </w:rPr>
        <w:t>a derived quantity obtained by multiplying BMD by bone area)</w:t>
      </w:r>
      <w:r w:rsidRPr="0052381F">
        <w:rPr>
          <w:rFonts w:asciiTheme="minorHAnsi" w:hAnsiTheme="minorHAnsi"/>
          <w:sz w:val="22"/>
          <w:szCs w:val="22"/>
        </w:rPr>
        <w:t xml:space="preserve"> and bone area data were acquired from each scan. BMD T-scores, BMD Z-scores, percentage tissue fat and thickness parameters were also recorded.</w:t>
      </w:r>
      <w:r w:rsidR="0085600D">
        <w:rPr>
          <w:rFonts w:asciiTheme="minorHAnsi" w:hAnsiTheme="minorHAnsi"/>
          <w:bCs/>
          <w:sz w:val="22"/>
          <w:szCs w:val="22"/>
        </w:rPr>
        <w:t xml:space="preserve"> </w:t>
      </w:r>
      <w:r w:rsidRPr="0052381F">
        <w:rPr>
          <w:rFonts w:asciiTheme="minorHAnsi" w:hAnsiTheme="minorHAnsi"/>
          <w:sz w:val="22"/>
          <w:szCs w:val="22"/>
        </w:rPr>
        <w:t>Quality assurance and quality control observations were recorded according to manufacturer’s guidelines throughout the duration of the study; no equipments drifts or faults were reported during the period of study.</w:t>
      </w:r>
    </w:p>
    <w:p w:rsidR="00B93823" w:rsidRPr="00C55B7E" w:rsidRDefault="0085600D" w:rsidP="00611DCA">
      <w:pPr>
        <w:spacing w:line="480" w:lineRule="auto"/>
        <w:jc w:val="both"/>
        <w:rPr>
          <w:rFonts w:asciiTheme="minorHAnsi" w:hAnsiTheme="minorHAnsi"/>
          <w:sz w:val="22"/>
          <w:szCs w:val="22"/>
        </w:rPr>
      </w:pPr>
      <w:r>
        <w:rPr>
          <w:rFonts w:asciiTheme="minorHAnsi" w:hAnsiTheme="minorHAnsi"/>
          <w:sz w:val="22"/>
          <w:szCs w:val="22"/>
        </w:rPr>
        <w:tab/>
      </w:r>
      <w:r w:rsidR="0052381F" w:rsidRPr="0052381F">
        <w:rPr>
          <w:rFonts w:asciiTheme="minorHAnsi" w:hAnsiTheme="minorHAnsi"/>
          <w:sz w:val="22"/>
          <w:szCs w:val="22"/>
        </w:rPr>
        <w:t>In addition to the in-vivo measurements in-vitro cross calibration investigations were made using three spine phantoms. Measurements were made on both densitometers using the eleven individual vertebrae (BMD range 0.530 to 1.645g.cm</w:t>
      </w:r>
      <w:r w:rsidR="0052381F" w:rsidRPr="0052381F">
        <w:rPr>
          <w:rFonts w:asciiTheme="minorHAnsi" w:hAnsiTheme="minorHAnsi"/>
          <w:sz w:val="22"/>
          <w:szCs w:val="22"/>
          <w:vertAlign w:val="superscript"/>
        </w:rPr>
        <w:t>-2</w:t>
      </w:r>
      <w:r w:rsidR="0052381F" w:rsidRPr="0052381F">
        <w:rPr>
          <w:rFonts w:asciiTheme="minorHAnsi" w:hAnsiTheme="minorHAnsi"/>
          <w:sz w:val="22"/>
          <w:szCs w:val="22"/>
        </w:rPr>
        <w:t xml:space="preserve">) of three spine phantoms:  the GE-Lunar Aluminum (Al) SN9831 (16), the European spine phantom (ESP) (17) and the </w:t>
      </w:r>
      <w:smartTag w:uri="urn:schemas-microsoft-com:office:smarttags" w:element="place">
        <w:r w:rsidR="0052381F" w:rsidRPr="0052381F">
          <w:rPr>
            <w:rFonts w:asciiTheme="minorHAnsi" w:hAnsiTheme="minorHAnsi"/>
            <w:sz w:val="22"/>
            <w:szCs w:val="22"/>
          </w:rPr>
          <w:t>Leeds</w:t>
        </w:r>
      </w:smartTag>
      <w:r w:rsidR="0052381F" w:rsidRPr="0052381F">
        <w:rPr>
          <w:rFonts w:asciiTheme="minorHAnsi" w:hAnsiTheme="minorHAnsi"/>
          <w:sz w:val="22"/>
          <w:szCs w:val="22"/>
        </w:rPr>
        <w:t xml:space="preserve"> </w:t>
      </w:r>
      <w:proofErr w:type="spellStart"/>
      <w:r w:rsidR="0052381F" w:rsidRPr="0052381F">
        <w:rPr>
          <w:rFonts w:asciiTheme="minorHAnsi" w:hAnsiTheme="minorHAnsi"/>
          <w:sz w:val="22"/>
          <w:szCs w:val="22"/>
        </w:rPr>
        <w:t>paediatric</w:t>
      </w:r>
      <w:proofErr w:type="spellEnd"/>
      <w:r w:rsidR="0052381F" w:rsidRPr="0052381F">
        <w:rPr>
          <w:rFonts w:asciiTheme="minorHAnsi" w:hAnsiTheme="minorHAnsi"/>
          <w:sz w:val="22"/>
          <w:szCs w:val="22"/>
        </w:rPr>
        <w:t xml:space="preserve"> spine phantom (18). The GE-Lunar Al phantom has a wedge construction which simulates four lumbar vertebrae. The phantom was immersed in water to a depth of 15cm which simulates soft tissue (Thickness = 14.5cm: percentage tissue fat = 7.4%). Nominal BMD values for the four simulated vertebrae are 0.920:1.053:1.246:1.386 g.cm</w:t>
      </w:r>
      <w:r w:rsidR="0052381F" w:rsidRPr="0052381F">
        <w:rPr>
          <w:rFonts w:asciiTheme="minorHAnsi" w:hAnsiTheme="minorHAnsi"/>
          <w:sz w:val="22"/>
          <w:szCs w:val="22"/>
          <w:vertAlign w:val="superscript"/>
        </w:rPr>
        <w:t>-2</w:t>
      </w:r>
      <w:r w:rsidR="0052381F" w:rsidRPr="0052381F">
        <w:rPr>
          <w:rFonts w:asciiTheme="minorHAnsi" w:hAnsiTheme="minorHAnsi"/>
          <w:sz w:val="22"/>
          <w:szCs w:val="22"/>
        </w:rPr>
        <w:t xml:space="preserve">. The ESP was specifically developed for cross calibration of DXA scanners. (The ESP comprises of three semi-anthropomorphic calcium </w:t>
      </w:r>
      <w:proofErr w:type="spellStart"/>
      <w:r w:rsidR="0052381F" w:rsidRPr="0052381F">
        <w:rPr>
          <w:rFonts w:asciiTheme="minorHAnsi" w:hAnsiTheme="minorHAnsi"/>
          <w:sz w:val="22"/>
          <w:szCs w:val="22"/>
        </w:rPr>
        <w:t>hydroxyapatite</w:t>
      </w:r>
      <w:proofErr w:type="spellEnd"/>
      <w:r w:rsidR="0052381F" w:rsidRPr="0052381F">
        <w:rPr>
          <w:rFonts w:asciiTheme="minorHAnsi" w:hAnsiTheme="minorHAnsi"/>
          <w:sz w:val="22"/>
          <w:szCs w:val="22"/>
        </w:rPr>
        <w:t xml:space="preserve"> vertebrae which represent low BMD (0.630g.cm</w:t>
      </w:r>
      <w:r w:rsidR="0052381F" w:rsidRPr="0052381F">
        <w:rPr>
          <w:rFonts w:asciiTheme="minorHAnsi" w:hAnsiTheme="minorHAnsi"/>
          <w:sz w:val="22"/>
          <w:szCs w:val="22"/>
          <w:vertAlign w:val="superscript"/>
        </w:rPr>
        <w:t>-2</w:t>
      </w:r>
      <w:r w:rsidR="0052381F" w:rsidRPr="0052381F">
        <w:rPr>
          <w:rFonts w:asciiTheme="minorHAnsi" w:hAnsiTheme="minorHAnsi"/>
          <w:sz w:val="22"/>
          <w:szCs w:val="22"/>
        </w:rPr>
        <w:t>), medium BMD (1.080g.cm</w:t>
      </w:r>
      <w:r w:rsidR="0052381F" w:rsidRPr="0052381F">
        <w:rPr>
          <w:rFonts w:asciiTheme="minorHAnsi" w:hAnsiTheme="minorHAnsi"/>
          <w:sz w:val="22"/>
          <w:szCs w:val="22"/>
          <w:vertAlign w:val="superscript"/>
        </w:rPr>
        <w:t>-2</w:t>
      </w:r>
      <w:r w:rsidR="0052381F" w:rsidRPr="0052381F">
        <w:rPr>
          <w:rFonts w:asciiTheme="minorHAnsi" w:hAnsiTheme="minorHAnsi"/>
          <w:sz w:val="22"/>
          <w:szCs w:val="22"/>
        </w:rPr>
        <w:t>) and high BMD (1.645g.cm</w:t>
      </w:r>
      <w:r w:rsidR="0052381F" w:rsidRPr="0052381F">
        <w:rPr>
          <w:rFonts w:asciiTheme="minorHAnsi" w:hAnsiTheme="minorHAnsi"/>
          <w:sz w:val="22"/>
          <w:szCs w:val="22"/>
          <w:vertAlign w:val="superscript"/>
        </w:rPr>
        <w:t>-2</w:t>
      </w:r>
      <w:r w:rsidR="0052381F" w:rsidRPr="0052381F">
        <w:rPr>
          <w:rFonts w:asciiTheme="minorHAnsi" w:hAnsiTheme="minorHAnsi"/>
          <w:sz w:val="22"/>
          <w:szCs w:val="22"/>
        </w:rPr>
        <w:t xml:space="preserve">) embedded in an epoxy resin which simulates soft tissue (Thickness = 17.8cm  percentage tissue fat =9.0%). The anthropometric </w:t>
      </w:r>
      <w:smartTag w:uri="urn:schemas-microsoft-com:office:smarttags" w:element="place">
        <w:r w:rsidR="0052381F" w:rsidRPr="0052381F">
          <w:rPr>
            <w:rFonts w:asciiTheme="minorHAnsi" w:hAnsiTheme="minorHAnsi"/>
            <w:sz w:val="22"/>
            <w:szCs w:val="22"/>
          </w:rPr>
          <w:t>Leeds</w:t>
        </w:r>
      </w:smartTag>
      <w:r w:rsidR="0052381F" w:rsidRPr="0052381F">
        <w:rPr>
          <w:rFonts w:asciiTheme="minorHAnsi" w:hAnsiTheme="minorHAnsi"/>
          <w:sz w:val="22"/>
          <w:szCs w:val="22"/>
        </w:rPr>
        <w:t xml:space="preserve"> </w:t>
      </w:r>
      <w:proofErr w:type="spellStart"/>
      <w:r w:rsidR="0052381F" w:rsidRPr="0052381F">
        <w:rPr>
          <w:rFonts w:asciiTheme="minorHAnsi" w:hAnsiTheme="minorHAnsi"/>
          <w:sz w:val="22"/>
          <w:szCs w:val="22"/>
        </w:rPr>
        <w:t>paediatric</w:t>
      </w:r>
      <w:proofErr w:type="spellEnd"/>
      <w:r w:rsidR="0052381F" w:rsidRPr="0052381F">
        <w:rPr>
          <w:rFonts w:asciiTheme="minorHAnsi" w:hAnsiTheme="minorHAnsi"/>
          <w:sz w:val="22"/>
          <w:szCs w:val="22"/>
        </w:rPr>
        <w:t xml:space="preserve"> lumbar spine phantom is constructed from epoxy resin and bone analogue </w:t>
      </w:r>
      <w:r w:rsidR="0052381F" w:rsidRPr="0052381F">
        <w:rPr>
          <w:rFonts w:asciiTheme="minorHAnsi" w:hAnsiTheme="minorHAnsi"/>
          <w:sz w:val="22"/>
          <w:szCs w:val="22"/>
        </w:rPr>
        <w:lastRenderedPageBreak/>
        <w:t xml:space="preserve">grade </w:t>
      </w:r>
      <w:proofErr w:type="spellStart"/>
      <w:r w:rsidR="0052381F" w:rsidRPr="0052381F">
        <w:rPr>
          <w:rFonts w:asciiTheme="minorHAnsi" w:hAnsiTheme="minorHAnsi"/>
          <w:sz w:val="22"/>
          <w:szCs w:val="22"/>
        </w:rPr>
        <w:t>hydroxyapitite</w:t>
      </w:r>
      <w:proofErr w:type="spellEnd"/>
      <w:r w:rsidR="0052381F" w:rsidRPr="0052381F">
        <w:rPr>
          <w:rFonts w:asciiTheme="minorHAnsi" w:hAnsiTheme="minorHAnsi"/>
          <w:sz w:val="22"/>
          <w:szCs w:val="22"/>
        </w:rPr>
        <w:t>. It consists of six vertebrae embedded in an 11.5cm thick acrylic block. The inner four vertebrae represent regions L1-L4. Nominal BMD values for the four vertebrae are 0.530:0.790:0.950:1.045g.cm</w:t>
      </w:r>
      <w:r w:rsidR="0052381F" w:rsidRPr="0052381F">
        <w:rPr>
          <w:rFonts w:asciiTheme="minorHAnsi" w:hAnsiTheme="minorHAnsi"/>
          <w:sz w:val="22"/>
          <w:szCs w:val="22"/>
          <w:vertAlign w:val="superscript"/>
        </w:rPr>
        <w:t>-2</w:t>
      </w:r>
      <w:r w:rsidR="0052381F" w:rsidRPr="0052381F">
        <w:rPr>
          <w:rFonts w:asciiTheme="minorHAnsi" w:hAnsiTheme="minorHAnsi"/>
          <w:sz w:val="22"/>
          <w:szCs w:val="22"/>
        </w:rPr>
        <w:t xml:space="preserve"> (Thickness = 18.6cm and percentage tissue fat =14.0%). The two vertebrae at the extremities are identical to the adjacent vertebrae this enables the scan to stop and start within a bone region. Ten scans on each densitometer were performed without repositioning.</w:t>
      </w:r>
    </w:p>
    <w:p w:rsidR="00A53C84" w:rsidRPr="00C55B7E" w:rsidRDefault="00A53C84" w:rsidP="00611DCA">
      <w:pPr>
        <w:spacing w:line="480" w:lineRule="auto"/>
        <w:jc w:val="both"/>
        <w:rPr>
          <w:rFonts w:asciiTheme="minorHAnsi" w:hAnsiTheme="minorHAnsi"/>
          <w:b/>
          <w:sz w:val="22"/>
          <w:szCs w:val="22"/>
        </w:rPr>
      </w:pPr>
    </w:p>
    <w:p w:rsidR="007B0D22" w:rsidRPr="00C55B7E" w:rsidRDefault="0052381F" w:rsidP="007B0D22">
      <w:pPr>
        <w:spacing w:line="480" w:lineRule="auto"/>
        <w:jc w:val="both"/>
        <w:rPr>
          <w:rFonts w:asciiTheme="minorHAnsi" w:hAnsiTheme="minorHAnsi"/>
          <w:bCs/>
          <w:i/>
          <w:sz w:val="22"/>
          <w:szCs w:val="22"/>
          <w:lang w:val="en-GB"/>
        </w:rPr>
      </w:pPr>
      <w:r w:rsidRPr="0052381F">
        <w:rPr>
          <w:rFonts w:asciiTheme="minorHAnsi" w:hAnsiTheme="minorHAnsi"/>
          <w:bCs/>
          <w:i/>
          <w:sz w:val="22"/>
          <w:szCs w:val="22"/>
          <w:lang w:val="en-GB"/>
        </w:rPr>
        <w:t>Statistical analysis</w:t>
      </w:r>
    </w:p>
    <w:p w:rsidR="007B0D22" w:rsidRPr="00C55B7E" w:rsidRDefault="0052381F" w:rsidP="007B0D22">
      <w:pPr>
        <w:spacing w:line="480" w:lineRule="auto"/>
        <w:jc w:val="both"/>
        <w:rPr>
          <w:rFonts w:asciiTheme="minorHAnsi" w:hAnsiTheme="minorHAnsi"/>
          <w:bCs/>
          <w:sz w:val="22"/>
          <w:szCs w:val="22"/>
          <w:lang w:val="en-GB"/>
        </w:rPr>
      </w:pPr>
      <w:r w:rsidRPr="0052381F">
        <w:rPr>
          <w:rFonts w:asciiTheme="minorHAnsi" w:hAnsiTheme="minorHAnsi"/>
          <w:bCs/>
          <w:sz w:val="22"/>
          <w:szCs w:val="22"/>
          <w:lang w:val="en-GB"/>
        </w:rPr>
        <w:t xml:space="preserve">Descriptive statistics are presented as the mean and the standard deviation of the mean (SD). Two tailed paired t-tests were applied to test for significant differences between parameters derived by the two densitometers.  To derive the cross calibration equations, we used three statistical methods: linear regression, Deming regression and multivariate analysis. To establish </w:t>
      </w:r>
      <w:r w:rsidRPr="0052381F">
        <w:rPr>
          <w:rFonts w:asciiTheme="minorHAnsi" w:hAnsiTheme="minorHAnsi"/>
          <w:sz w:val="22"/>
          <w:szCs w:val="22"/>
        </w:rPr>
        <w:t>the association and agreement between the two densitometers Bland Altman analysis was performed.</w:t>
      </w:r>
      <w:r w:rsidRPr="0052381F">
        <w:rPr>
          <w:rFonts w:asciiTheme="minorHAnsi" w:hAnsiTheme="minorHAnsi"/>
          <w:bCs/>
          <w:sz w:val="22"/>
          <w:szCs w:val="22"/>
          <w:lang w:val="en-GB"/>
        </w:rPr>
        <w:t xml:space="preserve"> All statistical analyses were performed using Analyse-It (Leeds </w:t>
      </w:r>
      <w:smartTag w:uri="urn:schemas-microsoft-com:office:smarttags" w:element="place">
        <w:smartTag w:uri="urn:schemas-microsoft-com:office:smarttags" w:element="country-region">
          <w:r w:rsidRPr="0052381F">
            <w:rPr>
              <w:rFonts w:asciiTheme="minorHAnsi" w:hAnsiTheme="minorHAnsi"/>
              <w:bCs/>
              <w:sz w:val="22"/>
              <w:szCs w:val="22"/>
              <w:lang w:val="en-GB"/>
            </w:rPr>
            <w:t>UK</w:t>
          </w:r>
        </w:smartTag>
      </w:smartTag>
      <w:r w:rsidRPr="0052381F">
        <w:rPr>
          <w:rFonts w:asciiTheme="minorHAnsi" w:hAnsiTheme="minorHAnsi"/>
          <w:bCs/>
          <w:sz w:val="22"/>
          <w:szCs w:val="22"/>
          <w:lang w:val="en-GB"/>
        </w:rPr>
        <w:t>) and IBM SPSS Version 19.0 .The level of significance for all statistical tests was p&lt;0.05.</w:t>
      </w:r>
    </w:p>
    <w:p w:rsidR="007B0D22" w:rsidRPr="00C55B7E" w:rsidRDefault="0052381F" w:rsidP="0094500E">
      <w:pPr>
        <w:spacing w:line="480" w:lineRule="auto"/>
        <w:jc w:val="both"/>
        <w:rPr>
          <w:rFonts w:asciiTheme="minorHAnsi" w:hAnsiTheme="minorHAnsi"/>
          <w:bCs/>
          <w:sz w:val="22"/>
          <w:szCs w:val="22"/>
          <w:lang w:val="en-GB"/>
        </w:rPr>
      </w:pPr>
      <w:r w:rsidRPr="0052381F">
        <w:rPr>
          <w:rFonts w:asciiTheme="minorHAnsi" w:hAnsiTheme="minorHAnsi"/>
          <w:bCs/>
          <w:sz w:val="22"/>
          <w:szCs w:val="22"/>
          <w:lang w:val="en-GB"/>
        </w:rPr>
        <w:t>Linear regression makes assumptions about the X and Y variables in the analysis. The X variable (independent) is assumed to be precise and the error in the regression is assumed to be in the Y variable (dependant). We compared two DXA densitometers, and both are inherently subject to measurement error.</w:t>
      </w:r>
      <w:r w:rsidRPr="0052381F">
        <w:rPr>
          <w:rFonts w:asciiTheme="minorHAnsi" w:hAnsiTheme="minorHAnsi"/>
          <w:sz w:val="22"/>
          <w:szCs w:val="22"/>
        </w:rPr>
        <w:t xml:space="preserve"> </w:t>
      </w:r>
      <w:r w:rsidRPr="0052381F">
        <w:rPr>
          <w:rFonts w:asciiTheme="minorHAnsi" w:hAnsiTheme="minorHAnsi"/>
          <w:bCs/>
          <w:sz w:val="22"/>
          <w:szCs w:val="22"/>
          <w:lang w:val="en-GB"/>
        </w:rPr>
        <w:t xml:space="preserve">The 95% confidence intervals (CI) of the intercept were calculated and if not significantly different from zero, the regression was forced through zero. The 95% CI for the slopes were calculated and if the slope was significantly different from one then cross calibration is required. The standard errors of analysis (SEE) for the equations were also compared.  In this study, the Prodigy densitometer was the X variable and the </w:t>
      </w:r>
      <w:proofErr w:type="spellStart"/>
      <w:r w:rsidRPr="0052381F">
        <w:rPr>
          <w:rFonts w:asciiTheme="minorHAnsi" w:hAnsiTheme="minorHAnsi"/>
          <w:bCs/>
          <w:sz w:val="22"/>
          <w:szCs w:val="22"/>
          <w:lang w:val="en-GB"/>
        </w:rPr>
        <w:t>iDXA</w:t>
      </w:r>
      <w:proofErr w:type="spellEnd"/>
      <w:r w:rsidRPr="0052381F">
        <w:rPr>
          <w:rFonts w:asciiTheme="minorHAnsi" w:hAnsiTheme="minorHAnsi"/>
          <w:bCs/>
          <w:sz w:val="22"/>
          <w:szCs w:val="22"/>
          <w:lang w:val="en-GB"/>
        </w:rPr>
        <w:t xml:space="preserve"> the Y variable, since cross calibration equations are required to predict the </w:t>
      </w:r>
      <w:proofErr w:type="spellStart"/>
      <w:r w:rsidRPr="0052381F">
        <w:rPr>
          <w:rFonts w:asciiTheme="minorHAnsi" w:hAnsiTheme="minorHAnsi"/>
          <w:bCs/>
          <w:sz w:val="22"/>
          <w:szCs w:val="22"/>
          <w:lang w:val="en-GB"/>
        </w:rPr>
        <w:t>iDXA</w:t>
      </w:r>
      <w:proofErr w:type="spellEnd"/>
      <w:r w:rsidRPr="0052381F">
        <w:rPr>
          <w:rFonts w:asciiTheme="minorHAnsi" w:hAnsiTheme="minorHAnsi"/>
          <w:bCs/>
          <w:sz w:val="22"/>
          <w:szCs w:val="22"/>
          <w:lang w:val="en-GB"/>
        </w:rPr>
        <w:t xml:space="preserve"> value from the </w:t>
      </w:r>
      <w:r w:rsidRPr="0052381F">
        <w:rPr>
          <w:rFonts w:asciiTheme="minorHAnsi" w:hAnsiTheme="minorHAnsi"/>
          <w:bCs/>
          <w:sz w:val="22"/>
          <w:szCs w:val="22"/>
          <w:lang w:val="en-GB"/>
        </w:rPr>
        <w:lastRenderedPageBreak/>
        <w:t xml:space="preserve">Prodigy value. The Deming regression method differs from standard linear regression, in that it accounts for errors in the measurements for both X and Y variables. In this method, previously determined BMD precisions for both densitometers at the three measurement sites were used (4,15). </w:t>
      </w:r>
      <w:r w:rsidRPr="0052381F">
        <w:rPr>
          <w:rFonts w:asciiTheme="minorHAnsi" w:hAnsiTheme="minorHAnsi"/>
          <w:sz w:val="22"/>
          <w:szCs w:val="22"/>
        </w:rPr>
        <w:t xml:space="preserve">Multivariate stepwise regression analysis was performed to determine if the variables age, height, weight, BMI, gender, spine and thickness or percentage fat at the measurement site influenced cross calibration. </w:t>
      </w:r>
      <w:r w:rsidRPr="0052381F">
        <w:rPr>
          <w:rFonts w:asciiTheme="minorHAnsi" w:hAnsiTheme="minorHAnsi"/>
          <w:bCs/>
          <w:sz w:val="22"/>
          <w:szCs w:val="22"/>
          <w:lang w:val="en-GB"/>
        </w:rPr>
        <w:t xml:space="preserve">The differences between the densitometers were analysed using the Bland-Altman analysis (19), the mean difference in the measurements (Prodigy – </w:t>
      </w:r>
      <w:proofErr w:type="spellStart"/>
      <w:r w:rsidRPr="0052381F">
        <w:rPr>
          <w:rFonts w:asciiTheme="minorHAnsi" w:hAnsiTheme="minorHAnsi"/>
          <w:bCs/>
          <w:sz w:val="22"/>
          <w:szCs w:val="22"/>
          <w:lang w:val="en-GB"/>
        </w:rPr>
        <w:t>iDXA</w:t>
      </w:r>
      <w:proofErr w:type="spellEnd"/>
      <w:r w:rsidRPr="0052381F">
        <w:rPr>
          <w:rFonts w:asciiTheme="minorHAnsi" w:hAnsiTheme="minorHAnsi"/>
          <w:bCs/>
          <w:sz w:val="22"/>
          <w:szCs w:val="22"/>
          <w:lang w:val="en-GB"/>
        </w:rPr>
        <w:t xml:space="preserve">) were plotted against the mean value of the measurements. Significance was reached if the 95%CI of the mean difference did not include zero. Limits of Agreement (LOA) were derived from the mean difference +/-1.96 SD. The correlations of the differences and mean values were derived to determine if any observed differences were dependent on the magnitude of the measurement. </w:t>
      </w:r>
    </w:p>
    <w:p w:rsidR="007B0D22" w:rsidRPr="00C55B7E" w:rsidRDefault="007B0D22" w:rsidP="007B0D22">
      <w:pPr>
        <w:spacing w:line="480" w:lineRule="auto"/>
        <w:jc w:val="both"/>
        <w:rPr>
          <w:rFonts w:asciiTheme="minorHAnsi" w:hAnsiTheme="minorHAnsi"/>
          <w:bCs/>
          <w:sz w:val="22"/>
          <w:szCs w:val="22"/>
          <w:lang w:val="en-GB"/>
        </w:rPr>
      </w:pPr>
    </w:p>
    <w:p w:rsidR="0085600D" w:rsidRPr="00C55B7E" w:rsidRDefault="0052381F" w:rsidP="00795C04">
      <w:pPr>
        <w:spacing w:line="480" w:lineRule="auto"/>
        <w:jc w:val="both"/>
        <w:rPr>
          <w:rFonts w:asciiTheme="minorHAnsi" w:hAnsiTheme="minorHAnsi"/>
          <w:b/>
          <w:bCs/>
          <w:sz w:val="22"/>
          <w:szCs w:val="22"/>
          <w:lang w:val="en-GB"/>
        </w:rPr>
      </w:pPr>
      <w:r w:rsidRPr="0052381F">
        <w:rPr>
          <w:rFonts w:asciiTheme="minorHAnsi" w:hAnsiTheme="minorHAnsi"/>
          <w:b/>
          <w:bCs/>
          <w:sz w:val="22"/>
          <w:szCs w:val="22"/>
          <w:lang w:val="en-GB"/>
        </w:rPr>
        <w:t>Results</w:t>
      </w:r>
    </w:p>
    <w:p w:rsidR="00795C04" w:rsidRPr="00C55B7E" w:rsidRDefault="0052381F" w:rsidP="00795C04">
      <w:pPr>
        <w:spacing w:line="480" w:lineRule="auto"/>
        <w:jc w:val="both"/>
        <w:rPr>
          <w:rFonts w:asciiTheme="minorHAnsi" w:hAnsiTheme="minorHAnsi"/>
          <w:sz w:val="22"/>
          <w:szCs w:val="22"/>
        </w:rPr>
      </w:pPr>
      <w:r w:rsidRPr="0052381F">
        <w:rPr>
          <w:rFonts w:asciiTheme="minorHAnsi" w:hAnsiTheme="minorHAnsi"/>
          <w:i/>
          <w:sz w:val="22"/>
          <w:szCs w:val="22"/>
        </w:rPr>
        <w:t>In-vitro</w:t>
      </w:r>
      <w:r w:rsidRPr="0052381F">
        <w:rPr>
          <w:rFonts w:asciiTheme="minorHAnsi" w:hAnsiTheme="minorHAnsi"/>
          <w:sz w:val="22"/>
          <w:szCs w:val="22"/>
        </w:rPr>
        <w:t xml:space="preserve"> cross-calibration</w:t>
      </w:r>
    </w:p>
    <w:p w:rsidR="00795C04" w:rsidRPr="00C55B7E" w:rsidRDefault="0052381F" w:rsidP="00795C04">
      <w:pPr>
        <w:spacing w:line="480" w:lineRule="auto"/>
        <w:jc w:val="both"/>
        <w:rPr>
          <w:rFonts w:asciiTheme="minorHAnsi" w:hAnsiTheme="minorHAnsi"/>
          <w:b/>
          <w:sz w:val="22"/>
          <w:szCs w:val="22"/>
        </w:rPr>
      </w:pPr>
      <w:r w:rsidRPr="0052381F">
        <w:rPr>
          <w:rFonts w:asciiTheme="minorHAnsi" w:hAnsiTheme="minorHAnsi"/>
          <w:bCs/>
          <w:sz w:val="22"/>
          <w:szCs w:val="22"/>
          <w:lang w:val="en-GB"/>
        </w:rPr>
        <w:t xml:space="preserve">There were no significant differences between the Prodigy and </w:t>
      </w:r>
      <w:proofErr w:type="spellStart"/>
      <w:r w:rsidRPr="0052381F">
        <w:rPr>
          <w:rFonts w:asciiTheme="minorHAnsi" w:hAnsiTheme="minorHAnsi"/>
          <w:bCs/>
          <w:sz w:val="22"/>
          <w:szCs w:val="22"/>
          <w:lang w:val="en-GB"/>
        </w:rPr>
        <w:t>iDXA</w:t>
      </w:r>
      <w:proofErr w:type="spellEnd"/>
      <w:r w:rsidRPr="0052381F">
        <w:rPr>
          <w:rFonts w:asciiTheme="minorHAnsi" w:hAnsiTheme="minorHAnsi"/>
          <w:bCs/>
          <w:sz w:val="22"/>
          <w:szCs w:val="22"/>
          <w:lang w:val="en-GB"/>
        </w:rPr>
        <w:t xml:space="preserve"> for BMD, BMC and bone area measurements of the eleven simulated vertebrae of the three phantoms. Linear regression analysis of BMD indicated excellent agreement between the two densitometers with intercept and slope not significantly different from zero and one respectively (Figure 1), this would suggest that cross calibration is not required.  </w:t>
      </w:r>
    </w:p>
    <w:p w:rsidR="0094500E" w:rsidRPr="00C55B7E" w:rsidRDefault="0094500E" w:rsidP="00A94F49">
      <w:pPr>
        <w:spacing w:line="480" w:lineRule="auto"/>
        <w:jc w:val="both"/>
        <w:rPr>
          <w:rFonts w:asciiTheme="minorHAnsi" w:hAnsiTheme="minorHAnsi"/>
          <w:b/>
          <w:sz w:val="22"/>
          <w:szCs w:val="22"/>
        </w:rPr>
      </w:pPr>
    </w:p>
    <w:p w:rsidR="00A94F49" w:rsidRPr="00C55B7E" w:rsidRDefault="0052381F" w:rsidP="00A94F49">
      <w:pPr>
        <w:spacing w:line="480" w:lineRule="auto"/>
        <w:jc w:val="both"/>
        <w:rPr>
          <w:rFonts w:asciiTheme="minorHAnsi" w:hAnsiTheme="minorHAnsi"/>
          <w:sz w:val="22"/>
          <w:szCs w:val="22"/>
        </w:rPr>
      </w:pPr>
      <w:r w:rsidRPr="0052381F">
        <w:rPr>
          <w:rFonts w:asciiTheme="minorHAnsi" w:hAnsiTheme="minorHAnsi"/>
          <w:i/>
          <w:sz w:val="22"/>
          <w:szCs w:val="22"/>
        </w:rPr>
        <w:t>In-vivo</w:t>
      </w:r>
      <w:r w:rsidRPr="0052381F">
        <w:rPr>
          <w:rFonts w:asciiTheme="minorHAnsi" w:hAnsiTheme="minorHAnsi"/>
          <w:sz w:val="22"/>
          <w:szCs w:val="22"/>
        </w:rPr>
        <w:t xml:space="preserve"> cross-calibration</w:t>
      </w:r>
    </w:p>
    <w:p w:rsidR="00F85185" w:rsidRPr="00C55B7E" w:rsidRDefault="0052381F" w:rsidP="00A94F49">
      <w:pPr>
        <w:spacing w:line="480" w:lineRule="auto"/>
        <w:jc w:val="both"/>
        <w:rPr>
          <w:rFonts w:asciiTheme="minorHAnsi" w:hAnsiTheme="minorHAnsi"/>
          <w:bCs/>
          <w:sz w:val="22"/>
          <w:szCs w:val="22"/>
          <w:lang w:val="en-GB"/>
        </w:rPr>
      </w:pPr>
      <w:r w:rsidRPr="0052381F">
        <w:rPr>
          <w:rFonts w:asciiTheme="minorHAnsi" w:hAnsiTheme="minorHAnsi"/>
          <w:bCs/>
          <w:sz w:val="22"/>
          <w:szCs w:val="22"/>
          <w:lang w:val="en-GB"/>
        </w:rPr>
        <w:t xml:space="preserve">The mean (SD) values for BMD, BMC, bone area, T-scores, Z-scores, percentage fat tissue and body thickness at the measured sites are presented in Table </w:t>
      </w:r>
      <w:r w:rsidR="0085600D">
        <w:rPr>
          <w:rFonts w:asciiTheme="minorHAnsi" w:hAnsiTheme="minorHAnsi"/>
          <w:bCs/>
          <w:sz w:val="22"/>
          <w:szCs w:val="22"/>
          <w:lang w:val="en-GB"/>
        </w:rPr>
        <w:t>2</w:t>
      </w:r>
      <w:r w:rsidRPr="0052381F">
        <w:rPr>
          <w:rFonts w:asciiTheme="minorHAnsi" w:hAnsiTheme="minorHAnsi"/>
          <w:bCs/>
          <w:sz w:val="22"/>
          <w:szCs w:val="22"/>
          <w:lang w:val="en-GB"/>
        </w:rPr>
        <w:t xml:space="preserve">. Across the cohort no significant </w:t>
      </w:r>
      <w:r w:rsidRPr="0052381F">
        <w:rPr>
          <w:rFonts w:asciiTheme="minorHAnsi" w:hAnsiTheme="minorHAnsi"/>
          <w:bCs/>
          <w:sz w:val="22"/>
          <w:szCs w:val="22"/>
          <w:lang w:val="en-GB"/>
        </w:rPr>
        <w:lastRenderedPageBreak/>
        <w:t xml:space="preserve">differences were observed between right and left hip measurements so only the right hip data are reported here. The </w:t>
      </w:r>
      <w:proofErr w:type="spellStart"/>
      <w:r w:rsidRPr="0052381F">
        <w:rPr>
          <w:rFonts w:asciiTheme="minorHAnsi" w:hAnsiTheme="minorHAnsi"/>
          <w:bCs/>
          <w:sz w:val="22"/>
          <w:szCs w:val="22"/>
          <w:lang w:val="en-GB"/>
        </w:rPr>
        <w:t>iDXA</w:t>
      </w:r>
      <w:proofErr w:type="spellEnd"/>
      <w:r w:rsidRPr="0052381F">
        <w:rPr>
          <w:rFonts w:asciiTheme="minorHAnsi" w:hAnsiTheme="minorHAnsi"/>
          <w:bCs/>
          <w:sz w:val="22"/>
          <w:szCs w:val="22"/>
          <w:lang w:val="en-GB"/>
        </w:rPr>
        <w:t xml:space="preserve"> lumbar spine BMD and BMC were lower than the Prodigy values (p&lt;0.05; p&lt;0.01 respectively). At the femoral neck, although </w:t>
      </w:r>
      <w:proofErr w:type="spellStart"/>
      <w:r w:rsidRPr="0052381F">
        <w:rPr>
          <w:rFonts w:asciiTheme="minorHAnsi" w:hAnsiTheme="minorHAnsi"/>
          <w:bCs/>
          <w:sz w:val="22"/>
          <w:szCs w:val="22"/>
          <w:lang w:val="en-GB"/>
        </w:rPr>
        <w:t>iDXA</w:t>
      </w:r>
      <w:proofErr w:type="spellEnd"/>
      <w:r w:rsidRPr="0052381F">
        <w:rPr>
          <w:rFonts w:asciiTheme="minorHAnsi" w:hAnsiTheme="minorHAnsi"/>
          <w:bCs/>
          <w:sz w:val="22"/>
          <w:szCs w:val="22"/>
          <w:lang w:val="en-GB"/>
        </w:rPr>
        <w:t xml:space="preserve"> BMD was lower (p&lt;0.01) than the Prodigy BMD values, BMC and bone area were higher (p&lt;0.05 and p&lt;0.0001 respectively). At the total hip no difference was observed in BMD, however, the </w:t>
      </w:r>
      <w:proofErr w:type="spellStart"/>
      <w:r w:rsidRPr="0052381F">
        <w:rPr>
          <w:rFonts w:asciiTheme="minorHAnsi" w:hAnsiTheme="minorHAnsi"/>
          <w:bCs/>
          <w:sz w:val="22"/>
          <w:szCs w:val="22"/>
          <w:lang w:val="en-GB"/>
        </w:rPr>
        <w:t>iDXA</w:t>
      </w:r>
      <w:proofErr w:type="spellEnd"/>
      <w:r w:rsidRPr="0052381F">
        <w:rPr>
          <w:rFonts w:asciiTheme="minorHAnsi" w:hAnsiTheme="minorHAnsi"/>
          <w:bCs/>
          <w:sz w:val="22"/>
          <w:szCs w:val="22"/>
          <w:lang w:val="en-GB"/>
        </w:rPr>
        <w:t xml:space="preserve"> values for BMC and bone area were higher than the Prodigy values (both p&lt;0.0001). At the lumbar spine there was no differences in percentage tissue fat but a difference was found in the estimation of tissue thickness (p&lt;0.005). At the total hip differences were observed for percentage tissue fat (p&lt;0.05) and  tissue thickness (p&lt;0.01).</w:t>
      </w:r>
    </w:p>
    <w:p w:rsidR="00F85185" w:rsidRPr="00C55B7E" w:rsidRDefault="0085600D" w:rsidP="00FC6924">
      <w:pPr>
        <w:spacing w:line="480" w:lineRule="auto"/>
        <w:jc w:val="both"/>
        <w:rPr>
          <w:rFonts w:asciiTheme="minorHAnsi" w:hAnsiTheme="minorHAnsi"/>
          <w:bCs/>
          <w:sz w:val="22"/>
          <w:szCs w:val="22"/>
          <w:lang w:val="en-GB"/>
        </w:rPr>
      </w:pPr>
      <w:r>
        <w:rPr>
          <w:rFonts w:asciiTheme="minorHAnsi" w:hAnsiTheme="minorHAnsi"/>
          <w:bCs/>
          <w:sz w:val="22"/>
          <w:szCs w:val="22"/>
          <w:lang w:val="en-GB"/>
        </w:rPr>
        <w:tab/>
      </w:r>
      <w:r w:rsidR="0052381F" w:rsidRPr="0052381F">
        <w:rPr>
          <w:rFonts w:asciiTheme="minorHAnsi" w:hAnsiTheme="minorHAnsi"/>
          <w:bCs/>
          <w:sz w:val="22"/>
          <w:szCs w:val="22"/>
          <w:lang w:val="en-GB"/>
        </w:rPr>
        <w:t xml:space="preserve">The results of the linear regression and Deming analyses of BMD measurements are given in Table </w:t>
      </w:r>
      <w:r>
        <w:rPr>
          <w:rFonts w:asciiTheme="minorHAnsi" w:hAnsiTheme="minorHAnsi"/>
          <w:bCs/>
          <w:sz w:val="22"/>
          <w:szCs w:val="22"/>
          <w:lang w:val="en-GB"/>
        </w:rPr>
        <w:t>3</w:t>
      </w:r>
      <w:r w:rsidR="0052381F" w:rsidRPr="0052381F">
        <w:rPr>
          <w:rFonts w:asciiTheme="minorHAnsi" w:hAnsiTheme="minorHAnsi"/>
          <w:bCs/>
          <w:sz w:val="22"/>
          <w:szCs w:val="22"/>
          <w:lang w:val="en-GB"/>
        </w:rPr>
        <w:t xml:space="preserve">. Linear regression and Deming analysis of lumbar spine BMD indicated an intercept and slope different from zero and unity (Figure 2) suggesting difference between the densitometers using both linear regression methods. The 95%CI indicated no differences between the intercept or slope between the two analysis methods. For femoral neck BMD, linear regression analysis (Figure 3) and Deming analysis had a zero intercept and unity slope suggesting agreement using both linear regression methods. For total hip BMD, linear regression analysis (Figure 4) had a significant intercept and slope less than unity. For the Deming analysis, the intercept was not significant and the slope was not different from unity at the 95%CI level.   </w:t>
      </w:r>
    </w:p>
    <w:p w:rsidR="00F85185" w:rsidRPr="00C55B7E" w:rsidRDefault="0085600D" w:rsidP="00A94F49">
      <w:pPr>
        <w:spacing w:line="480" w:lineRule="auto"/>
        <w:jc w:val="both"/>
        <w:rPr>
          <w:rFonts w:asciiTheme="minorHAnsi" w:hAnsiTheme="minorHAnsi"/>
          <w:bCs/>
          <w:sz w:val="22"/>
          <w:szCs w:val="22"/>
          <w:lang w:val="en-GB"/>
        </w:rPr>
      </w:pPr>
      <w:r>
        <w:rPr>
          <w:rFonts w:asciiTheme="minorHAnsi" w:hAnsiTheme="minorHAnsi"/>
          <w:bCs/>
          <w:sz w:val="22"/>
          <w:szCs w:val="22"/>
          <w:lang w:val="en-GB"/>
        </w:rPr>
        <w:tab/>
      </w:r>
      <w:r w:rsidR="0052381F" w:rsidRPr="0052381F">
        <w:rPr>
          <w:rFonts w:asciiTheme="minorHAnsi" w:hAnsiTheme="minorHAnsi"/>
          <w:bCs/>
          <w:sz w:val="22"/>
          <w:szCs w:val="22"/>
          <w:lang w:val="en-GB"/>
        </w:rPr>
        <w:t xml:space="preserve">Multivariate regression analysis indicated that age, gender, height, weight, BMI, tissue thickness and percentage tissue fat at the measurement site did not </w:t>
      </w:r>
      <w:proofErr w:type="spellStart"/>
      <w:r w:rsidR="0052381F" w:rsidRPr="0052381F">
        <w:rPr>
          <w:rFonts w:asciiTheme="minorHAnsi" w:hAnsiTheme="minorHAnsi"/>
          <w:bCs/>
          <w:sz w:val="22"/>
          <w:szCs w:val="22"/>
          <w:lang w:val="en-GB"/>
        </w:rPr>
        <w:t>effect</w:t>
      </w:r>
      <w:proofErr w:type="spellEnd"/>
      <w:r w:rsidR="0052381F" w:rsidRPr="0052381F">
        <w:rPr>
          <w:rFonts w:asciiTheme="minorHAnsi" w:hAnsiTheme="minorHAnsi"/>
          <w:bCs/>
          <w:sz w:val="22"/>
          <w:szCs w:val="22"/>
          <w:lang w:val="en-GB"/>
        </w:rPr>
        <w:t xml:space="preserve"> cross calibration at the lumbar spine.  Tissue thickness had an effect at the femoral neck (p&lt;0.01) and percentage tissue fat at the total hip (p&lt;0.0001) (Table </w:t>
      </w:r>
      <w:r>
        <w:rPr>
          <w:rFonts w:asciiTheme="minorHAnsi" w:hAnsiTheme="minorHAnsi"/>
          <w:bCs/>
          <w:sz w:val="22"/>
          <w:szCs w:val="22"/>
          <w:lang w:val="en-GB"/>
        </w:rPr>
        <w:t>4</w:t>
      </w:r>
      <w:r w:rsidR="0052381F" w:rsidRPr="0052381F">
        <w:rPr>
          <w:rFonts w:asciiTheme="minorHAnsi" w:hAnsiTheme="minorHAnsi"/>
          <w:bCs/>
          <w:sz w:val="22"/>
          <w:szCs w:val="22"/>
          <w:lang w:val="en-GB"/>
        </w:rPr>
        <w:t xml:space="preserve">).  The effect of tissue thickness on femoral neck BMD differences (Prodigy – </w:t>
      </w:r>
      <w:proofErr w:type="spellStart"/>
      <w:r w:rsidR="0052381F" w:rsidRPr="0052381F">
        <w:rPr>
          <w:rFonts w:asciiTheme="minorHAnsi" w:hAnsiTheme="minorHAnsi"/>
          <w:bCs/>
          <w:sz w:val="22"/>
          <w:szCs w:val="22"/>
          <w:lang w:val="en-GB"/>
        </w:rPr>
        <w:t>iDXA</w:t>
      </w:r>
      <w:proofErr w:type="spellEnd"/>
      <w:r w:rsidR="0052381F" w:rsidRPr="0052381F">
        <w:rPr>
          <w:rFonts w:asciiTheme="minorHAnsi" w:hAnsiTheme="minorHAnsi"/>
          <w:bCs/>
          <w:sz w:val="22"/>
          <w:szCs w:val="22"/>
          <w:lang w:val="en-GB"/>
        </w:rPr>
        <w:t xml:space="preserve">) had a negative slope (r= -0.25, p&lt;0.02) (Figure 5).  A stronger </w:t>
      </w:r>
      <w:r w:rsidR="0052381F" w:rsidRPr="0052381F">
        <w:rPr>
          <w:rFonts w:asciiTheme="minorHAnsi" w:hAnsiTheme="minorHAnsi"/>
          <w:bCs/>
          <w:sz w:val="22"/>
          <w:szCs w:val="22"/>
          <w:lang w:val="en-GB"/>
        </w:rPr>
        <w:lastRenderedPageBreak/>
        <w:t>relationship was observed at the total hip between BMD differences and percentage tissue fat (r = -0.45, p&lt;0.0001) (Figure 6).</w:t>
      </w:r>
    </w:p>
    <w:p w:rsidR="00A94F49" w:rsidRPr="00C55B7E" w:rsidRDefault="0085600D" w:rsidP="00A94F49">
      <w:pPr>
        <w:spacing w:line="480" w:lineRule="auto"/>
        <w:jc w:val="both"/>
        <w:rPr>
          <w:rFonts w:asciiTheme="minorHAnsi" w:hAnsiTheme="minorHAnsi"/>
          <w:sz w:val="22"/>
          <w:szCs w:val="22"/>
        </w:rPr>
      </w:pPr>
      <w:r>
        <w:rPr>
          <w:rFonts w:asciiTheme="minorHAnsi" w:hAnsiTheme="minorHAnsi"/>
          <w:bCs/>
          <w:sz w:val="22"/>
          <w:szCs w:val="22"/>
          <w:lang w:val="en-GB"/>
        </w:rPr>
        <w:tab/>
      </w:r>
      <w:r w:rsidR="0052381F" w:rsidRPr="0052381F">
        <w:rPr>
          <w:rFonts w:asciiTheme="minorHAnsi" w:hAnsiTheme="minorHAnsi"/>
          <w:bCs/>
          <w:sz w:val="22"/>
          <w:szCs w:val="22"/>
          <w:lang w:val="en-GB"/>
        </w:rPr>
        <w:t xml:space="preserve">Results from the Bland Altman analysis are shown in Table </w:t>
      </w:r>
      <w:r>
        <w:rPr>
          <w:rFonts w:asciiTheme="minorHAnsi" w:hAnsiTheme="minorHAnsi"/>
          <w:bCs/>
          <w:sz w:val="22"/>
          <w:szCs w:val="22"/>
          <w:lang w:val="en-GB"/>
        </w:rPr>
        <w:t>5</w:t>
      </w:r>
      <w:r w:rsidR="0052381F" w:rsidRPr="0052381F">
        <w:rPr>
          <w:rFonts w:asciiTheme="minorHAnsi" w:hAnsiTheme="minorHAnsi"/>
          <w:bCs/>
          <w:sz w:val="22"/>
          <w:szCs w:val="22"/>
          <w:lang w:val="en-GB"/>
        </w:rPr>
        <w:t>. At the lumbar spine, BMD and BMC had a significant positive bias of 0.005g/cm</w:t>
      </w:r>
      <w:r w:rsidR="0052381F" w:rsidRPr="0052381F">
        <w:rPr>
          <w:rFonts w:asciiTheme="minorHAnsi" w:hAnsiTheme="minorHAnsi"/>
          <w:bCs/>
          <w:sz w:val="22"/>
          <w:szCs w:val="22"/>
          <w:vertAlign w:val="superscript"/>
          <w:lang w:val="en-GB"/>
        </w:rPr>
        <w:t>2</w:t>
      </w:r>
      <w:r w:rsidR="0052381F" w:rsidRPr="0052381F">
        <w:rPr>
          <w:rFonts w:asciiTheme="minorHAnsi" w:hAnsiTheme="minorHAnsi"/>
          <w:bCs/>
          <w:sz w:val="22"/>
          <w:szCs w:val="22"/>
          <w:lang w:val="en-GB"/>
        </w:rPr>
        <w:t xml:space="preserve"> and 0.48g respectively, with positive correlations of r = 0.35 and r = 0.22 respectively. Femoral neck BMD showed a significant positive bias of 0.007g/cm</w:t>
      </w:r>
      <w:r w:rsidR="0052381F" w:rsidRPr="0052381F">
        <w:rPr>
          <w:rFonts w:asciiTheme="minorHAnsi" w:hAnsiTheme="minorHAnsi"/>
          <w:bCs/>
          <w:sz w:val="22"/>
          <w:szCs w:val="22"/>
          <w:vertAlign w:val="superscript"/>
          <w:lang w:val="en-GB"/>
        </w:rPr>
        <w:t>2</w:t>
      </w:r>
      <w:r w:rsidR="0052381F" w:rsidRPr="0052381F">
        <w:rPr>
          <w:rFonts w:asciiTheme="minorHAnsi" w:hAnsiTheme="minorHAnsi"/>
          <w:bCs/>
          <w:sz w:val="22"/>
          <w:szCs w:val="22"/>
          <w:lang w:val="en-GB"/>
        </w:rPr>
        <w:t xml:space="preserve"> while both BMC and bone area had small significant negative biases (-0.03g and -0.06cm</w:t>
      </w:r>
      <w:r w:rsidR="0052381F" w:rsidRPr="0052381F">
        <w:rPr>
          <w:rFonts w:asciiTheme="minorHAnsi" w:hAnsiTheme="minorHAnsi"/>
          <w:bCs/>
          <w:sz w:val="22"/>
          <w:szCs w:val="22"/>
          <w:vertAlign w:val="superscript"/>
          <w:lang w:val="en-GB"/>
        </w:rPr>
        <w:t>2</w:t>
      </w:r>
      <w:r w:rsidR="0052381F" w:rsidRPr="0052381F">
        <w:rPr>
          <w:rFonts w:asciiTheme="minorHAnsi" w:hAnsiTheme="minorHAnsi"/>
          <w:bCs/>
          <w:sz w:val="22"/>
          <w:szCs w:val="22"/>
          <w:lang w:val="en-GB"/>
        </w:rPr>
        <w:t>). Bone area also had a negative correlation (r = -0.21, p&lt;0.05).  Total hip BMD had no bias but a positive correlation (r = 0.24, p&lt;0.05). Both Total hip BMC and bone area had a negative bias (-0.74g and -0.73cm</w:t>
      </w:r>
      <w:r w:rsidR="0052381F" w:rsidRPr="0052381F">
        <w:rPr>
          <w:rFonts w:asciiTheme="minorHAnsi" w:hAnsiTheme="minorHAnsi"/>
          <w:bCs/>
          <w:sz w:val="22"/>
          <w:szCs w:val="22"/>
          <w:vertAlign w:val="superscript"/>
          <w:lang w:val="en-GB"/>
        </w:rPr>
        <w:t>2</w:t>
      </w:r>
      <w:r w:rsidR="0052381F" w:rsidRPr="0052381F">
        <w:rPr>
          <w:rFonts w:asciiTheme="minorHAnsi" w:hAnsiTheme="minorHAnsi"/>
          <w:bCs/>
          <w:sz w:val="22"/>
          <w:szCs w:val="22"/>
          <w:lang w:val="en-GB"/>
        </w:rPr>
        <w:t>; p&lt;0.001) (Figures 6 and 7).  Only the spine area and right total hip showed no significant difference suggesting good agreement between densitometers for parameters at these sites.</w:t>
      </w:r>
    </w:p>
    <w:p w:rsidR="0085600D" w:rsidRPr="00C55B7E" w:rsidRDefault="0085600D" w:rsidP="00A94F49">
      <w:pPr>
        <w:spacing w:line="480" w:lineRule="auto"/>
        <w:jc w:val="both"/>
        <w:rPr>
          <w:rFonts w:asciiTheme="minorHAnsi" w:hAnsiTheme="minorHAnsi"/>
          <w:sz w:val="22"/>
          <w:szCs w:val="22"/>
        </w:rPr>
      </w:pPr>
    </w:p>
    <w:p w:rsidR="0074629A" w:rsidRPr="00C55B7E" w:rsidRDefault="0052381F" w:rsidP="0074629A">
      <w:pPr>
        <w:spacing w:line="480" w:lineRule="auto"/>
        <w:jc w:val="both"/>
        <w:rPr>
          <w:rFonts w:asciiTheme="minorHAnsi" w:hAnsiTheme="minorHAnsi"/>
          <w:b/>
          <w:sz w:val="22"/>
          <w:szCs w:val="22"/>
          <w:lang w:val="en-GB"/>
        </w:rPr>
      </w:pPr>
      <w:r w:rsidRPr="0052381F">
        <w:rPr>
          <w:rFonts w:asciiTheme="minorHAnsi" w:hAnsiTheme="minorHAnsi"/>
          <w:b/>
          <w:sz w:val="22"/>
          <w:szCs w:val="22"/>
        </w:rPr>
        <w:t>Discussion</w:t>
      </w:r>
    </w:p>
    <w:p w:rsidR="0035102B" w:rsidRPr="00C55B7E" w:rsidRDefault="0052381F" w:rsidP="0074629A">
      <w:pPr>
        <w:spacing w:line="480" w:lineRule="auto"/>
        <w:jc w:val="both"/>
        <w:rPr>
          <w:rFonts w:asciiTheme="minorHAnsi" w:hAnsiTheme="minorHAnsi"/>
          <w:sz w:val="22"/>
          <w:szCs w:val="22"/>
          <w:lang w:val="en-GB"/>
        </w:rPr>
      </w:pPr>
      <w:r w:rsidRPr="0052381F">
        <w:rPr>
          <w:rFonts w:asciiTheme="minorHAnsi" w:hAnsiTheme="minorHAnsi"/>
          <w:sz w:val="22"/>
          <w:szCs w:val="22"/>
          <w:lang w:val="en-GB"/>
        </w:rPr>
        <w:t xml:space="preserve">The aim of this study was to determine the necessity of using BMD cross calibration equations on the GE </w:t>
      </w:r>
      <w:proofErr w:type="spellStart"/>
      <w:r w:rsidRPr="0052381F">
        <w:rPr>
          <w:rFonts w:asciiTheme="minorHAnsi" w:hAnsiTheme="minorHAnsi"/>
          <w:sz w:val="22"/>
          <w:szCs w:val="22"/>
          <w:lang w:val="en-GB"/>
        </w:rPr>
        <w:t>iDXA</w:t>
      </w:r>
      <w:proofErr w:type="spellEnd"/>
      <w:r w:rsidRPr="0052381F">
        <w:rPr>
          <w:rFonts w:asciiTheme="minorHAnsi" w:hAnsiTheme="minorHAnsi"/>
          <w:sz w:val="22"/>
          <w:szCs w:val="22"/>
          <w:lang w:val="en-GB"/>
        </w:rPr>
        <w:t xml:space="preserve"> and Prodigy densitometers and whether the linear regression method used influences the equations generated.  The bone parameters BMD, BMC and area were also reviewed to determine if differences in these parameters occurred using Bland Altman analysis.</w:t>
      </w:r>
    </w:p>
    <w:p w:rsidR="004B421A" w:rsidRPr="00C55B7E" w:rsidRDefault="0085600D" w:rsidP="004C0D76">
      <w:pPr>
        <w:spacing w:line="480" w:lineRule="auto"/>
        <w:jc w:val="both"/>
        <w:rPr>
          <w:rFonts w:asciiTheme="minorHAnsi" w:hAnsiTheme="minorHAnsi"/>
          <w:sz w:val="22"/>
          <w:szCs w:val="22"/>
          <w:lang w:val="en-GB"/>
        </w:rPr>
      </w:pPr>
      <w:r>
        <w:rPr>
          <w:rFonts w:asciiTheme="minorHAnsi" w:hAnsiTheme="minorHAnsi"/>
          <w:i/>
          <w:sz w:val="22"/>
          <w:szCs w:val="22"/>
          <w:lang w:val="en-GB"/>
        </w:rPr>
        <w:tab/>
      </w:r>
      <w:r w:rsidR="0052381F" w:rsidRPr="0052381F">
        <w:rPr>
          <w:rFonts w:asciiTheme="minorHAnsi" w:hAnsiTheme="minorHAnsi"/>
          <w:i/>
          <w:sz w:val="22"/>
          <w:szCs w:val="22"/>
          <w:lang w:val="en-GB"/>
        </w:rPr>
        <w:t>In-vitro</w:t>
      </w:r>
      <w:r w:rsidR="0052381F" w:rsidRPr="0052381F">
        <w:rPr>
          <w:rFonts w:asciiTheme="minorHAnsi" w:hAnsiTheme="minorHAnsi"/>
          <w:sz w:val="22"/>
          <w:szCs w:val="22"/>
          <w:lang w:val="en-GB"/>
        </w:rPr>
        <w:t xml:space="preserve"> cross calibration was performed to compare the linearity of the two densitometers. From this study, excellent linearity was observed with no significant intercept and unity slope implying that no cross-calibration was necessary, however the </w:t>
      </w:r>
      <w:r w:rsidR="0052381F" w:rsidRPr="0052381F">
        <w:rPr>
          <w:rFonts w:asciiTheme="minorHAnsi" w:hAnsiTheme="minorHAnsi"/>
          <w:i/>
          <w:sz w:val="22"/>
          <w:szCs w:val="22"/>
          <w:lang w:val="en-GB"/>
        </w:rPr>
        <w:t>in-vivo</w:t>
      </w:r>
      <w:r w:rsidR="0052381F" w:rsidRPr="0052381F">
        <w:rPr>
          <w:rFonts w:asciiTheme="minorHAnsi" w:hAnsiTheme="minorHAnsi"/>
          <w:sz w:val="22"/>
          <w:szCs w:val="22"/>
          <w:lang w:val="en-GB"/>
        </w:rPr>
        <w:t xml:space="preserve"> cross calibration study suggested that cross calibration equations were required for the spine and the total hip. The difference between the </w:t>
      </w:r>
      <w:r w:rsidR="0052381F" w:rsidRPr="0052381F">
        <w:rPr>
          <w:rFonts w:asciiTheme="minorHAnsi" w:hAnsiTheme="minorHAnsi"/>
          <w:i/>
          <w:sz w:val="22"/>
          <w:szCs w:val="22"/>
          <w:lang w:val="en-GB"/>
        </w:rPr>
        <w:t>in vitro</w:t>
      </w:r>
      <w:r w:rsidR="0052381F" w:rsidRPr="0052381F">
        <w:rPr>
          <w:rFonts w:asciiTheme="minorHAnsi" w:hAnsiTheme="minorHAnsi"/>
          <w:sz w:val="22"/>
          <w:szCs w:val="22"/>
          <w:lang w:val="en-GB"/>
        </w:rPr>
        <w:t xml:space="preserve"> and </w:t>
      </w:r>
      <w:r w:rsidR="0052381F" w:rsidRPr="0052381F">
        <w:rPr>
          <w:rFonts w:asciiTheme="minorHAnsi" w:hAnsiTheme="minorHAnsi"/>
          <w:i/>
          <w:sz w:val="22"/>
          <w:szCs w:val="22"/>
          <w:lang w:val="en-GB"/>
        </w:rPr>
        <w:t>in vivo</w:t>
      </w:r>
      <w:r w:rsidR="0052381F" w:rsidRPr="0052381F">
        <w:rPr>
          <w:rFonts w:asciiTheme="minorHAnsi" w:hAnsiTheme="minorHAnsi"/>
          <w:sz w:val="22"/>
          <w:szCs w:val="22"/>
          <w:lang w:val="en-GB"/>
        </w:rPr>
        <w:t xml:space="preserve"> findings may be that calibration phantoms do not reflect the variability in body size of human subjects (20). In this study, the participant group varied widely in terms of body thickness: 15.5 to 27.6cm (lumbar spine), 14.7 </w:t>
      </w:r>
      <w:r w:rsidR="0052381F" w:rsidRPr="0052381F">
        <w:rPr>
          <w:rFonts w:asciiTheme="minorHAnsi" w:hAnsiTheme="minorHAnsi"/>
          <w:sz w:val="22"/>
          <w:szCs w:val="22"/>
          <w:lang w:val="en-GB"/>
        </w:rPr>
        <w:lastRenderedPageBreak/>
        <w:t>to 21.6cm (hip) and percentage tissue fat: 7.5 to 49.4% (lumbar spine) and 9.4 to 36% (hip), and it is known that this can affect BMD measurements (21). This has been demonstrated by two recent studies, which reported errors in BMD due to regional changes of body composition at the lumbar spine (22) and the lumbar spine and femoral neck (23).</w:t>
      </w:r>
    </w:p>
    <w:p w:rsidR="00793557" w:rsidRPr="00C55B7E" w:rsidRDefault="0052381F" w:rsidP="00793557">
      <w:pPr>
        <w:spacing w:line="480" w:lineRule="auto"/>
        <w:jc w:val="both"/>
        <w:rPr>
          <w:rFonts w:asciiTheme="minorHAnsi" w:hAnsiTheme="minorHAnsi"/>
          <w:sz w:val="22"/>
          <w:szCs w:val="22"/>
          <w:highlight w:val="yellow"/>
          <w:lang w:val="en-GB"/>
        </w:rPr>
      </w:pPr>
      <w:r w:rsidRPr="0052381F">
        <w:rPr>
          <w:rFonts w:asciiTheme="minorHAnsi" w:hAnsiTheme="minorHAnsi"/>
          <w:sz w:val="22"/>
          <w:szCs w:val="22"/>
          <w:lang w:val="en-GB"/>
        </w:rPr>
        <w:t xml:space="preserve">To date, four studies have cross calibrated BMD measurements between the </w:t>
      </w:r>
      <w:proofErr w:type="spellStart"/>
      <w:r w:rsidRPr="0052381F">
        <w:rPr>
          <w:rFonts w:asciiTheme="minorHAnsi" w:hAnsiTheme="minorHAnsi"/>
          <w:sz w:val="22"/>
          <w:szCs w:val="22"/>
          <w:lang w:val="en-GB"/>
        </w:rPr>
        <w:t>iDXA</w:t>
      </w:r>
      <w:proofErr w:type="spellEnd"/>
      <w:r w:rsidRPr="0052381F">
        <w:rPr>
          <w:rFonts w:asciiTheme="minorHAnsi" w:hAnsiTheme="minorHAnsi"/>
          <w:sz w:val="22"/>
          <w:szCs w:val="22"/>
          <w:lang w:val="en-GB"/>
        </w:rPr>
        <w:t xml:space="preserve"> and Prodigy densitometers (11-14); only two of the four studies recruited more than 60 subjects. The two larger studies, </w:t>
      </w:r>
      <w:proofErr w:type="spellStart"/>
      <w:r w:rsidRPr="0052381F">
        <w:rPr>
          <w:rFonts w:asciiTheme="minorHAnsi" w:hAnsiTheme="minorHAnsi"/>
          <w:sz w:val="22"/>
          <w:szCs w:val="22"/>
          <w:lang w:val="en-GB"/>
        </w:rPr>
        <w:t>Choi</w:t>
      </w:r>
      <w:proofErr w:type="spellEnd"/>
      <w:r w:rsidRPr="0052381F">
        <w:rPr>
          <w:rFonts w:asciiTheme="minorHAnsi" w:hAnsiTheme="minorHAnsi"/>
          <w:sz w:val="22"/>
          <w:szCs w:val="22"/>
          <w:lang w:val="en-GB"/>
        </w:rPr>
        <w:t xml:space="preserve"> et al (13) and Kruger et al (14) utilised linear regression and the Deming method respectively in the generation of their cross calibration equations. </w:t>
      </w:r>
      <w:proofErr w:type="spellStart"/>
      <w:r w:rsidRPr="0052381F">
        <w:rPr>
          <w:rFonts w:asciiTheme="minorHAnsi" w:hAnsiTheme="minorHAnsi"/>
          <w:sz w:val="22"/>
          <w:szCs w:val="22"/>
          <w:lang w:val="en-GB"/>
        </w:rPr>
        <w:t>Choi</w:t>
      </w:r>
      <w:proofErr w:type="spellEnd"/>
      <w:r w:rsidRPr="0052381F">
        <w:rPr>
          <w:rFonts w:asciiTheme="minorHAnsi" w:hAnsiTheme="minorHAnsi"/>
          <w:sz w:val="22"/>
          <w:szCs w:val="22"/>
          <w:lang w:val="en-GB"/>
        </w:rPr>
        <w:t xml:space="preserve"> et al generated cross calibration equations for BMD using linear regression derived from 60 Korean adults for the lumbar spine (range 0.544 to 1.488g/cm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femoral neck (range 0.573 to1.235g/cm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and total hip (range 0.570 to1.294g/cm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xml:space="preserve">); these were then applied to a validation group.   Bland Altman analysis indicated </w:t>
      </w:r>
      <w:proofErr w:type="spellStart"/>
      <w:r w:rsidRPr="0052381F">
        <w:rPr>
          <w:rFonts w:asciiTheme="minorHAnsi" w:hAnsiTheme="minorHAnsi"/>
          <w:sz w:val="22"/>
          <w:szCs w:val="22"/>
          <w:lang w:val="en-GB"/>
        </w:rPr>
        <w:t>nonsignificant</w:t>
      </w:r>
      <w:proofErr w:type="spellEnd"/>
      <w:r w:rsidRPr="0052381F">
        <w:rPr>
          <w:rFonts w:asciiTheme="minorHAnsi" w:hAnsiTheme="minorHAnsi"/>
          <w:sz w:val="22"/>
          <w:szCs w:val="22"/>
          <w:lang w:val="en-GB"/>
        </w:rPr>
        <w:t xml:space="preserve"> biases for the three sites of 0.013, 0.017 and -0.004 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In a second major study of 345 adults, similarly, Krueger et al (14) derived cross calibration equations for lumbar spine (range 0.658 to 2.066 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femoral neck (range 0.588 to 1.631 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and total hip (range 0.592 to 1.603g/cm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BMD using the Deming regression. Bland Altman-derived biases of -0.003, -0.007 and 0.001g.cm</w:t>
      </w:r>
      <w:r w:rsidRPr="0052381F">
        <w:rPr>
          <w:rFonts w:asciiTheme="minorHAnsi" w:hAnsiTheme="minorHAnsi"/>
          <w:sz w:val="22"/>
          <w:szCs w:val="22"/>
          <w:vertAlign w:val="superscript"/>
          <w:lang w:val="en-GB"/>
        </w:rPr>
        <w:t xml:space="preserve">-2 </w:t>
      </w:r>
      <w:r w:rsidRPr="0052381F">
        <w:rPr>
          <w:rFonts w:asciiTheme="minorHAnsi" w:hAnsiTheme="minorHAnsi"/>
          <w:sz w:val="22"/>
          <w:szCs w:val="22"/>
          <w:lang w:val="en-GB"/>
        </w:rPr>
        <w:t>for the three sites were reported. In 85 adults, our findings only indicated a requirement for the use of cross calibration equations at the spine (range 0.837 to 1.658 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and total hip (range 0.74 to 1.473 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however calibration equations were not needed at the femoral neck (range 0.762 to1.531 g/cm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 xml:space="preserve">).  </w:t>
      </w:r>
      <w:proofErr w:type="spellStart"/>
      <w:r w:rsidRPr="0052381F">
        <w:rPr>
          <w:rFonts w:asciiTheme="minorHAnsi" w:hAnsiTheme="minorHAnsi"/>
          <w:sz w:val="22"/>
          <w:szCs w:val="22"/>
          <w:lang w:val="en-GB"/>
        </w:rPr>
        <w:t>Choi</w:t>
      </w:r>
      <w:proofErr w:type="spellEnd"/>
      <w:r w:rsidRPr="0052381F">
        <w:rPr>
          <w:rFonts w:asciiTheme="minorHAnsi" w:hAnsiTheme="minorHAnsi"/>
          <w:sz w:val="22"/>
          <w:szCs w:val="22"/>
          <w:lang w:val="en-GB"/>
        </w:rPr>
        <w:t xml:space="preserve"> and Kruger reported a greater BMD range in the femoral neck which included a lower BMD limit than our study which may have contributed to the necessity for calibration equations at this site.  From the multivariate analysis on the femoral neck and total hip, with the exception of Prodigy BMD, the only parameters that were found to have a significant effect on the cross calibration were thickness at the femoral neck and percentage tissue fat at the total hip. </w:t>
      </w:r>
    </w:p>
    <w:p w:rsidR="00000000" w:rsidRDefault="0085600D">
      <w:pPr>
        <w:spacing w:line="480" w:lineRule="auto"/>
        <w:jc w:val="both"/>
        <w:rPr>
          <w:rFonts w:asciiTheme="minorHAnsi" w:hAnsiTheme="minorHAnsi"/>
          <w:sz w:val="22"/>
          <w:szCs w:val="22"/>
          <w:lang w:val="en-GB"/>
        </w:rPr>
      </w:pPr>
      <w:r>
        <w:rPr>
          <w:rFonts w:asciiTheme="minorHAnsi" w:hAnsiTheme="minorHAnsi"/>
          <w:sz w:val="22"/>
          <w:szCs w:val="22"/>
          <w:lang w:val="en-GB"/>
        </w:rPr>
        <w:lastRenderedPageBreak/>
        <w:tab/>
      </w:r>
      <w:r w:rsidR="0052381F" w:rsidRPr="0052381F">
        <w:rPr>
          <w:rFonts w:asciiTheme="minorHAnsi" w:hAnsiTheme="minorHAnsi"/>
          <w:sz w:val="22"/>
          <w:szCs w:val="22"/>
          <w:lang w:val="en-GB"/>
        </w:rPr>
        <w:t xml:space="preserve">With Bland Altman analyses </w:t>
      </w:r>
      <w:r>
        <w:rPr>
          <w:rFonts w:asciiTheme="minorHAnsi" w:hAnsiTheme="minorHAnsi"/>
          <w:sz w:val="22"/>
          <w:szCs w:val="22"/>
          <w:lang w:val="en-GB"/>
        </w:rPr>
        <w:t>of</w:t>
      </w:r>
      <w:r w:rsidR="0052381F" w:rsidRPr="0052381F">
        <w:rPr>
          <w:rFonts w:asciiTheme="minorHAnsi" w:hAnsiTheme="minorHAnsi"/>
          <w:sz w:val="22"/>
          <w:szCs w:val="22"/>
          <w:lang w:val="en-GB"/>
        </w:rPr>
        <w:t xml:space="preserve"> BMD</w:t>
      </w:r>
      <w:r>
        <w:rPr>
          <w:rFonts w:asciiTheme="minorHAnsi" w:hAnsiTheme="minorHAnsi"/>
          <w:sz w:val="22"/>
          <w:szCs w:val="22"/>
          <w:lang w:val="en-GB"/>
        </w:rPr>
        <w:t xml:space="preserve"> outcomes</w:t>
      </w:r>
      <w:r w:rsidR="0052381F" w:rsidRPr="0052381F">
        <w:rPr>
          <w:rFonts w:asciiTheme="minorHAnsi" w:hAnsiTheme="minorHAnsi"/>
          <w:sz w:val="22"/>
          <w:szCs w:val="22"/>
          <w:lang w:val="en-GB"/>
        </w:rPr>
        <w:t xml:space="preserve">, there were small but significant positive biases at the lumbar spine (0.4%) and femoral neck (0.7%), comparable to those reported by previous studies.(13,14). Comparison between the Bland Altman LOA and </w:t>
      </w:r>
      <w:proofErr w:type="spellStart"/>
      <w:r w:rsidR="0052381F" w:rsidRPr="0052381F">
        <w:rPr>
          <w:rFonts w:asciiTheme="minorHAnsi" w:hAnsiTheme="minorHAnsi"/>
          <w:sz w:val="22"/>
          <w:szCs w:val="22"/>
          <w:lang w:val="en-GB"/>
        </w:rPr>
        <w:t>iDXA</w:t>
      </w:r>
      <w:proofErr w:type="spellEnd"/>
      <w:r w:rsidR="0052381F" w:rsidRPr="0052381F">
        <w:rPr>
          <w:rFonts w:asciiTheme="minorHAnsi" w:hAnsiTheme="minorHAnsi"/>
          <w:sz w:val="22"/>
          <w:szCs w:val="22"/>
          <w:lang w:val="en-GB"/>
        </w:rPr>
        <w:t xml:space="preserve"> LSC for BMD values indicated that at the spine LOA = ± 0.040g/cm2 compared to </w:t>
      </w:r>
      <w:proofErr w:type="spellStart"/>
      <w:r w:rsidR="0052381F" w:rsidRPr="0052381F">
        <w:rPr>
          <w:rFonts w:asciiTheme="minorHAnsi" w:hAnsiTheme="minorHAnsi"/>
          <w:sz w:val="22"/>
          <w:szCs w:val="22"/>
          <w:lang w:val="en-GB"/>
        </w:rPr>
        <w:t>iDXA</w:t>
      </w:r>
      <w:proofErr w:type="spellEnd"/>
      <w:r w:rsidR="0052381F" w:rsidRPr="0052381F">
        <w:rPr>
          <w:rFonts w:asciiTheme="minorHAnsi" w:hAnsiTheme="minorHAnsi"/>
          <w:sz w:val="22"/>
          <w:szCs w:val="22"/>
          <w:lang w:val="en-GB"/>
        </w:rPr>
        <w:t xml:space="preserve"> LSC = ± 0.014g/cm2 and at the total hip LOA = ± 0.041g/cm2 compared to </w:t>
      </w:r>
      <w:proofErr w:type="spellStart"/>
      <w:r w:rsidR="0052381F" w:rsidRPr="0052381F">
        <w:rPr>
          <w:rFonts w:asciiTheme="minorHAnsi" w:hAnsiTheme="minorHAnsi"/>
          <w:sz w:val="22"/>
          <w:szCs w:val="22"/>
          <w:lang w:val="en-GB"/>
        </w:rPr>
        <w:t>iDXA</w:t>
      </w:r>
      <w:proofErr w:type="spellEnd"/>
      <w:r w:rsidR="0052381F" w:rsidRPr="0052381F">
        <w:rPr>
          <w:rFonts w:asciiTheme="minorHAnsi" w:hAnsiTheme="minorHAnsi"/>
          <w:sz w:val="22"/>
          <w:szCs w:val="22"/>
          <w:lang w:val="en-GB"/>
        </w:rPr>
        <w:t xml:space="preserve"> LSC = ± 0.020g/cm2 therefore cross calibration equations should; be applied to the spine and total hip to reduce the LOA below LSC.  The Bland Altman results also suggest that cross calibration equation maybe necessary at the femoral neck due to differences between the LOA = ± 0.045g/cm</w:t>
      </w:r>
      <w:r w:rsidR="0052381F" w:rsidRPr="0052381F">
        <w:rPr>
          <w:rFonts w:asciiTheme="minorHAnsi" w:hAnsiTheme="minorHAnsi"/>
          <w:sz w:val="22"/>
          <w:szCs w:val="22"/>
          <w:vertAlign w:val="superscript"/>
          <w:lang w:val="en-GB"/>
        </w:rPr>
        <w:t>2</w:t>
      </w:r>
      <w:r w:rsidR="0052381F" w:rsidRPr="0052381F">
        <w:rPr>
          <w:rFonts w:asciiTheme="minorHAnsi" w:hAnsiTheme="minorHAnsi"/>
          <w:sz w:val="22"/>
          <w:szCs w:val="22"/>
          <w:lang w:val="en-GB"/>
        </w:rPr>
        <w:t xml:space="preserve"> and the </w:t>
      </w:r>
      <w:proofErr w:type="spellStart"/>
      <w:r w:rsidR="0052381F" w:rsidRPr="0052381F">
        <w:rPr>
          <w:rFonts w:asciiTheme="minorHAnsi" w:hAnsiTheme="minorHAnsi"/>
          <w:sz w:val="22"/>
          <w:szCs w:val="22"/>
          <w:lang w:val="en-GB"/>
        </w:rPr>
        <w:t>iDXA</w:t>
      </w:r>
      <w:proofErr w:type="spellEnd"/>
      <w:r w:rsidR="0052381F" w:rsidRPr="0052381F">
        <w:rPr>
          <w:rFonts w:asciiTheme="minorHAnsi" w:hAnsiTheme="minorHAnsi"/>
          <w:sz w:val="22"/>
          <w:szCs w:val="22"/>
          <w:lang w:val="en-GB"/>
        </w:rPr>
        <w:t xml:space="preserve"> LSC = ± 0.038g/cm</w:t>
      </w:r>
      <w:r w:rsidR="0052381F" w:rsidRPr="0052381F">
        <w:rPr>
          <w:rFonts w:asciiTheme="minorHAnsi" w:hAnsiTheme="minorHAnsi"/>
          <w:sz w:val="22"/>
          <w:szCs w:val="22"/>
          <w:vertAlign w:val="superscript"/>
          <w:lang w:val="en-GB"/>
        </w:rPr>
        <w:t>2</w:t>
      </w:r>
      <w:r w:rsidR="0052381F" w:rsidRPr="0052381F">
        <w:rPr>
          <w:rFonts w:asciiTheme="minorHAnsi" w:hAnsiTheme="minorHAnsi"/>
          <w:sz w:val="22"/>
          <w:szCs w:val="22"/>
          <w:lang w:val="en-GB"/>
        </w:rPr>
        <w:t xml:space="preserve"> at this site; this results contradicts the linear regression which indicated that cross calibration was not necessary.   </w:t>
      </w:r>
    </w:p>
    <w:p w:rsidR="00ED25E5" w:rsidRPr="00C55B7E" w:rsidRDefault="0085600D" w:rsidP="0074629A">
      <w:pPr>
        <w:spacing w:line="480" w:lineRule="auto"/>
        <w:jc w:val="both"/>
        <w:rPr>
          <w:rFonts w:asciiTheme="minorHAnsi" w:hAnsiTheme="minorHAnsi"/>
          <w:sz w:val="22"/>
          <w:szCs w:val="22"/>
          <w:lang w:val="en-GB"/>
        </w:rPr>
      </w:pPr>
      <w:r>
        <w:rPr>
          <w:rFonts w:asciiTheme="minorHAnsi" w:hAnsiTheme="minorHAnsi"/>
          <w:sz w:val="22"/>
          <w:szCs w:val="22"/>
          <w:lang w:val="en-GB"/>
        </w:rPr>
        <w:tab/>
      </w:r>
      <w:r w:rsidR="0052381F" w:rsidRPr="0052381F">
        <w:rPr>
          <w:rFonts w:asciiTheme="minorHAnsi" w:hAnsiTheme="minorHAnsi"/>
          <w:sz w:val="22"/>
          <w:szCs w:val="22"/>
          <w:lang w:val="en-GB"/>
        </w:rPr>
        <w:t xml:space="preserve">Bland Altman results for bone parameters area and BMC also reported here. Although the spine area bias was not significant both area values at the femoral neck and total hip had a significant negative bias. Although the largest of the three sites, bone area of the lumbar spine had the lowest bias indicating good agreement between densitometers this was not the case for the hip sites. This indicates that the agreement of bone area measurements between the densitometers was closer at the spine than at the femoral neck and total hip, which has a more complex and variable area and a more accurate measurement may be made with the </w:t>
      </w:r>
      <w:proofErr w:type="spellStart"/>
      <w:r w:rsidR="0052381F" w:rsidRPr="0052381F">
        <w:rPr>
          <w:rFonts w:asciiTheme="minorHAnsi" w:hAnsiTheme="minorHAnsi"/>
          <w:sz w:val="22"/>
          <w:szCs w:val="22"/>
          <w:lang w:val="en-GB"/>
        </w:rPr>
        <w:t>iDXA</w:t>
      </w:r>
      <w:proofErr w:type="spellEnd"/>
      <w:r w:rsidR="0052381F" w:rsidRPr="0052381F">
        <w:rPr>
          <w:rFonts w:asciiTheme="minorHAnsi" w:hAnsiTheme="minorHAnsi"/>
          <w:sz w:val="22"/>
          <w:szCs w:val="22"/>
          <w:lang w:val="en-GB"/>
        </w:rPr>
        <w:t xml:space="preserve"> due to the smaller pixel size. BMC at the lumbar spine had a significant positive bias and correlation indicating a magnitude effect which was not observed with BMC at the hip sites. At the hip sites BMC had significant negative bias but with no magnitude effect. The Bland Altman confirms the comparison data suggesting that the </w:t>
      </w:r>
      <w:proofErr w:type="spellStart"/>
      <w:r w:rsidR="0052381F" w:rsidRPr="0052381F">
        <w:rPr>
          <w:rFonts w:asciiTheme="minorHAnsi" w:hAnsiTheme="minorHAnsi"/>
          <w:sz w:val="22"/>
          <w:szCs w:val="22"/>
          <w:lang w:val="en-GB"/>
        </w:rPr>
        <w:t>iDXA</w:t>
      </w:r>
      <w:proofErr w:type="spellEnd"/>
      <w:r w:rsidR="0052381F" w:rsidRPr="0052381F">
        <w:rPr>
          <w:rFonts w:asciiTheme="minorHAnsi" w:hAnsiTheme="minorHAnsi"/>
          <w:sz w:val="22"/>
          <w:szCs w:val="22"/>
          <w:lang w:val="en-GB"/>
        </w:rPr>
        <w:t xml:space="preserve"> is measuring higher values of BMC than the prodigy at the hip sites but not at the spine.</w:t>
      </w:r>
    </w:p>
    <w:p w:rsidR="004C0D76" w:rsidRPr="00C55B7E" w:rsidRDefault="0021011A" w:rsidP="0074629A">
      <w:pPr>
        <w:spacing w:line="480" w:lineRule="auto"/>
        <w:jc w:val="both"/>
        <w:rPr>
          <w:rFonts w:asciiTheme="minorHAnsi" w:hAnsiTheme="minorHAnsi"/>
          <w:sz w:val="22"/>
          <w:szCs w:val="22"/>
          <w:lang w:val="en-GB"/>
        </w:rPr>
      </w:pPr>
      <w:r>
        <w:rPr>
          <w:rFonts w:asciiTheme="minorHAnsi" w:hAnsiTheme="minorHAnsi"/>
          <w:sz w:val="22"/>
          <w:szCs w:val="22"/>
          <w:lang w:val="en-GB"/>
        </w:rPr>
        <w:tab/>
      </w:r>
      <w:r w:rsidR="0052381F" w:rsidRPr="0052381F">
        <w:rPr>
          <w:rFonts w:asciiTheme="minorHAnsi" w:hAnsiTheme="minorHAnsi"/>
          <w:sz w:val="22"/>
          <w:szCs w:val="22"/>
          <w:lang w:val="en-GB"/>
        </w:rPr>
        <w:t xml:space="preserve">Limitations of this study include using precision data that had been previously acquired for these densitometers and using subjects who provided a smaller range of BMD values than </w:t>
      </w:r>
      <w:r w:rsidR="0052381F" w:rsidRPr="0052381F">
        <w:rPr>
          <w:rFonts w:asciiTheme="minorHAnsi" w:hAnsiTheme="minorHAnsi"/>
          <w:sz w:val="22"/>
          <w:szCs w:val="22"/>
          <w:lang w:val="en-GB"/>
        </w:rPr>
        <w:lastRenderedPageBreak/>
        <w:t xml:space="preserve">comparable studies. Whilst it would have been ideal to conduct a simultaneous precision investigation and recruit a broader range of subjects the study group for the current cross calibration study and our previous precision studies are comparable and reflect our usual research participants in the DXA Unit. </w:t>
      </w:r>
    </w:p>
    <w:p w:rsidR="00775DE2" w:rsidRPr="00C55B7E" w:rsidRDefault="0021011A" w:rsidP="0074629A">
      <w:pPr>
        <w:spacing w:line="480" w:lineRule="auto"/>
        <w:jc w:val="both"/>
        <w:rPr>
          <w:rFonts w:asciiTheme="minorHAnsi" w:hAnsiTheme="minorHAnsi"/>
          <w:sz w:val="22"/>
          <w:szCs w:val="22"/>
          <w:lang w:val="en-GB"/>
        </w:rPr>
      </w:pPr>
      <w:r>
        <w:rPr>
          <w:rFonts w:asciiTheme="minorHAnsi" w:hAnsiTheme="minorHAnsi"/>
          <w:sz w:val="22"/>
          <w:szCs w:val="22"/>
          <w:lang w:val="en-GB"/>
        </w:rPr>
        <w:tab/>
      </w:r>
      <w:r w:rsidR="0052381F" w:rsidRPr="0052381F">
        <w:rPr>
          <w:rFonts w:asciiTheme="minorHAnsi" w:hAnsiTheme="minorHAnsi"/>
          <w:sz w:val="22"/>
          <w:szCs w:val="22"/>
          <w:lang w:val="en-GB"/>
        </w:rPr>
        <w:t xml:space="preserve">In conclusion, this study determined close comparability between the GE Lunar Prodigy and the </w:t>
      </w:r>
      <w:proofErr w:type="spellStart"/>
      <w:r w:rsidR="0052381F" w:rsidRPr="0052381F">
        <w:rPr>
          <w:rFonts w:asciiTheme="minorHAnsi" w:hAnsiTheme="minorHAnsi"/>
          <w:sz w:val="22"/>
          <w:szCs w:val="22"/>
          <w:lang w:val="en-GB"/>
        </w:rPr>
        <w:t>iDXA</w:t>
      </w:r>
      <w:proofErr w:type="spellEnd"/>
      <w:r w:rsidR="0052381F" w:rsidRPr="0052381F">
        <w:rPr>
          <w:rFonts w:asciiTheme="minorHAnsi" w:hAnsiTheme="minorHAnsi"/>
          <w:sz w:val="22"/>
          <w:szCs w:val="22"/>
          <w:lang w:val="en-GB"/>
        </w:rPr>
        <w:t xml:space="preserve"> densitometers however cross calibration equations are required for the spine and total hip.  The predictive cross calibration equations generated in this study are not comparable therefore suggesting that choice of linear regression affects the generated predicate value.  This is of interest when updating densitometers when longitudinal monitoring of patients is ongoing and therefore cross calibrations equations are required. A comparison study should be initiated to determine which of the cross calibration equations predicts the measured </w:t>
      </w:r>
      <w:proofErr w:type="spellStart"/>
      <w:r w:rsidR="0052381F" w:rsidRPr="0052381F">
        <w:rPr>
          <w:rFonts w:asciiTheme="minorHAnsi" w:hAnsiTheme="minorHAnsi"/>
          <w:sz w:val="22"/>
          <w:szCs w:val="22"/>
          <w:lang w:val="en-GB"/>
        </w:rPr>
        <w:t>iDXA</w:t>
      </w:r>
      <w:proofErr w:type="spellEnd"/>
      <w:r w:rsidR="0052381F" w:rsidRPr="0052381F">
        <w:rPr>
          <w:rFonts w:asciiTheme="minorHAnsi" w:hAnsiTheme="minorHAnsi"/>
          <w:sz w:val="22"/>
          <w:szCs w:val="22"/>
          <w:lang w:val="en-GB"/>
        </w:rPr>
        <w:t xml:space="preserve"> value.</w:t>
      </w:r>
    </w:p>
    <w:p w:rsidR="00775DE2" w:rsidRPr="00C55B7E" w:rsidRDefault="00775DE2" w:rsidP="0074629A">
      <w:pPr>
        <w:spacing w:line="480" w:lineRule="auto"/>
        <w:jc w:val="both"/>
        <w:rPr>
          <w:rFonts w:asciiTheme="minorHAnsi" w:hAnsiTheme="minorHAnsi"/>
          <w:sz w:val="22"/>
          <w:szCs w:val="22"/>
          <w:highlight w:val="yellow"/>
          <w:lang w:val="en-GB"/>
        </w:rPr>
      </w:pPr>
    </w:p>
    <w:p w:rsidR="00000000" w:rsidRDefault="00BC6F56">
      <w:pPr>
        <w:spacing w:line="360" w:lineRule="auto"/>
        <w:rPr>
          <w:rFonts w:asciiTheme="minorHAnsi" w:hAnsiTheme="minorHAnsi"/>
          <w:b/>
          <w:sz w:val="22"/>
          <w:szCs w:val="22"/>
        </w:rPr>
      </w:pPr>
    </w:p>
    <w:p w:rsidR="00000000" w:rsidRDefault="0052381F">
      <w:pPr>
        <w:spacing w:line="360" w:lineRule="auto"/>
        <w:rPr>
          <w:rFonts w:asciiTheme="minorHAnsi" w:hAnsiTheme="minorHAnsi"/>
          <w:b/>
          <w:sz w:val="22"/>
          <w:szCs w:val="22"/>
        </w:rPr>
      </w:pPr>
      <w:r w:rsidRPr="0052381F">
        <w:rPr>
          <w:rFonts w:asciiTheme="minorHAnsi" w:hAnsiTheme="minorHAnsi"/>
          <w:b/>
          <w:sz w:val="22"/>
          <w:szCs w:val="22"/>
        </w:rPr>
        <w:t>References</w:t>
      </w:r>
    </w:p>
    <w:p w:rsidR="0021011A" w:rsidRDefault="0021011A" w:rsidP="0021011A">
      <w:pPr>
        <w:numPr>
          <w:ilvl w:val="0"/>
          <w:numId w:val="6"/>
        </w:numPr>
        <w:spacing w:line="360" w:lineRule="auto"/>
        <w:rPr>
          <w:rFonts w:asciiTheme="minorHAnsi" w:hAnsiTheme="minorHAnsi"/>
          <w:sz w:val="22"/>
          <w:szCs w:val="22"/>
        </w:rPr>
      </w:pPr>
      <w:r w:rsidRPr="00C55B7E">
        <w:rPr>
          <w:rFonts w:asciiTheme="minorHAnsi" w:hAnsiTheme="minorHAnsi"/>
          <w:sz w:val="22"/>
          <w:szCs w:val="22"/>
        </w:rPr>
        <w:t xml:space="preserve">WHO Scientific group on the assessment of osteoporosis at primary health care. Summary Report of a WHO Scientific Group. WHO, Geneva. </w:t>
      </w:r>
      <w:hyperlink r:id="rId9" w:history="1">
        <w:r w:rsidRPr="00C55B7E">
          <w:rPr>
            <w:rStyle w:val="Hyperlink"/>
            <w:rFonts w:asciiTheme="minorHAnsi" w:hAnsiTheme="minorHAnsi"/>
            <w:sz w:val="22"/>
            <w:szCs w:val="22"/>
          </w:rPr>
          <w:t>www.who.int/entity/chp/topics/Osteoporosis.pdf</w:t>
        </w:r>
      </w:hyperlink>
    </w:p>
    <w:p w:rsidR="00000000" w:rsidRDefault="0052381F">
      <w:pPr>
        <w:numPr>
          <w:ilvl w:val="0"/>
          <w:numId w:val="6"/>
        </w:numPr>
        <w:spacing w:line="360" w:lineRule="auto"/>
        <w:rPr>
          <w:rFonts w:asciiTheme="minorHAnsi" w:hAnsiTheme="minorHAnsi"/>
          <w:sz w:val="22"/>
          <w:szCs w:val="22"/>
        </w:rPr>
      </w:pPr>
      <w:proofErr w:type="spellStart"/>
      <w:r w:rsidRPr="0052381F">
        <w:rPr>
          <w:rFonts w:asciiTheme="minorHAnsi" w:hAnsiTheme="minorHAnsi"/>
          <w:sz w:val="22"/>
          <w:szCs w:val="22"/>
        </w:rPr>
        <w:t>Kanis</w:t>
      </w:r>
      <w:proofErr w:type="spellEnd"/>
      <w:r w:rsidRPr="0052381F">
        <w:rPr>
          <w:rFonts w:asciiTheme="minorHAnsi" w:hAnsiTheme="minorHAnsi"/>
          <w:sz w:val="22"/>
          <w:szCs w:val="22"/>
        </w:rPr>
        <w:t xml:space="preserve"> JA, Hans D, Cooper C et al.  Interpretation and use of FRAX in clinical practice. </w:t>
      </w:r>
      <w:proofErr w:type="spellStart"/>
      <w:r w:rsidRPr="0052381F">
        <w:rPr>
          <w:rFonts w:asciiTheme="minorHAnsi" w:hAnsiTheme="minorHAnsi"/>
          <w:sz w:val="22"/>
          <w:szCs w:val="22"/>
        </w:rPr>
        <w:t>Osteoporos</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Int</w:t>
      </w:r>
      <w:proofErr w:type="spellEnd"/>
      <w:r w:rsidRPr="0052381F">
        <w:rPr>
          <w:rFonts w:asciiTheme="minorHAnsi" w:hAnsiTheme="minorHAnsi"/>
          <w:sz w:val="22"/>
          <w:szCs w:val="22"/>
        </w:rPr>
        <w:t xml:space="preserve"> 22 2395-2411 2011</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Shepherd JA, Fan J, Lu Y et al. Comparison of BMD precision for Prodigy and Delphi spine and femur scans. </w:t>
      </w:r>
      <w:proofErr w:type="spellStart"/>
      <w:r w:rsidRPr="0052381F">
        <w:rPr>
          <w:rFonts w:asciiTheme="minorHAnsi" w:hAnsiTheme="minorHAnsi"/>
          <w:sz w:val="22"/>
          <w:szCs w:val="22"/>
        </w:rPr>
        <w:t>Osteoporos</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Int</w:t>
      </w:r>
      <w:proofErr w:type="spellEnd"/>
      <w:r w:rsidRPr="0052381F">
        <w:rPr>
          <w:rFonts w:asciiTheme="minorHAnsi" w:hAnsiTheme="minorHAnsi"/>
          <w:sz w:val="22"/>
          <w:szCs w:val="22"/>
        </w:rPr>
        <w:t xml:space="preserve"> 17 1303-1308 2006</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Hind K, </w:t>
      </w:r>
      <w:proofErr w:type="spellStart"/>
      <w:r w:rsidRPr="0052381F">
        <w:rPr>
          <w:rFonts w:asciiTheme="minorHAnsi" w:hAnsiTheme="minorHAnsi"/>
          <w:sz w:val="22"/>
          <w:szCs w:val="22"/>
        </w:rPr>
        <w:t>Oldroyd</w:t>
      </w:r>
      <w:proofErr w:type="spellEnd"/>
      <w:r w:rsidRPr="0052381F">
        <w:rPr>
          <w:rFonts w:asciiTheme="minorHAnsi" w:hAnsiTheme="minorHAnsi"/>
          <w:sz w:val="22"/>
          <w:szCs w:val="22"/>
        </w:rPr>
        <w:t xml:space="preserve"> B, Truscott JG.  In vivo precision of the GE Lunar </w:t>
      </w:r>
      <w:proofErr w:type="spellStart"/>
      <w:r w:rsidRPr="0052381F">
        <w:rPr>
          <w:rFonts w:asciiTheme="minorHAnsi" w:hAnsiTheme="minorHAnsi"/>
          <w:sz w:val="22"/>
          <w:szCs w:val="22"/>
        </w:rPr>
        <w:t>iDXA</w:t>
      </w:r>
      <w:proofErr w:type="spellEnd"/>
      <w:r w:rsidRPr="0052381F">
        <w:rPr>
          <w:rFonts w:asciiTheme="minorHAnsi" w:hAnsiTheme="minorHAnsi"/>
          <w:sz w:val="22"/>
          <w:szCs w:val="22"/>
        </w:rPr>
        <w:t xml:space="preserve"> densitometer for the measurement of total-body, lumbar spine and femoral bone mineral density in adults.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xml:space="preserve"> 13 (4) 413-417 2010</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Pearson D, Horton B, Green DJ.  Cross-calibration of DXA as part of an equipment replacement program.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xml:space="preserve"> 9(3) 287-294 2006</w:t>
      </w:r>
    </w:p>
    <w:p w:rsidR="00000000" w:rsidRDefault="0052381F">
      <w:pPr>
        <w:numPr>
          <w:ilvl w:val="0"/>
          <w:numId w:val="6"/>
        </w:numPr>
        <w:spacing w:line="360" w:lineRule="auto"/>
        <w:rPr>
          <w:rFonts w:asciiTheme="minorHAnsi" w:hAnsiTheme="minorHAnsi"/>
          <w:sz w:val="22"/>
          <w:szCs w:val="22"/>
        </w:rPr>
      </w:pPr>
      <w:proofErr w:type="spellStart"/>
      <w:r w:rsidRPr="0052381F">
        <w:rPr>
          <w:rFonts w:asciiTheme="minorHAnsi" w:hAnsiTheme="minorHAnsi"/>
          <w:sz w:val="22"/>
          <w:szCs w:val="22"/>
        </w:rPr>
        <w:lastRenderedPageBreak/>
        <w:t>Choi</w:t>
      </w:r>
      <w:proofErr w:type="spellEnd"/>
      <w:r w:rsidRPr="0052381F">
        <w:rPr>
          <w:rFonts w:asciiTheme="minorHAnsi" w:hAnsiTheme="minorHAnsi"/>
          <w:sz w:val="22"/>
          <w:szCs w:val="22"/>
        </w:rPr>
        <w:t xml:space="preserve"> D, Kim DY, Han CS et al. Measurements of bone mineral density in the lumbar spine and proximal femur using Lunar Prodigy and the new pencil-beam dual-energy X-ray </w:t>
      </w:r>
      <w:proofErr w:type="spellStart"/>
      <w:r w:rsidRPr="0052381F">
        <w:rPr>
          <w:rFonts w:asciiTheme="minorHAnsi" w:hAnsiTheme="minorHAnsi"/>
          <w:sz w:val="22"/>
          <w:szCs w:val="22"/>
        </w:rPr>
        <w:t>absorptiometer</w:t>
      </w:r>
      <w:proofErr w:type="spellEnd"/>
      <w:r w:rsidRPr="0052381F">
        <w:rPr>
          <w:rFonts w:asciiTheme="minorHAnsi" w:hAnsiTheme="minorHAnsi"/>
          <w:sz w:val="22"/>
          <w:szCs w:val="22"/>
        </w:rPr>
        <w:t xml:space="preserve">. Skeletal </w:t>
      </w:r>
      <w:proofErr w:type="spellStart"/>
      <w:r w:rsidRPr="0052381F">
        <w:rPr>
          <w:rFonts w:asciiTheme="minorHAnsi" w:hAnsiTheme="minorHAnsi"/>
          <w:sz w:val="22"/>
          <w:szCs w:val="22"/>
        </w:rPr>
        <w:t>Radiol</w:t>
      </w:r>
      <w:proofErr w:type="spellEnd"/>
      <w:r w:rsidRPr="0052381F">
        <w:rPr>
          <w:rFonts w:asciiTheme="minorHAnsi" w:hAnsiTheme="minorHAnsi"/>
          <w:sz w:val="22"/>
          <w:szCs w:val="22"/>
        </w:rPr>
        <w:t xml:space="preserve"> 39 1109-1116 2010.</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Blake GM, Harrison EJ, Adams JE. Dual X-ray </w:t>
      </w:r>
      <w:proofErr w:type="spellStart"/>
      <w:r w:rsidRPr="0052381F">
        <w:rPr>
          <w:rFonts w:asciiTheme="minorHAnsi" w:hAnsiTheme="minorHAnsi"/>
          <w:sz w:val="22"/>
          <w:szCs w:val="22"/>
        </w:rPr>
        <w:t>Absorptiometry</w:t>
      </w:r>
      <w:proofErr w:type="spellEnd"/>
      <w:r w:rsidRPr="0052381F">
        <w:rPr>
          <w:rFonts w:asciiTheme="minorHAnsi" w:hAnsiTheme="minorHAnsi"/>
          <w:sz w:val="22"/>
          <w:szCs w:val="22"/>
        </w:rPr>
        <w:t xml:space="preserve">: cross-calibration of a new fan-beam system. </w:t>
      </w:r>
      <w:proofErr w:type="spellStart"/>
      <w:r w:rsidRPr="0052381F">
        <w:rPr>
          <w:rFonts w:asciiTheme="minorHAnsi" w:hAnsiTheme="minorHAnsi"/>
          <w:sz w:val="22"/>
          <w:szCs w:val="22"/>
        </w:rPr>
        <w:t>Calcif</w:t>
      </w:r>
      <w:proofErr w:type="spellEnd"/>
      <w:r w:rsidRPr="0052381F">
        <w:rPr>
          <w:rFonts w:asciiTheme="minorHAnsi" w:hAnsiTheme="minorHAnsi"/>
          <w:sz w:val="22"/>
          <w:szCs w:val="22"/>
        </w:rPr>
        <w:t xml:space="preserve"> Tissue </w:t>
      </w:r>
      <w:proofErr w:type="spellStart"/>
      <w:r w:rsidRPr="0052381F">
        <w:rPr>
          <w:rFonts w:asciiTheme="minorHAnsi" w:hAnsiTheme="minorHAnsi"/>
          <w:sz w:val="22"/>
          <w:szCs w:val="22"/>
        </w:rPr>
        <w:t>Int</w:t>
      </w:r>
      <w:proofErr w:type="spellEnd"/>
      <w:r w:rsidRPr="0052381F">
        <w:rPr>
          <w:rFonts w:asciiTheme="minorHAnsi" w:hAnsiTheme="minorHAnsi"/>
          <w:sz w:val="22"/>
          <w:szCs w:val="22"/>
        </w:rPr>
        <w:t xml:space="preserve"> 75 7-14 2004</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Gagnon DR, McLean RR, </w:t>
      </w:r>
      <w:proofErr w:type="spellStart"/>
      <w:r w:rsidRPr="0052381F">
        <w:rPr>
          <w:rFonts w:asciiTheme="minorHAnsi" w:hAnsiTheme="minorHAnsi"/>
          <w:sz w:val="22"/>
          <w:szCs w:val="22"/>
        </w:rPr>
        <w:t>Hannan</w:t>
      </w:r>
      <w:proofErr w:type="spellEnd"/>
      <w:r w:rsidRPr="0052381F">
        <w:rPr>
          <w:rFonts w:asciiTheme="minorHAnsi" w:hAnsiTheme="minorHAnsi"/>
          <w:sz w:val="22"/>
          <w:szCs w:val="22"/>
        </w:rPr>
        <w:t xml:space="preserve"> MT et al. Cross-calibration and comparison of variability in two bone densitometers in a research setting: the Framingham experience.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13(2) 210-218 2010</w:t>
      </w:r>
    </w:p>
    <w:p w:rsidR="00000000" w:rsidRDefault="0052381F">
      <w:pPr>
        <w:spacing w:line="360" w:lineRule="auto"/>
        <w:ind w:left="720"/>
        <w:rPr>
          <w:rFonts w:asciiTheme="minorHAnsi" w:hAnsiTheme="minorHAnsi"/>
          <w:sz w:val="22"/>
          <w:szCs w:val="22"/>
        </w:rPr>
      </w:pPr>
      <w:r w:rsidRPr="0052381F">
        <w:rPr>
          <w:rFonts w:asciiTheme="minorHAnsi" w:hAnsiTheme="minorHAnsi"/>
          <w:sz w:val="22"/>
          <w:szCs w:val="22"/>
        </w:rPr>
        <w:t xml:space="preserve">Shepherd JA, Lu Y, Wilson K, et al. Cross-calibration and minimum precision standards for dual-energy X-ray </w:t>
      </w:r>
      <w:proofErr w:type="spellStart"/>
      <w:r w:rsidRPr="0052381F">
        <w:rPr>
          <w:rFonts w:asciiTheme="minorHAnsi" w:hAnsiTheme="minorHAnsi"/>
          <w:sz w:val="22"/>
          <w:szCs w:val="22"/>
        </w:rPr>
        <w:t>absorptiometry</w:t>
      </w:r>
      <w:proofErr w:type="spellEnd"/>
      <w:r w:rsidRPr="0052381F">
        <w:rPr>
          <w:rFonts w:asciiTheme="minorHAnsi" w:hAnsiTheme="minorHAnsi"/>
          <w:sz w:val="22"/>
          <w:szCs w:val="22"/>
        </w:rPr>
        <w:t xml:space="preserve">: The 2005 ISCD Official Position.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xml:space="preserve"> 9(1): 31-36 2006</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Cole L, Mossman E, McClung MR. Cross-calibration of GE-Lunar </w:t>
      </w:r>
      <w:proofErr w:type="spellStart"/>
      <w:r w:rsidRPr="0052381F">
        <w:rPr>
          <w:rFonts w:asciiTheme="minorHAnsi" w:hAnsiTheme="minorHAnsi"/>
          <w:sz w:val="22"/>
          <w:szCs w:val="22"/>
        </w:rPr>
        <w:t>iDXA</w:t>
      </w:r>
      <w:proofErr w:type="spellEnd"/>
      <w:r w:rsidRPr="0052381F">
        <w:rPr>
          <w:rFonts w:asciiTheme="minorHAnsi" w:hAnsiTheme="minorHAnsi"/>
          <w:sz w:val="22"/>
          <w:szCs w:val="22"/>
        </w:rPr>
        <w:t xml:space="preserve"> and Prodigy bone densitometers.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9(2): 238,  2006</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Faulkner KG, </w:t>
      </w:r>
      <w:proofErr w:type="spellStart"/>
      <w:r w:rsidRPr="0052381F">
        <w:rPr>
          <w:rFonts w:asciiTheme="minorHAnsi" w:hAnsiTheme="minorHAnsi"/>
          <w:sz w:val="22"/>
          <w:szCs w:val="22"/>
        </w:rPr>
        <w:t>Wacker</w:t>
      </w:r>
      <w:proofErr w:type="spellEnd"/>
      <w:r w:rsidRPr="0052381F">
        <w:rPr>
          <w:rFonts w:asciiTheme="minorHAnsi" w:hAnsiTheme="minorHAnsi"/>
          <w:sz w:val="22"/>
          <w:szCs w:val="22"/>
        </w:rPr>
        <w:t xml:space="preserve"> WK, </w:t>
      </w:r>
      <w:proofErr w:type="spellStart"/>
      <w:r w:rsidRPr="0052381F">
        <w:rPr>
          <w:rFonts w:asciiTheme="minorHAnsi" w:hAnsiTheme="minorHAnsi"/>
          <w:sz w:val="22"/>
          <w:szCs w:val="22"/>
        </w:rPr>
        <w:t>Riewe</w:t>
      </w:r>
      <w:proofErr w:type="spellEnd"/>
      <w:r w:rsidRPr="0052381F">
        <w:rPr>
          <w:rFonts w:asciiTheme="minorHAnsi" w:hAnsiTheme="minorHAnsi"/>
          <w:sz w:val="22"/>
          <w:szCs w:val="22"/>
        </w:rPr>
        <w:t xml:space="preserve"> KP et al. Accuracy and precision of the Lunar </w:t>
      </w:r>
      <w:proofErr w:type="spellStart"/>
      <w:r w:rsidRPr="0052381F">
        <w:rPr>
          <w:rFonts w:asciiTheme="minorHAnsi" w:hAnsiTheme="minorHAnsi"/>
          <w:sz w:val="22"/>
          <w:szCs w:val="22"/>
        </w:rPr>
        <w:t>iDXA</w:t>
      </w:r>
      <w:proofErr w:type="spellEnd"/>
      <w:r w:rsidRPr="0052381F">
        <w:rPr>
          <w:rFonts w:asciiTheme="minorHAnsi" w:hAnsiTheme="minorHAnsi"/>
          <w:sz w:val="22"/>
          <w:szCs w:val="22"/>
        </w:rPr>
        <w:t xml:space="preserve">, a new fan beam densitometer.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xml:space="preserve">. 9(2) 237 2006 </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O’Connor MK, </w:t>
      </w:r>
      <w:proofErr w:type="spellStart"/>
      <w:r w:rsidRPr="0052381F">
        <w:rPr>
          <w:rFonts w:asciiTheme="minorHAnsi" w:hAnsiTheme="minorHAnsi"/>
          <w:sz w:val="22"/>
          <w:szCs w:val="22"/>
        </w:rPr>
        <w:t>Enright</w:t>
      </w:r>
      <w:proofErr w:type="spellEnd"/>
      <w:r w:rsidRPr="0052381F">
        <w:rPr>
          <w:rFonts w:asciiTheme="minorHAnsi" w:hAnsiTheme="minorHAnsi"/>
          <w:sz w:val="22"/>
          <w:szCs w:val="22"/>
        </w:rPr>
        <w:t xml:space="preserve"> DJ. Evaluation of the new Lunar </w:t>
      </w:r>
      <w:proofErr w:type="spellStart"/>
      <w:r w:rsidRPr="0052381F">
        <w:rPr>
          <w:rFonts w:asciiTheme="minorHAnsi" w:hAnsiTheme="minorHAnsi"/>
          <w:sz w:val="22"/>
          <w:szCs w:val="22"/>
        </w:rPr>
        <w:t>iDXA</w:t>
      </w:r>
      <w:proofErr w:type="spellEnd"/>
      <w:r w:rsidRPr="0052381F">
        <w:rPr>
          <w:rFonts w:asciiTheme="minorHAnsi" w:hAnsiTheme="minorHAnsi"/>
          <w:sz w:val="22"/>
          <w:szCs w:val="22"/>
        </w:rPr>
        <w:t xml:space="preserve"> bone densitometer.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xml:space="preserve"> (2) 237 2006</w:t>
      </w:r>
    </w:p>
    <w:p w:rsidR="00000000" w:rsidRDefault="0052381F">
      <w:pPr>
        <w:numPr>
          <w:ilvl w:val="0"/>
          <w:numId w:val="6"/>
        </w:numPr>
        <w:spacing w:line="360" w:lineRule="auto"/>
        <w:rPr>
          <w:rFonts w:asciiTheme="minorHAnsi" w:hAnsiTheme="minorHAnsi"/>
          <w:sz w:val="22"/>
          <w:szCs w:val="22"/>
        </w:rPr>
      </w:pPr>
      <w:proofErr w:type="spellStart"/>
      <w:r w:rsidRPr="0052381F">
        <w:rPr>
          <w:rFonts w:asciiTheme="minorHAnsi" w:hAnsiTheme="minorHAnsi"/>
          <w:sz w:val="22"/>
          <w:szCs w:val="22"/>
        </w:rPr>
        <w:t>Choi</w:t>
      </w:r>
      <w:proofErr w:type="spellEnd"/>
      <w:r w:rsidRPr="0052381F">
        <w:rPr>
          <w:rFonts w:asciiTheme="minorHAnsi" w:hAnsiTheme="minorHAnsi"/>
          <w:sz w:val="22"/>
          <w:szCs w:val="22"/>
        </w:rPr>
        <w:t xml:space="preserve"> YJ, Lee BJ, Lim HC, Chung Y.   Cross-calibration of </w:t>
      </w:r>
      <w:proofErr w:type="spellStart"/>
      <w:r w:rsidRPr="0052381F">
        <w:rPr>
          <w:rFonts w:asciiTheme="minorHAnsi" w:hAnsiTheme="minorHAnsi"/>
          <w:sz w:val="22"/>
          <w:szCs w:val="22"/>
        </w:rPr>
        <w:t>iDXA</w:t>
      </w:r>
      <w:proofErr w:type="spellEnd"/>
      <w:r w:rsidRPr="0052381F">
        <w:rPr>
          <w:rFonts w:asciiTheme="minorHAnsi" w:hAnsiTheme="minorHAnsi"/>
          <w:sz w:val="22"/>
          <w:szCs w:val="22"/>
        </w:rPr>
        <w:t xml:space="preserve"> and Prodigy on Spine and Femur scans in Korean Adults.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xml:space="preserve"> 12(4) : 450-455 2009</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Krueger D, Vallarta-</w:t>
      </w:r>
      <w:proofErr w:type="spellStart"/>
      <w:r w:rsidRPr="0052381F">
        <w:rPr>
          <w:rFonts w:asciiTheme="minorHAnsi" w:hAnsiTheme="minorHAnsi"/>
          <w:sz w:val="22"/>
          <w:szCs w:val="22"/>
        </w:rPr>
        <w:t>Ast</w:t>
      </w:r>
      <w:proofErr w:type="spellEnd"/>
      <w:r w:rsidRPr="0052381F">
        <w:rPr>
          <w:rFonts w:asciiTheme="minorHAnsi" w:hAnsiTheme="minorHAnsi"/>
          <w:sz w:val="22"/>
          <w:szCs w:val="22"/>
        </w:rPr>
        <w:t xml:space="preserve"> N, </w:t>
      </w:r>
      <w:proofErr w:type="spellStart"/>
      <w:r w:rsidRPr="0052381F">
        <w:rPr>
          <w:rFonts w:asciiTheme="minorHAnsi" w:hAnsiTheme="minorHAnsi"/>
          <w:sz w:val="22"/>
          <w:szCs w:val="22"/>
        </w:rPr>
        <w:t>Checovich</w:t>
      </w:r>
      <w:proofErr w:type="spellEnd"/>
      <w:r w:rsidRPr="0052381F">
        <w:rPr>
          <w:rFonts w:asciiTheme="minorHAnsi" w:hAnsiTheme="minorHAnsi"/>
          <w:sz w:val="22"/>
          <w:szCs w:val="22"/>
        </w:rPr>
        <w:t xml:space="preserve"> M, </w:t>
      </w:r>
      <w:proofErr w:type="spellStart"/>
      <w:r w:rsidRPr="0052381F">
        <w:rPr>
          <w:rFonts w:asciiTheme="minorHAnsi" w:hAnsiTheme="minorHAnsi"/>
          <w:sz w:val="22"/>
          <w:szCs w:val="22"/>
        </w:rPr>
        <w:t>Gemar</w:t>
      </w:r>
      <w:proofErr w:type="spellEnd"/>
      <w:r w:rsidRPr="0052381F">
        <w:rPr>
          <w:rFonts w:asciiTheme="minorHAnsi" w:hAnsiTheme="minorHAnsi"/>
          <w:sz w:val="22"/>
          <w:szCs w:val="22"/>
        </w:rPr>
        <w:t xml:space="preserve"> D, Binkley N. Bone mineral density measurement and precision: A comparison of GE Lunar Prodigy and </w:t>
      </w:r>
      <w:proofErr w:type="spellStart"/>
      <w:r w:rsidRPr="0052381F">
        <w:rPr>
          <w:rFonts w:asciiTheme="minorHAnsi" w:hAnsiTheme="minorHAnsi"/>
          <w:sz w:val="22"/>
          <w:szCs w:val="22"/>
        </w:rPr>
        <w:t>iDXA</w:t>
      </w:r>
      <w:proofErr w:type="spellEnd"/>
      <w:r w:rsidRPr="0052381F">
        <w:rPr>
          <w:rFonts w:asciiTheme="minorHAnsi" w:hAnsiTheme="minorHAnsi"/>
          <w:sz w:val="22"/>
          <w:szCs w:val="22"/>
        </w:rPr>
        <w:t xml:space="preserve"> densitometers.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xml:space="preserve"> 15 (1): 21-25 2012</w:t>
      </w:r>
    </w:p>
    <w:p w:rsidR="00000000" w:rsidRDefault="0052381F">
      <w:pPr>
        <w:numPr>
          <w:ilvl w:val="0"/>
          <w:numId w:val="6"/>
        </w:numPr>
        <w:spacing w:line="360" w:lineRule="auto"/>
        <w:rPr>
          <w:rFonts w:asciiTheme="minorHAnsi" w:hAnsiTheme="minorHAnsi"/>
          <w:sz w:val="22"/>
          <w:szCs w:val="22"/>
        </w:rPr>
      </w:pPr>
      <w:proofErr w:type="spellStart"/>
      <w:r w:rsidRPr="0052381F">
        <w:rPr>
          <w:rFonts w:asciiTheme="minorHAnsi" w:hAnsiTheme="minorHAnsi"/>
          <w:sz w:val="22"/>
          <w:szCs w:val="22"/>
        </w:rPr>
        <w:t>Oldroyd</w:t>
      </w:r>
      <w:proofErr w:type="spellEnd"/>
      <w:r w:rsidRPr="0052381F">
        <w:rPr>
          <w:rFonts w:asciiTheme="minorHAnsi" w:hAnsiTheme="minorHAnsi"/>
          <w:sz w:val="22"/>
          <w:szCs w:val="22"/>
        </w:rPr>
        <w:t xml:space="preserve"> B, Smith AH, Truscott JG.   Cross calibration of GE/Lunar pencil and fan-beam dual energy densitometers – bone mineral density and body composition studies.  </w:t>
      </w:r>
      <w:proofErr w:type="spellStart"/>
      <w:r w:rsidRPr="0052381F">
        <w:rPr>
          <w:rFonts w:asciiTheme="minorHAnsi" w:hAnsiTheme="minorHAnsi"/>
          <w:sz w:val="22"/>
          <w:szCs w:val="22"/>
        </w:rPr>
        <w:t>Eur</w:t>
      </w:r>
      <w:proofErr w:type="spellEnd"/>
      <w:r w:rsidRPr="0052381F">
        <w:rPr>
          <w:rFonts w:asciiTheme="minorHAnsi" w:hAnsiTheme="minorHAnsi"/>
          <w:sz w:val="22"/>
          <w:szCs w:val="22"/>
        </w:rPr>
        <w:t xml:space="preserve">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Nutr</w:t>
      </w:r>
      <w:proofErr w:type="spellEnd"/>
      <w:r w:rsidRPr="0052381F">
        <w:rPr>
          <w:rFonts w:asciiTheme="minorHAnsi" w:hAnsiTheme="minorHAnsi"/>
          <w:sz w:val="22"/>
          <w:szCs w:val="22"/>
        </w:rPr>
        <w:t xml:space="preserve"> 57, 977-987 2003.</w:t>
      </w:r>
    </w:p>
    <w:p w:rsidR="00000000" w:rsidRDefault="0052381F">
      <w:pPr>
        <w:numPr>
          <w:ilvl w:val="0"/>
          <w:numId w:val="6"/>
        </w:numPr>
        <w:spacing w:line="360" w:lineRule="auto"/>
        <w:rPr>
          <w:rFonts w:asciiTheme="minorHAnsi" w:hAnsiTheme="minorHAnsi"/>
          <w:sz w:val="22"/>
          <w:szCs w:val="22"/>
        </w:rPr>
      </w:pPr>
      <w:proofErr w:type="spellStart"/>
      <w:r w:rsidRPr="0052381F">
        <w:rPr>
          <w:rFonts w:asciiTheme="minorHAnsi" w:hAnsiTheme="minorHAnsi"/>
          <w:sz w:val="22"/>
          <w:szCs w:val="22"/>
        </w:rPr>
        <w:t>Mazess</w:t>
      </w:r>
      <w:proofErr w:type="spellEnd"/>
      <w:r w:rsidRPr="0052381F">
        <w:rPr>
          <w:rFonts w:asciiTheme="minorHAnsi" w:hAnsiTheme="minorHAnsi"/>
          <w:sz w:val="22"/>
          <w:szCs w:val="22"/>
        </w:rPr>
        <w:t xml:space="preserve"> RB, </w:t>
      </w:r>
      <w:proofErr w:type="spellStart"/>
      <w:r w:rsidRPr="0052381F">
        <w:rPr>
          <w:rFonts w:asciiTheme="minorHAnsi" w:hAnsiTheme="minorHAnsi"/>
          <w:sz w:val="22"/>
          <w:szCs w:val="22"/>
        </w:rPr>
        <w:t>Trempe</w:t>
      </w:r>
      <w:proofErr w:type="spellEnd"/>
      <w:r w:rsidRPr="0052381F">
        <w:rPr>
          <w:rFonts w:asciiTheme="minorHAnsi" w:hAnsiTheme="minorHAnsi"/>
          <w:sz w:val="22"/>
          <w:szCs w:val="22"/>
        </w:rPr>
        <w:t xml:space="preserve"> JA, </w:t>
      </w:r>
      <w:proofErr w:type="spellStart"/>
      <w:r w:rsidRPr="0052381F">
        <w:rPr>
          <w:rFonts w:asciiTheme="minorHAnsi" w:hAnsiTheme="minorHAnsi"/>
          <w:sz w:val="22"/>
          <w:szCs w:val="22"/>
        </w:rPr>
        <w:t>Bisek</w:t>
      </w:r>
      <w:proofErr w:type="spellEnd"/>
      <w:r w:rsidRPr="0052381F">
        <w:rPr>
          <w:rFonts w:asciiTheme="minorHAnsi" w:hAnsiTheme="minorHAnsi"/>
          <w:sz w:val="22"/>
          <w:szCs w:val="22"/>
        </w:rPr>
        <w:t xml:space="preserve"> JP et al . Calibration of dual-energy x-ray </w:t>
      </w:r>
      <w:proofErr w:type="spellStart"/>
      <w:r w:rsidRPr="0052381F">
        <w:rPr>
          <w:rFonts w:asciiTheme="minorHAnsi" w:hAnsiTheme="minorHAnsi"/>
          <w:sz w:val="22"/>
          <w:szCs w:val="22"/>
        </w:rPr>
        <w:t>absorptiometry</w:t>
      </w:r>
      <w:proofErr w:type="spellEnd"/>
      <w:r w:rsidRPr="0052381F">
        <w:rPr>
          <w:rFonts w:asciiTheme="minorHAnsi" w:hAnsiTheme="minorHAnsi"/>
          <w:sz w:val="22"/>
          <w:szCs w:val="22"/>
        </w:rPr>
        <w:t xml:space="preserve"> for bone density. J. Bone Miner. Res 6, 799-806 1991</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Lees B, Garland SW, Walton C, Stevenson JC. Evaluation of the European Spine Phantom in a multi-centre clinical trial.  </w:t>
      </w:r>
      <w:proofErr w:type="spellStart"/>
      <w:r w:rsidRPr="0052381F">
        <w:rPr>
          <w:rFonts w:asciiTheme="minorHAnsi" w:hAnsiTheme="minorHAnsi"/>
          <w:sz w:val="22"/>
          <w:szCs w:val="22"/>
        </w:rPr>
        <w:t>Osteoporos</w:t>
      </w:r>
      <w:proofErr w:type="spellEnd"/>
      <w:r w:rsidRPr="0052381F">
        <w:rPr>
          <w:rFonts w:asciiTheme="minorHAnsi" w:hAnsiTheme="minorHAnsi"/>
          <w:sz w:val="22"/>
          <w:szCs w:val="22"/>
        </w:rPr>
        <w:t>. Int. 7 570-574. 1997</w:t>
      </w:r>
    </w:p>
    <w:p w:rsidR="00000000" w:rsidRDefault="0052381F">
      <w:pPr>
        <w:numPr>
          <w:ilvl w:val="0"/>
          <w:numId w:val="6"/>
        </w:numPr>
        <w:spacing w:line="360" w:lineRule="auto"/>
        <w:rPr>
          <w:rFonts w:asciiTheme="minorHAnsi" w:hAnsiTheme="minorHAnsi"/>
          <w:sz w:val="22"/>
          <w:szCs w:val="22"/>
        </w:rPr>
      </w:pPr>
      <w:proofErr w:type="spellStart"/>
      <w:r w:rsidRPr="0052381F">
        <w:rPr>
          <w:rFonts w:asciiTheme="minorHAnsi" w:hAnsiTheme="minorHAnsi"/>
          <w:sz w:val="22"/>
          <w:szCs w:val="22"/>
        </w:rPr>
        <w:t>Oldroyd</w:t>
      </w:r>
      <w:proofErr w:type="spellEnd"/>
      <w:r w:rsidRPr="0052381F">
        <w:rPr>
          <w:rFonts w:asciiTheme="minorHAnsi" w:hAnsiTheme="minorHAnsi"/>
          <w:sz w:val="22"/>
          <w:szCs w:val="22"/>
        </w:rPr>
        <w:t xml:space="preserve"> B, Milner R, Marsden</w:t>
      </w:r>
      <w:r w:rsidR="0021011A">
        <w:rPr>
          <w:rFonts w:asciiTheme="minorHAnsi" w:hAnsiTheme="minorHAnsi"/>
          <w:sz w:val="22"/>
          <w:szCs w:val="22"/>
        </w:rPr>
        <w:t xml:space="preserve"> </w:t>
      </w:r>
      <w:r w:rsidRPr="0052381F">
        <w:rPr>
          <w:rFonts w:asciiTheme="minorHAnsi" w:hAnsiTheme="minorHAnsi"/>
          <w:sz w:val="22"/>
          <w:szCs w:val="22"/>
        </w:rPr>
        <w:t>AJ, Crabtree</w:t>
      </w:r>
      <w:r w:rsidR="0021011A">
        <w:rPr>
          <w:rFonts w:asciiTheme="minorHAnsi" w:hAnsiTheme="minorHAnsi"/>
          <w:sz w:val="22"/>
          <w:szCs w:val="22"/>
        </w:rPr>
        <w:t xml:space="preserve"> </w:t>
      </w:r>
      <w:r w:rsidRPr="0052381F">
        <w:rPr>
          <w:rFonts w:asciiTheme="minorHAnsi" w:hAnsiTheme="minorHAnsi"/>
          <w:sz w:val="22"/>
          <w:szCs w:val="22"/>
        </w:rPr>
        <w:t xml:space="preserve">NJ, Bishop NJ, Truscott JG. A versatile A versatile anthropometric lumbar spine phantom for use in </w:t>
      </w:r>
      <w:proofErr w:type="spellStart"/>
      <w:r w:rsidRPr="0052381F">
        <w:rPr>
          <w:rFonts w:asciiTheme="minorHAnsi" w:hAnsiTheme="minorHAnsi"/>
          <w:sz w:val="22"/>
          <w:szCs w:val="22"/>
        </w:rPr>
        <w:t>paediatric</w:t>
      </w:r>
      <w:proofErr w:type="spellEnd"/>
      <w:r w:rsidRPr="0052381F">
        <w:rPr>
          <w:rFonts w:asciiTheme="minorHAnsi" w:hAnsiTheme="minorHAnsi"/>
          <w:sz w:val="22"/>
          <w:szCs w:val="22"/>
        </w:rPr>
        <w:t xml:space="preserve"> studies. 3rd </w:t>
      </w:r>
      <w:proofErr w:type="spellStart"/>
      <w:r w:rsidRPr="0052381F">
        <w:rPr>
          <w:rFonts w:asciiTheme="minorHAnsi" w:hAnsiTheme="minorHAnsi"/>
          <w:sz w:val="22"/>
          <w:szCs w:val="22"/>
        </w:rPr>
        <w:t>Int</w:t>
      </w:r>
      <w:proofErr w:type="spellEnd"/>
      <w:r w:rsidRPr="0052381F">
        <w:rPr>
          <w:rFonts w:asciiTheme="minorHAnsi" w:hAnsiTheme="minorHAnsi"/>
          <w:sz w:val="22"/>
          <w:szCs w:val="22"/>
        </w:rPr>
        <w:t xml:space="preserve"> Conf. on Child Bone Health 2005</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lastRenderedPageBreak/>
        <w:t>Bland JM, Altman DG. Statistical methods for assessing agreement between two methods of clinical measurement. The Lancet 1 307-309 1986</w:t>
      </w:r>
    </w:p>
    <w:p w:rsidR="00000000" w:rsidRDefault="0052381F">
      <w:pPr>
        <w:numPr>
          <w:ilvl w:val="0"/>
          <w:numId w:val="6"/>
        </w:numPr>
        <w:spacing w:line="360" w:lineRule="auto"/>
        <w:rPr>
          <w:rFonts w:asciiTheme="minorHAnsi" w:hAnsiTheme="minorHAnsi"/>
          <w:sz w:val="22"/>
          <w:szCs w:val="22"/>
        </w:rPr>
      </w:pPr>
      <w:proofErr w:type="spellStart"/>
      <w:r w:rsidRPr="0052381F">
        <w:rPr>
          <w:rFonts w:asciiTheme="minorHAnsi" w:hAnsiTheme="minorHAnsi"/>
          <w:sz w:val="22"/>
          <w:szCs w:val="22"/>
        </w:rPr>
        <w:t>Omsland</w:t>
      </w:r>
      <w:proofErr w:type="spellEnd"/>
      <w:r w:rsidRPr="0052381F">
        <w:rPr>
          <w:rFonts w:asciiTheme="minorHAnsi" w:hAnsiTheme="minorHAnsi"/>
          <w:sz w:val="22"/>
          <w:szCs w:val="22"/>
        </w:rPr>
        <w:t xml:space="preserve"> TK, </w:t>
      </w:r>
      <w:proofErr w:type="spellStart"/>
      <w:r w:rsidRPr="0052381F">
        <w:rPr>
          <w:rFonts w:asciiTheme="minorHAnsi" w:hAnsiTheme="minorHAnsi"/>
          <w:sz w:val="22"/>
          <w:szCs w:val="22"/>
        </w:rPr>
        <w:t>Emausa</w:t>
      </w:r>
      <w:proofErr w:type="spellEnd"/>
      <w:r w:rsidRPr="0052381F">
        <w:rPr>
          <w:rFonts w:asciiTheme="minorHAnsi" w:hAnsiTheme="minorHAnsi"/>
          <w:sz w:val="22"/>
          <w:szCs w:val="22"/>
        </w:rPr>
        <w:t xml:space="preserve"> N, </w:t>
      </w:r>
      <w:proofErr w:type="spellStart"/>
      <w:r w:rsidRPr="0052381F">
        <w:rPr>
          <w:rFonts w:asciiTheme="minorHAnsi" w:hAnsiTheme="minorHAnsi"/>
          <w:sz w:val="22"/>
          <w:szCs w:val="22"/>
        </w:rPr>
        <w:t>Gjesdal</w:t>
      </w:r>
      <w:proofErr w:type="spellEnd"/>
      <w:r w:rsidRPr="0052381F">
        <w:rPr>
          <w:rFonts w:asciiTheme="minorHAnsi" w:hAnsiTheme="minorHAnsi"/>
          <w:sz w:val="22"/>
          <w:szCs w:val="22"/>
        </w:rPr>
        <w:t xml:space="preserve"> CG et al. In vivo and In vitro Comparison of Densitometers in the NOREPOS study. J </w:t>
      </w:r>
      <w:proofErr w:type="spellStart"/>
      <w:r w:rsidRPr="0052381F">
        <w:rPr>
          <w:rFonts w:asciiTheme="minorHAnsi" w:hAnsiTheme="minorHAnsi"/>
          <w:sz w:val="22"/>
          <w:szCs w:val="22"/>
        </w:rPr>
        <w:t>Clin</w:t>
      </w:r>
      <w:proofErr w:type="spellEnd"/>
      <w:r w:rsidRPr="0052381F">
        <w:rPr>
          <w:rFonts w:asciiTheme="minorHAnsi" w:hAnsiTheme="minorHAnsi"/>
          <w:sz w:val="22"/>
          <w:szCs w:val="22"/>
        </w:rPr>
        <w:t xml:space="preserve"> </w:t>
      </w:r>
      <w:proofErr w:type="spellStart"/>
      <w:r w:rsidRPr="0052381F">
        <w:rPr>
          <w:rFonts w:asciiTheme="minorHAnsi" w:hAnsiTheme="minorHAnsi"/>
          <w:sz w:val="22"/>
          <w:szCs w:val="22"/>
        </w:rPr>
        <w:t>Densitom</w:t>
      </w:r>
      <w:proofErr w:type="spellEnd"/>
      <w:r w:rsidRPr="0052381F">
        <w:rPr>
          <w:rFonts w:asciiTheme="minorHAnsi" w:hAnsiTheme="minorHAnsi"/>
          <w:sz w:val="22"/>
          <w:szCs w:val="22"/>
        </w:rPr>
        <w:t>. 11(2) 276-282 2008</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Blake G, Harrison EJ, Adams JE.  Dual X-ray </w:t>
      </w:r>
      <w:proofErr w:type="spellStart"/>
      <w:r w:rsidRPr="0052381F">
        <w:rPr>
          <w:rFonts w:asciiTheme="minorHAnsi" w:hAnsiTheme="minorHAnsi"/>
          <w:sz w:val="22"/>
          <w:szCs w:val="22"/>
        </w:rPr>
        <w:t>absorptiometry</w:t>
      </w:r>
      <w:proofErr w:type="spellEnd"/>
      <w:r w:rsidRPr="0052381F">
        <w:rPr>
          <w:rFonts w:asciiTheme="minorHAnsi" w:hAnsiTheme="minorHAnsi"/>
          <w:sz w:val="22"/>
          <w:szCs w:val="22"/>
        </w:rPr>
        <w:t xml:space="preserve">: Cross-calibration of a new fan-beam system.  </w:t>
      </w:r>
      <w:proofErr w:type="spellStart"/>
      <w:r w:rsidRPr="0052381F">
        <w:rPr>
          <w:rFonts w:asciiTheme="minorHAnsi" w:hAnsiTheme="minorHAnsi"/>
          <w:sz w:val="22"/>
          <w:szCs w:val="22"/>
        </w:rPr>
        <w:t>Calcif</w:t>
      </w:r>
      <w:proofErr w:type="spellEnd"/>
      <w:r w:rsidRPr="0052381F">
        <w:rPr>
          <w:rFonts w:asciiTheme="minorHAnsi" w:hAnsiTheme="minorHAnsi"/>
          <w:sz w:val="22"/>
          <w:szCs w:val="22"/>
        </w:rPr>
        <w:t xml:space="preserve"> Tissue </w:t>
      </w:r>
      <w:proofErr w:type="spellStart"/>
      <w:r w:rsidRPr="0052381F">
        <w:rPr>
          <w:rFonts w:asciiTheme="minorHAnsi" w:hAnsiTheme="minorHAnsi"/>
          <w:sz w:val="22"/>
          <w:szCs w:val="22"/>
        </w:rPr>
        <w:t>Int</w:t>
      </w:r>
      <w:proofErr w:type="spellEnd"/>
      <w:r w:rsidRPr="0052381F">
        <w:rPr>
          <w:rFonts w:asciiTheme="minorHAnsi" w:hAnsiTheme="minorHAnsi"/>
          <w:sz w:val="22"/>
          <w:szCs w:val="22"/>
        </w:rPr>
        <w:t xml:space="preserve"> 75 : 7-14 2004</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 xml:space="preserve">Kim NY, Kim BT, Kim KM, Park SB, </w:t>
      </w:r>
      <w:proofErr w:type="spellStart"/>
      <w:r w:rsidRPr="0052381F">
        <w:rPr>
          <w:rFonts w:asciiTheme="minorHAnsi" w:hAnsiTheme="minorHAnsi"/>
          <w:sz w:val="22"/>
          <w:szCs w:val="22"/>
        </w:rPr>
        <w:t>Joo</w:t>
      </w:r>
      <w:proofErr w:type="spellEnd"/>
      <w:r w:rsidRPr="0052381F">
        <w:rPr>
          <w:rFonts w:asciiTheme="minorHAnsi" w:hAnsiTheme="minorHAnsi"/>
          <w:sz w:val="22"/>
          <w:szCs w:val="22"/>
        </w:rPr>
        <w:t xml:space="preserve"> NS et al The influence of Exogenous fat and water on lumbar spine bone mineral density in healthy volunteers. </w:t>
      </w:r>
      <w:proofErr w:type="spellStart"/>
      <w:r w:rsidRPr="0052381F">
        <w:rPr>
          <w:rFonts w:asciiTheme="minorHAnsi" w:hAnsiTheme="minorHAnsi"/>
          <w:sz w:val="22"/>
          <w:szCs w:val="22"/>
        </w:rPr>
        <w:t>Yonsei</w:t>
      </w:r>
      <w:proofErr w:type="spellEnd"/>
      <w:r w:rsidRPr="0052381F">
        <w:rPr>
          <w:rFonts w:asciiTheme="minorHAnsi" w:hAnsiTheme="minorHAnsi"/>
          <w:sz w:val="22"/>
          <w:szCs w:val="22"/>
        </w:rPr>
        <w:t xml:space="preserve"> Med J 53(2) 289-293 2012</w:t>
      </w:r>
    </w:p>
    <w:p w:rsidR="00000000" w:rsidRDefault="0052381F">
      <w:pPr>
        <w:numPr>
          <w:ilvl w:val="0"/>
          <w:numId w:val="6"/>
        </w:numPr>
        <w:spacing w:line="360" w:lineRule="auto"/>
        <w:rPr>
          <w:rFonts w:asciiTheme="minorHAnsi" w:hAnsiTheme="minorHAnsi"/>
          <w:sz w:val="22"/>
          <w:szCs w:val="22"/>
        </w:rPr>
      </w:pPr>
      <w:r w:rsidRPr="0052381F">
        <w:rPr>
          <w:rFonts w:asciiTheme="minorHAnsi" w:hAnsiTheme="minorHAnsi"/>
          <w:sz w:val="22"/>
          <w:szCs w:val="22"/>
        </w:rPr>
        <w:t>Yu EW, Thomas BJ, Brown JK, Finkelstein JS. Simulate increases in body fat and errors in bone mineral density measurements by DXA and QCT. J Bone and Min Res 27(1) 119-124 2012</w:t>
      </w:r>
    </w:p>
    <w:p w:rsidR="00000000" w:rsidRDefault="00BC6F56">
      <w:pPr>
        <w:spacing w:line="360" w:lineRule="auto"/>
        <w:rPr>
          <w:rFonts w:asciiTheme="minorHAnsi" w:hAnsiTheme="minorHAnsi"/>
          <w:sz w:val="22"/>
          <w:szCs w:val="22"/>
        </w:rPr>
      </w:pPr>
    </w:p>
    <w:p w:rsidR="00F36325" w:rsidRPr="00C55B7E" w:rsidRDefault="0052381F" w:rsidP="00F36325">
      <w:pPr>
        <w:rPr>
          <w:rFonts w:asciiTheme="minorHAnsi" w:hAnsiTheme="minorHAnsi"/>
          <w:b/>
          <w:sz w:val="22"/>
          <w:szCs w:val="22"/>
          <w:lang w:val="en-GB"/>
        </w:rPr>
      </w:pPr>
      <w:r w:rsidRPr="0052381F">
        <w:rPr>
          <w:rFonts w:asciiTheme="minorHAnsi" w:hAnsiTheme="minorHAnsi"/>
          <w:sz w:val="22"/>
          <w:szCs w:val="22"/>
        </w:rPr>
        <w:br w:type="page"/>
      </w:r>
      <w:r w:rsidRPr="0052381F">
        <w:rPr>
          <w:rFonts w:asciiTheme="minorHAnsi" w:hAnsiTheme="minorHAnsi"/>
          <w:b/>
          <w:sz w:val="22"/>
          <w:szCs w:val="22"/>
          <w:lang w:val="en-GB"/>
        </w:rPr>
        <w:lastRenderedPageBreak/>
        <w:t xml:space="preserve"> </w:t>
      </w:r>
    </w:p>
    <w:p w:rsidR="00F36325" w:rsidRPr="00C55B7E" w:rsidRDefault="0052381F" w:rsidP="00F36325">
      <w:pPr>
        <w:rPr>
          <w:rFonts w:asciiTheme="minorHAnsi" w:hAnsiTheme="minorHAnsi"/>
          <w:b/>
          <w:sz w:val="22"/>
          <w:szCs w:val="22"/>
          <w:lang w:val="en-GB"/>
        </w:rPr>
      </w:pPr>
      <w:r w:rsidRPr="0052381F">
        <w:rPr>
          <w:rFonts w:asciiTheme="minorHAnsi" w:hAnsiTheme="minorHAnsi"/>
          <w:b/>
          <w:sz w:val="22"/>
          <w:szCs w:val="22"/>
          <w:lang w:val="en-GB"/>
        </w:rPr>
        <w:t xml:space="preserve">Table 1: </w:t>
      </w:r>
      <w:r w:rsidRPr="0052381F">
        <w:rPr>
          <w:rFonts w:asciiTheme="minorHAnsi" w:hAnsiTheme="minorHAnsi"/>
          <w:sz w:val="22"/>
          <w:szCs w:val="22"/>
          <w:lang w:val="en-GB"/>
        </w:rPr>
        <w:t>GE Lunar</w:t>
      </w:r>
      <w:r w:rsidRPr="0052381F">
        <w:rPr>
          <w:rFonts w:asciiTheme="minorHAnsi" w:hAnsiTheme="minorHAnsi"/>
          <w:b/>
          <w:sz w:val="22"/>
          <w:szCs w:val="22"/>
          <w:lang w:val="en-GB"/>
        </w:rPr>
        <w:t xml:space="preserve"> </w:t>
      </w:r>
      <w:r w:rsidRPr="0052381F">
        <w:rPr>
          <w:rFonts w:asciiTheme="minorHAnsi" w:hAnsiTheme="minorHAnsi"/>
          <w:sz w:val="22"/>
          <w:szCs w:val="22"/>
          <w:lang w:val="en-GB"/>
        </w:rPr>
        <w:t xml:space="preserve">Prodigy – </w:t>
      </w:r>
      <w:proofErr w:type="spellStart"/>
      <w:r w:rsidRPr="0052381F">
        <w:rPr>
          <w:rFonts w:asciiTheme="minorHAnsi" w:hAnsiTheme="minorHAnsi"/>
          <w:sz w:val="22"/>
          <w:szCs w:val="22"/>
          <w:lang w:val="en-GB"/>
        </w:rPr>
        <w:t>iDXA</w:t>
      </w:r>
      <w:proofErr w:type="spellEnd"/>
      <w:r w:rsidRPr="0052381F">
        <w:rPr>
          <w:rFonts w:asciiTheme="minorHAnsi" w:hAnsiTheme="minorHAnsi"/>
          <w:sz w:val="22"/>
          <w:szCs w:val="22"/>
          <w:lang w:val="en-GB"/>
        </w:rPr>
        <w:t xml:space="preserve"> scan parameters</w:t>
      </w:r>
    </w:p>
    <w:p w:rsidR="00F36325" w:rsidRPr="00C55B7E" w:rsidRDefault="00F36325" w:rsidP="00F36325">
      <w:pPr>
        <w:jc w:val="center"/>
        <w:rPr>
          <w:rFonts w:asciiTheme="minorHAnsi" w:hAnsiTheme="minorHAnsi"/>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440"/>
        <w:gridCol w:w="1260"/>
      </w:tblGrid>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b/>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b/>
                <w:sz w:val="22"/>
                <w:szCs w:val="22"/>
                <w:lang w:val="en-GB"/>
              </w:rPr>
            </w:pPr>
            <w:r w:rsidRPr="0052381F">
              <w:rPr>
                <w:rFonts w:asciiTheme="minorHAnsi" w:hAnsiTheme="minorHAnsi"/>
                <w:b/>
                <w:sz w:val="22"/>
                <w:szCs w:val="22"/>
                <w:lang w:val="en-GB"/>
              </w:rPr>
              <w:t>Prodigy</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b/>
                <w:sz w:val="22"/>
                <w:szCs w:val="22"/>
                <w:lang w:val="en-GB"/>
              </w:rPr>
            </w:pPr>
            <w:proofErr w:type="spellStart"/>
            <w:r w:rsidRPr="0052381F">
              <w:rPr>
                <w:rFonts w:asciiTheme="minorHAnsi" w:hAnsiTheme="minorHAnsi"/>
                <w:b/>
                <w:sz w:val="22"/>
                <w:szCs w:val="22"/>
                <w:lang w:val="en-GB"/>
              </w:rPr>
              <w:t>iDXA</w:t>
            </w:r>
            <w:proofErr w:type="spellEnd"/>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b/>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b/>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b/>
                <w:sz w:val="22"/>
                <w:szCs w:val="22"/>
                <w:lang w:val="en-GB"/>
              </w:rPr>
            </w:pP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Fan beam angle</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4.5º</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4.5º</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Spine/femur scan mode</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Standard</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Standard</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tabs>
                <w:tab w:val="left" w:pos="180"/>
              </w:tabs>
              <w:jc w:val="center"/>
              <w:rPr>
                <w:rFonts w:asciiTheme="minorHAnsi" w:hAnsiTheme="minorHAnsi"/>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tabs>
                <w:tab w:val="left" w:pos="180"/>
              </w:tabs>
              <w:jc w:val="center"/>
              <w:rPr>
                <w:rFonts w:asciiTheme="minorHAnsi" w:hAnsiTheme="minorHAnsi"/>
                <w:sz w:val="22"/>
                <w:szCs w:val="22"/>
                <w:lang w:val="en-GB"/>
              </w:rPr>
            </w:pPr>
            <w:r w:rsidRPr="0052381F">
              <w:rPr>
                <w:rFonts w:asciiTheme="minorHAnsi" w:hAnsiTheme="minorHAnsi"/>
                <w:sz w:val="22"/>
                <w:szCs w:val="22"/>
                <w:lang w:val="en-GB"/>
              </w:rPr>
              <w:t>X-ray tube</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Voltage (kV)</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76.0</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100</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Current (</w:t>
            </w:r>
            <w:proofErr w:type="spellStart"/>
            <w:r w:rsidRPr="0052381F">
              <w:rPr>
                <w:rFonts w:asciiTheme="minorHAnsi" w:hAnsiTheme="minorHAnsi"/>
                <w:sz w:val="22"/>
                <w:szCs w:val="22"/>
                <w:lang w:val="en-GB"/>
              </w:rPr>
              <w:t>mA</w:t>
            </w:r>
            <w:proofErr w:type="spellEnd"/>
            <w:r w:rsidRPr="0052381F">
              <w:rPr>
                <w:rFonts w:asciiTheme="minorHAnsi" w:hAnsiTheme="minorHAnsi"/>
                <w:sz w:val="22"/>
                <w:szCs w:val="22"/>
                <w:lang w:val="en-GB"/>
              </w:rPr>
              <w:t>)</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3.00</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2.50</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Reference counts : High</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131902</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170911</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 xml:space="preserve">                             : Low</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159964</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263860</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F36325" w:rsidP="00F36325">
            <w:pPr>
              <w:jc w:val="center"/>
              <w:rPr>
                <w:rFonts w:asciiTheme="minorHAnsi" w:hAnsiTheme="minorHAnsi"/>
                <w:sz w:val="22"/>
                <w:szCs w:val="22"/>
                <w:lang w:val="en-GB"/>
              </w:rPr>
            </w:pP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Pixel size (mm)</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0.60 x 1.05</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0.3 x  0.25</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Pixel area (mm</w:t>
            </w:r>
            <w:r w:rsidRPr="0052381F">
              <w:rPr>
                <w:rFonts w:asciiTheme="minorHAnsi" w:hAnsiTheme="minorHAnsi"/>
                <w:sz w:val="22"/>
                <w:szCs w:val="22"/>
                <w:vertAlign w:val="superscript"/>
                <w:lang w:val="en-GB"/>
              </w:rPr>
              <w:t>2</w:t>
            </w:r>
            <w:r w:rsidRPr="0052381F">
              <w:rPr>
                <w:rFonts w:asciiTheme="minorHAnsi" w:hAnsiTheme="minorHAnsi"/>
                <w:sz w:val="22"/>
                <w:szCs w:val="22"/>
                <w:lang w:val="en-GB"/>
              </w:rPr>
              <w:t>)</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0.63</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0.075</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Time (min)</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0.50</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0.52</w:t>
            </w:r>
          </w:p>
        </w:tc>
      </w:tr>
      <w:tr w:rsidR="00F36325" w:rsidRPr="00C55B7E" w:rsidTr="00F36325">
        <w:tc>
          <w:tcPr>
            <w:tcW w:w="270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Dose (</w:t>
            </w:r>
            <w:proofErr w:type="spellStart"/>
            <w:r w:rsidRPr="0052381F">
              <w:rPr>
                <w:rFonts w:asciiTheme="minorHAnsi" w:hAnsiTheme="minorHAnsi"/>
                <w:sz w:val="22"/>
                <w:szCs w:val="22"/>
                <w:lang w:val="en-GB"/>
              </w:rPr>
              <w:t>uGy</w:t>
            </w:r>
            <w:proofErr w:type="spellEnd"/>
            <w:r w:rsidRPr="0052381F">
              <w:rPr>
                <w:rFonts w:asciiTheme="minorHAnsi" w:hAnsiTheme="minorHAnsi"/>
                <w:sz w:val="22"/>
                <w:szCs w:val="22"/>
                <w:lang w:val="en-GB"/>
              </w:rPr>
              <w:t>)</w:t>
            </w:r>
          </w:p>
        </w:tc>
        <w:tc>
          <w:tcPr>
            <w:tcW w:w="144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37.0</w:t>
            </w:r>
          </w:p>
        </w:tc>
        <w:tc>
          <w:tcPr>
            <w:tcW w:w="1260" w:type="dxa"/>
            <w:tcBorders>
              <w:top w:val="single" w:sz="4" w:space="0" w:color="auto"/>
              <w:left w:val="single" w:sz="4" w:space="0" w:color="auto"/>
              <w:bottom w:val="single" w:sz="4" w:space="0" w:color="auto"/>
              <w:right w:val="single" w:sz="4" w:space="0" w:color="auto"/>
            </w:tcBorders>
          </w:tcPr>
          <w:p w:rsidR="00F36325" w:rsidRPr="00C55B7E" w:rsidRDefault="0052381F" w:rsidP="00F36325">
            <w:pPr>
              <w:jc w:val="center"/>
              <w:rPr>
                <w:rFonts w:asciiTheme="minorHAnsi" w:hAnsiTheme="minorHAnsi"/>
                <w:sz w:val="22"/>
                <w:szCs w:val="22"/>
                <w:lang w:val="en-GB"/>
              </w:rPr>
            </w:pPr>
            <w:r w:rsidRPr="0052381F">
              <w:rPr>
                <w:rFonts w:asciiTheme="minorHAnsi" w:hAnsiTheme="minorHAnsi"/>
                <w:sz w:val="22"/>
                <w:szCs w:val="22"/>
                <w:lang w:val="en-GB"/>
              </w:rPr>
              <w:t>146.0</w:t>
            </w:r>
          </w:p>
        </w:tc>
      </w:tr>
    </w:tbl>
    <w:p w:rsidR="0049012F" w:rsidRPr="00C55B7E" w:rsidRDefault="0049012F" w:rsidP="009510F9">
      <w:pPr>
        <w:spacing w:line="480" w:lineRule="auto"/>
        <w:jc w:val="both"/>
        <w:rPr>
          <w:rFonts w:asciiTheme="minorHAnsi" w:hAnsiTheme="minorHAnsi"/>
          <w:sz w:val="22"/>
          <w:szCs w:val="22"/>
        </w:rPr>
      </w:pPr>
    </w:p>
    <w:p w:rsidR="0021011A" w:rsidRDefault="0021011A" w:rsidP="00A94F49">
      <w:pPr>
        <w:spacing w:line="480" w:lineRule="auto"/>
        <w:jc w:val="both"/>
        <w:rPr>
          <w:rFonts w:asciiTheme="minorHAnsi" w:hAnsiTheme="minorHAnsi"/>
          <w:b/>
          <w:sz w:val="22"/>
          <w:szCs w:val="22"/>
        </w:rPr>
      </w:pPr>
    </w:p>
    <w:p w:rsidR="0021011A" w:rsidRDefault="0021011A" w:rsidP="00A94F49">
      <w:pPr>
        <w:spacing w:line="480" w:lineRule="auto"/>
        <w:jc w:val="both"/>
        <w:rPr>
          <w:rFonts w:asciiTheme="minorHAnsi" w:hAnsiTheme="minorHAnsi"/>
          <w:b/>
          <w:sz w:val="22"/>
          <w:szCs w:val="22"/>
        </w:rPr>
      </w:pPr>
    </w:p>
    <w:p w:rsidR="0021011A" w:rsidRDefault="0021011A" w:rsidP="00A94F49">
      <w:pPr>
        <w:spacing w:line="480" w:lineRule="auto"/>
        <w:jc w:val="both"/>
        <w:rPr>
          <w:rFonts w:asciiTheme="minorHAnsi" w:hAnsiTheme="minorHAnsi"/>
          <w:b/>
          <w:sz w:val="22"/>
          <w:szCs w:val="22"/>
        </w:rPr>
      </w:pPr>
    </w:p>
    <w:p w:rsidR="0021011A" w:rsidRDefault="0021011A" w:rsidP="00A94F49">
      <w:pPr>
        <w:spacing w:line="480" w:lineRule="auto"/>
        <w:jc w:val="both"/>
        <w:rPr>
          <w:rFonts w:asciiTheme="minorHAnsi" w:hAnsiTheme="minorHAnsi"/>
          <w:b/>
          <w:sz w:val="22"/>
          <w:szCs w:val="22"/>
        </w:rPr>
      </w:pPr>
    </w:p>
    <w:p w:rsidR="0021011A" w:rsidRDefault="0021011A" w:rsidP="00A94F49">
      <w:pPr>
        <w:spacing w:line="480" w:lineRule="auto"/>
        <w:jc w:val="both"/>
        <w:rPr>
          <w:rFonts w:asciiTheme="minorHAnsi" w:hAnsiTheme="minorHAnsi"/>
          <w:b/>
          <w:sz w:val="22"/>
          <w:szCs w:val="22"/>
        </w:rPr>
      </w:pPr>
    </w:p>
    <w:p w:rsidR="00F36325" w:rsidRPr="00C55B7E" w:rsidRDefault="0052381F" w:rsidP="00F36325">
      <w:pPr>
        <w:rPr>
          <w:rFonts w:asciiTheme="minorHAnsi" w:hAnsiTheme="minorHAnsi"/>
          <w:sz w:val="22"/>
          <w:szCs w:val="22"/>
        </w:rPr>
      </w:pPr>
      <w:r w:rsidRPr="0052381F">
        <w:rPr>
          <w:rFonts w:asciiTheme="minorHAnsi" w:hAnsiTheme="minorHAnsi"/>
          <w:b/>
          <w:sz w:val="22"/>
          <w:szCs w:val="22"/>
        </w:rPr>
        <w:t xml:space="preserve">Table </w:t>
      </w:r>
      <w:r w:rsidR="0085600D">
        <w:rPr>
          <w:rFonts w:asciiTheme="minorHAnsi" w:hAnsiTheme="minorHAnsi"/>
          <w:b/>
          <w:sz w:val="22"/>
          <w:szCs w:val="22"/>
        </w:rPr>
        <w:t>2</w:t>
      </w:r>
      <w:r w:rsidRPr="0052381F">
        <w:rPr>
          <w:rFonts w:asciiTheme="minorHAnsi" w:hAnsiTheme="minorHAnsi"/>
          <w:b/>
          <w:sz w:val="22"/>
          <w:szCs w:val="22"/>
        </w:rPr>
        <w:t xml:space="preserve">:   </w:t>
      </w:r>
      <w:r w:rsidRPr="0052381F">
        <w:rPr>
          <w:rFonts w:asciiTheme="minorHAnsi" w:hAnsiTheme="minorHAnsi"/>
          <w:sz w:val="22"/>
          <w:szCs w:val="22"/>
        </w:rPr>
        <w:t>Comparison of GE</w:t>
      </w:r>
      <w:r w:rsidR="0085600D">
        <w:rPr>
          <w:rFonts w:asciiTheme="minorHAnsi" w:hAnsiTheme="minorHAnsi"/>
          <w:sz w:val="22"/>
          <w:szCs w:val="22"/>
        </w:rPr>
        <w:t xml:space="preserve"> Lunar </w:t>
      </w:r>
      <w:proofErr w:type="spellStart"/>
      <w:r w:rsidR="0085600D">
        <w:rPr>
          <w:rFonts w:asciiTheme="minorHAnsi" w:hAnsiTheme="minorHAnsi"/>
          <w:sz w:val="22"/>
          <w:szCs w:val="22"/>
        </w:rPr>
        <w:t>iDXA</w:t>
      </w:r>
      <w:proofErr w:type="spellEnd"/>
      <w:r w:rsidR="0085600D">
        <w:rPr>
          <w:rFonts w:asciiTheme="minorHAnsi" w:hAnsiTheme="minorHAnsi"/>
          <w:sz w:val="22"/>
          <w:szCs w:val="22"/>
        </w:rPr>
        <w:t xml:space="preserve"> and Prodigy Results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1701"/>
        <w:gridCol w:w="1634"/>
        <w:gridCol w:w="1701"/>
        <w:gridCol w:w="1201"/>
        <w:gridCol w:w="1134"/>
        <w:gridCol w:w="1276"/>
        <w:gridCol w:w="1417"/>
        <w:gridCol w:w="1735"/>
      </w:tblGrid>
      <w:tr w:rsidR="0085600D" w:rsidRPr="00C55B7E" w:rsidTr="0085600D">
        <w:trPr>
          <w:jc w:val="center"/>
        </w:trPr>
        <w:tc>
          <w:tcPr>
            <w:tcW w:w="1668"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Site</w:t>
            </w:r>
          </w:p>
        </w:tc>
        <w:tc>
          <w:tcPr>
            <w:tcW w:w="992" w:type="dxa"/>
          </w:tcPr>
          <w:p w:rsidR="00F36325" w:rsidRPr="00C55B7E" w:rsidRDefault="00F36325" w:rsidP="00F36325">
            <w:pPr>
              <w:rPr>
                <w:rFonts w:asciiTheme="minorHAnsi" w:hAnsiTheme="minorHAnsi"/>
                <w:b/>
                <w:sz w:val="22"/>
                <w:szCs w:val="22"/>
              </w:rPr>
            </w:pPr>
          </w:p>
        </w:tc>
        <w:tc>
          <w:tcPr>
            <w:tcW w:w="1701"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BMD</w:t>
            </w:r>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(g/cm</w:t>
            </w:r>
            <w:r w:rsidRPr="0052381F">
              <w:rPr>
                <w:rFonts w:asciiTheme="minorHAnsi" w:hAnsiTheme="minorHAnsi"/>
                <w:b/>
                <w:sz w:val="22"/>
                <w:szCs w:val="22"/>
                <w:vertAlign w:val="superscript"/>
              </w:rPr>
              <w:t>2</w:t>
            </w:r>
            <w:r w:rsidRPr="0052381F">
              <w:rPr>
                <w:rFonts w:asciiTheme="minorHAnsi" w:hAnsiTheme="minorHAnsi"/>
                <w:b/>
                <w:sz w:val="22"/>
                <w:szCs w:val="22"/>
              </w:rPr>
              <w:t>)</w:t>
            </w:r>
          </w:p>
        </w:tc>
        <w:tc>
          <w:tcPr>
            <w:tcW w:w="1634"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BMD</w:t>
            </w:r>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(Range)</w:t>
            </w:r>
          </w:p>
        </w:tc>
        <w:tc>
          <w:tcPr>
            <w:tcW w:w="1701"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BMC</w:t>
            </w:r>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(g)</w:t>
            </w:r>
          </w:p>
        </w:tc>
        <w:tc>
          <w:tcPr>
            <w:tcW w:w="1201"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Area</w:t>
            </w:r>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(cm</w:t>
            </w:r>
            <w:r w:rsidRPr="0052381F">
              <w:rPr>
                <w:rFonts w:asciiTheme="minorHAnsi" w:hAnsiTheme="minorHAnsi"/>
                <w:b/>
                <w:sz w:val="22"/>
                <w:szCs w:val="22"/>
                <w:vertAlign w:val="superscript"/>
              </w:rPr>
              <w:t>2</w:t>
            </w:r>
            <w:r w:rsidRPr="0052381F">
              <w:rPr>
                <w:rFonts w:asciiTheme="minorHAnsi" w:hAnsiTheme="minorHAnsi"/>
                <w:b/>
                <w:sz w:val="22"/>
                <w:szCs w:val="22"/>
              </w:rPr>
              <w:t>)</w:t>
            </w:r>
          </w:p>
        </w:tc>
        <w:tc>
          <w:tcPr>
            <w:tcW w:w="1134"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T-score</w:t>
            </w:r>
          </w:p>
        </w:tc>
        <w:tc>
          <w:tcPr>
            <w:tcW w:w="1276"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Z-score</w:t>
            </w:r>
          </w:p>
        </w:tc>
        <w:tc>
          <w:tcPr>
            <w:tcW w:w="1417" w:type="dxa"/>
          </w:tcPr>
          <w:p w:rsidR="00000000" w:rsidRDefault="0052381F">
            <w:pPr>
              <w:rPr>
                <w:rFonts w:asciiTheme="minorHAnsi" w:hAnsiTheme="minorHAnsi"/>
                <w:b/>
                <w:sz w:val="22"/>
                <w:szCs w:val="22"/>
              </w:rPr>
            </w:pPr>
            <w:r w:rsidRPr="0052381F">
              <w:rPr>
                <w:rFonts w:asciiTheme="minorHAnsi" w:hAnsiTheme="minorHAnsi"/>
                <w:b/>
                <w:sz w:val="22"/>
                <w:szCs w:val="22"/>
              </w:rPr>
              <w:t xml:space="preserve">Tissue </w:t>
            </w:r>
            <w:r w:rsidR="0085600D">
              <w:rPr>
                <w:rFonts w:asciiTheme="minorHAnsi" w:hAnsiTheme="minorHAnsi"/>
                <w:b/>
                <w:sz w:val="22"/>
                <w:szCs w:val="22"/>
              </w:rPr>
              <w:t>%</w:t>
            </w:r>
            <w:r w:rsidRPr="0052381F">
              <w:rPr>
                <w:rFonts w:asciiTheme="minorHAnsi" w:hAnsiTheme="minorHAnsi"/>
                <w:b/>
                <w:sz w:val="22"/>
                <w:szCs w:val="22"/>
              </w:rPr>
              <w:t xml:space="preserve"> fat</w:t>
            </w:r>
          </w:p>
        </w:tc>
        <w:tc>
          <w:tcPr>
            <w:tcW w:w="1735"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Thickness</w:t>
            </w:r>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(cm)</w:t>
            </w:r>
          </w:p>
        </w:tc>
      </w:tr>
      <w:tr w:rsidR="0085600D" w:rsidRPr="00C55B7E" w:rsidTr="0085600D">
        <w:trPr>
          <w:trHeight w:val="454"/>
          <w:jc w:val="center"/>
        </w:trPr>
        <w:tc>
          <w:tcPr>
            <w:tcW w:w="1668" w:type="dxa"/>
            <w:vMerge w:val="restart"/>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Lumbar Spine</w:t>
            </w:r>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(L1-L4)</w:t>
            </w:r>
          </w:p>
        </w:tc>
        <w:tc>
          <w:tcPr>
            <w:tcW w:w="992" w:type="dxa"/>
          </w:tcPr>
          <w:p w:rsidR="00F36325" w:rsidRPr="00C55B7E" w:rsidRDefault="0052381F" w:rsidP="00F36325">
            <w:pPr>
              <w:rPr>
                <w:rFonts w:asciiTheme="minorHAnsi" w:hAnsiTheme="minorHAnsi"/>
                <w:b/>
                <w:sz w:val="22"/>
                <w:szCs w:val="22"/>
              </w:rPr>
            </w:pPr>
            <w:r w:rsidRPr="0052381F">
              <w:rPr>
                <w:rFonts w:asciiTheme="minorHAnsi" w:hAnsiTheme="minorHAnsi"/>
                <w:b/>
                <w:sz w:val="22"/>
                <w:szCs w:val="22"/>
              </w:rPr>
              <w:t>Prodigy</w:t>
            </w: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1.221(0.162)</w:t>
            </w:r>
          </w:p>
        </w:tc>
        <w:tc>
          <w:tcPr>
            <w:tcW w:w="16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0.837 to 1.658</w:t>
            </w: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71.02(13.01)</w:t>
            </w:r>
          </w:p>
        </w:tc>
        <w:tc>
          <w:tcPr>
            <w:tcW w:w="12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58.14(7.0)</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0.2(1.4)</w:t>
            </w:r>
          </w:p>
        </w:tc>
        <w:tc>
          <w:tcPr>
            <w:tcW w:w="1276"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0.6(1.3)</w:t>
            </w:r>
          </w:p>
        </w:tc>
        <w:tc>
          <w:tcPr>
            <w:tcW w:w="1417"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24.1(10.2)</w:t>
            </w:r>
          </w:p>
        </w:tc>
        <w:tc>
          <w:tcPr>
            <w:tcW w:w="1735"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20.5(2.7)</w:t>
            </w:r>
          </w:p>
        </w:tc>
      </w:tr>
      <w:tr w:rsidR="0085600D" w:rsidRPr="00C55B7E" w:rsidTr="0085600D">
        <w:trPr>
          <w:trHeight w:val="316"/>
          <w:jc w:val="center"/>
        </w:trPr>
        <w:tc>
          <w:tcPr>
            <w:tcW w:w="1668" w:type="dxa"/>
            <w:vMerge/>
          </w:tcPr>
          <w:p w:rsidR="00F36325" w:rsidRPr="00C55B7E" w:rsidRDefault="00F36325" w:rsidP="00F36325">
            <w:pPr>
              <w:jc w:val="center"/>
              <w:rPr>
                <w:rFonts w:asciiTheme="minorHAnsi" w:hAnsiTheme="minorHAnsi"/>
                <w:b/>
                <w:sz w:val="22"/>
                <w:szCs w:val="22"/>
              </w:rPr>
            </w:pPr>
          </w:p>
        </w:tc>
        <w:tc>
          <w:tcPr>
            <w:tcW w:w="992" w:type="dxa"/>
          </w:tcPr>
          <w:p w:rsidR="00F36325" w:rsidRPr="00C55B7E" w:rsidRDefault="0052381F" w:rsidP="00F36325">
            <w:pPr>
              <w:rPr>
                <w:rFonts w:asciiTheme="minorHAnsi" w:hAnsiTheme="minorHAnsi"/>
                <w:b/>
                <w:sz w:val="22"/>
                <w:szCs w:val="22"/>
              </w:rPr>
            </w:pPr>
            <w:proofErr w:type="spellStart"/>
            <w:r w:rsidRPr="0052381F">
              <w:rPr>
                <w:rFonts w:asciiTheme="minorHAnsi" w:hAnsiTheme="minorHAnsi"/>
                <w:b/>
                <w:sz w:val="22"/>
                <w:szCs w:val="22"/>
              </w:rPr>
              <w:t>iDXA</w:t>
            </w:r>
            <w:proofErr w:type="spellEnd"/>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1.216(0.154)†</w:t>
            </w:r>
          </w:p>
        </w:tc>
        <w:tc>
          <w:tcPr>
            <w:tcW w:w="1634" w:type="dxa"/>
          </w:tcPr>
          <w:p w:rsidR="00F36325" w:rsidRPr="00C55B7E" w:rsidRDefault="00F36325" w:rsidP="00F36325">
            <w:pPr>
              <w:jc w:val="center"/>
              <w:rPr>
                <w:rFonts w:asciiTheme="minorHAnsi" w:hAnsiTheme="minorHAnsi"/>
                <w:sz w:val="22"/>
                <w:szCs w:val="22"/>
              </w:rPr>
            </w:pP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70.53(12.63)††</w:t>
            </w:r>
          </w:p>
        </w:tc>
        <w:tc>
          <w:tcPr>
            <w:tcW w:w="12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58.01(7.1)</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0.2(1.3)</w:t>
            </w:r>
          </w:p>
        </w:tc>
        <w:tc>
          <w:tcPr>
            <w:tcW w:w="1276"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0.5(1.3)</w:t>
            </w:r>
          </w:p>
        </w:tc>
        <w:tc>
          <w:tcPr>
            <w:tcW w:w="1417"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24.2(10.2)</w:t>
            </w:r>
          </w:p>
        </w:tc>
        <w:tc>
          <w:tcPr>
            <w:tcW w:w="1735"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20.7(2.5)**</w:t>
            </w:r>
          </w:p>
        </w:tc>
      </w:tr>
      <w:tr w:rsidR="0085600D" w:rsidRPr="00C55B7E" w:rsidTr="0085600D">
        <w:trPr>
          <w:trHeight w:val="364"/>
          <w:jc w:val="center"/>
        </w:trPr>
        <w:tc>
          <w:tcPr>
            <w:tcW w:w="1668" w:type="dxa"/>
            <w:vMerge w:val="restart"/>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Femoral Neck</w:t>
            </w:r>
          </w:p>
        </w:tc>
        <w:tc>
          <w:tcPr>
            <w:tcW w:w="992" w:type="dxa"/>
          </w:tcPr>
          <w:p w:rsidR="00F36325" w:rsidRPr="00C55B7E" w:rsidRDefault="0052381F" w:rsidP="00F36325">
            <w:pPr>
              <w:rPr>
                <w:rFonts w:asciiTheme="minorHAnsi" w:hAnsiTheme="minorHAnsi"/>
                <w:b/>
                <w:sz w:val="22"/>
                <w:szCs w:val="22"/>
              </w:rPr>
            </w:pPr>
            <w:r w:rsidRPr="0052381F">
              <w:rPr>
                <w:rFonts w:asciiTheme="minorHAnsi" w:hAnsiTheme="minorHAnsi"/>
                <w:b/>
                <w:sz w:val="22"/>
                <w:szCs w:val="22"/>
              </w:rPr>
              <w:t>Prodigy</w:t>
            </w: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1.027(0.158)</w:t>
            </w:r>
          </w:p>
        </w:tc>
        <w:tc>
          <w:tcPr>
            <w:tcW w:w="16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0.762 to 1.531</w:t>
            </w: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5.18(0.99)</w:t>
            </w:r>
          </w:p>
        </w:tc>
        <w:tc>
          <w:tcPr>
            <w:tcW w:w="12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5.04(0.49)</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0.1(1.2)</w:t>
            </w:r>
          </w:p>
        </w:tc>
        <w:tc>
          <w:tcPr>
            <w:tcW w:w="1276"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0.7(1.6)</w:t>
            </w:r>
          </w:p>
        </w:tc>
        <w:tc>
          <w:tcPr>
            <w:tcW w:w="1417"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23.1(6.6)</w:t>
            </w:r>
          </w:p>
        </w:tc>
        <w:tc>
          <w:tcPr>
            <w:tcW w:w="1735"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17.9(1.3)</w:t>
            </w:r>
          </w:p>
        </w:tc>
      </w:tr>
      <w:tr w:rsidR="0085600D" w:rsidRPr="00C55B7E" w:rsidTr="0085600D">
        <w:trPr>
          <w:trHeight w:val="345"/>
          <w:jc w:val="center"/>
        </w:trPr>
        <w:tc>
          <w:tcPr>
            <w:tcW w:w="1668" w:type="dxa"/>
            <w:vMerge/>
          </w:tcPr>
          <w:p w:rsidR="00F36325" w:rsidRPr="00C55B7E" w:rsidRDefault="00F36325" w:rsidP="00F36325">
            <w:pPr>
              <w:jc w:val="center"/>
              <w:rPr>
                <w:rFonts w:asciiTheme="minorHAnsi" w:hAnsiTheme="minorHAnsi"/>
                <w:b/>
                <w:sz w:val="22"/>
                <w:szCs w:val="22"/>
              </w:rPr>
            </w:pPr>
          </w:p>
        </w:tc>
        <w:tc>
          <w:tcPr>
            <w:tcW w:w="992" w:type="dxa"/>
          </w:tcPr>
          <w:p w:rsidR="00F36325" w:rsidRPr="00C55B7E" w:rsidRDefault="0052381F" w:rsidP="00F36325">
            <w:pPr>
              <w:rPr>
                <w:rFonts w:asciiTheme="minorHAnsi" w:hAnsiTheme="minorHAnsi"/>
                <w:b/>
                <w:sz w:val="22"/>
                <w:szCs w:val="22"/>
              </w:rPr>
            </w:pPr>
            <w:proofErr w:type="spellStart"/>
            <w:r w:rsidRPr="0052381F">
              <w:rPr>
                <w:rFonts w:asciiTheme="minorHAnsi" w:hAnsiTheme="minorHAnsi"/>
                <w:b/>
                <w:sz w:val="22"/>
                <w:szCs w:val="22"/>
              </w:rPr>
              <w:t>iDXA</w:t>
            </w:r>
            <w:proofErr w:type="spellEnd"/>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1.020(0.155)††</w:t>
            </w:r>
          </w:p>
        </w:tc>
        <w:tc>
          <w:tcPr>
            <w:tcW w:w="1634" w:type="dxa"/>
          </w:tcPr>
          <w:p w:rsidR="00F36325" w:rsidRPr="00C55B7E" w:rsidRDefault="00F36325" w:rsidP="00F36325">
            <w:pPr>
              <w:jc w:val="center"/>
              <w:rPr>
                <w:rFonts w:asciiTheme="minorHAnsi" w:hAnsiTheme="minorHAnsi"/>
                <w:sz w:val="22"/>
                <w:szCs w:val="22"/>
              </w:rPr>
            </w:pP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5.21(1.00)*</w:t>
            </w:r>
          </w:p>
        </w:tc>
        <w:tc>
          <w:tcPr>
            <w:tcW w:w="12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5.10(0.52)***</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0.0(1.2)</w:t>
            </w:r>
          </w:p>
        </w:tc>
        <w:tc>
          <w:tcPr>
            <w:tcW w:w="1276"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0.5(1.1)</w:t>
            </w:r>
          </w:p>
        </w:tc>
        <w:tc>
          <w:tcPr>
            <w:tcW w:w="1417"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23.4(6.9)*</w:t>
            </w:r>
          </w:p>
        </w:tc>
        <w:tc>
          <w:tcPr>
            <w:tcW w:w="1735"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17.7(1.3)††</w:t>
            </w:r>
          </w:p>
        </w:tc>
      </w:tr>
      <w:tr w:rsidR="0085600D" w:rsidRPr="00C55B7E" w:rsidTr="0085600D">
        <w:trPr>
          <w:trHeight w:val="355"/>
          <w:jc w:val="center"/>
        </w:trPr>
        <w:tc>
          <w:tcPr>
            <w:tcW w:w="1668" w:type="dxa"/>
            <w:vMerge w:val="restart"/>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Total Hip</w:t>
            </w:r>
          </w:p>
        </w:tc>
        <w:tc>
          <w:tcPr>
            <w:tcW w:w="992" w:type="dxa"/>
          </w:tcPr>
          <w:p w:rsidR="00F36325" w:rsidRPr="00C55B7E" w:rsidRDefault="0052381F" w:rsidP="00F36325">
            <w:pPr>
              <w:rPr>
                <w:rFonts w:asciiTheme="minorHAnsi" w:hAnsiTheme="minorHAnsi"/>
                <w:b/>
                <w:sz w:val="22"/>
                <w:szCs w:val="22"/>
              </w:rPr>
            </w:pPr>
            <w:r w:rsidRPr="0052381F">
              <w:rPr>
                <w:rFonts w:asciiTheme="minorHAnsi" w:hAnsiTheme="minorHAnsi"/>
                <w:b/>
                <w:sz w:val="22"/>
                <w:szCs w:val="22"/>
              </w:rPr>
              <w:t>Prodigy</w:t>
            </w: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1.057(0.157)</w:t>
            </w:r>
          </w:p>
        </w:tc>
        <w:tc>
          <w:tcPr>
            <w:tcW w:w="16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0.740 to 1.473</w:t>
            </w: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34.92(6.74)</w:t>
            </w:r>
          </w:p>
        </w:tc>
        <w:tc>
          <w:tcPr>
            <w:tcW w:w="12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32.99(3.51)</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0.2(1.2)</w:t>
            </w:r>
          </w:p>
        </w:tc>
        <w:tc>
          <w:tcPr>
            <w:tcW w:w="1276"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0.5(1.1)</w:t>
            </w:r>
          </w:p>
        </w:tc>
        <w:tc>
          <w:tcPr>
            <w:tcW w:w="1417" w:type="dxa"/>
          </w:tcPr>
          <w:p w:rsidR="00F36325" w:rsidRPr="00C55B7E" w:rsidRDefault="00F36325" w:rsidP="00F36325">
            <w:pPr>
              <w:jc w:val="center"/>
              <w:rPr>
                <w:rFonts w:asciiTheme="minorHAnsi" w:hAnsiTheme="minorHAnsi"/>
                <w:sz w:val="22"/>
                <w:szCs w:val="22"/>
              </w:rPr>
            </w:pPr>
          </w:p>
        </w:tc>
        <w:tc>
          <w:tcPr>
            <w:tcW w:w="1735" w:type="dxa"/>
          </w:tcPr>
          <w:p w:rsidR="00F36325" w:rsidRPr="00C55B7E" w:rsidRDefault="00F36325" w:rsidP="00F36325">
            <w:pPr>
              <w:jc w:val="center"/>
              <w:rPr>
                <w:rFonts w:asciiTheme="minorHAnsi" w:hAnsiTheme="minorHAnsi"/>
                <w:sz w:val="22"/>
                <w:szCs w:val="22"/>
              </w:rPr>
            </w:pPr>
          </w:p>
        </w:tc>
      </w:tr>
      <w:tr w:rsidR="0085600D" w:rsidRPr="00C55B7E" w:rsidTr="0085600D">
        <w:trPr>
          <w:jc w:val="center"/>
        </w:trPr>
        <w:tc>
          <w:tcPr>
            <w:tcW w:w="1668" w:type="dxa"/>
            <w:vMerge/>
          </w:tcPr>
          <w:p w:rsidR="00F36325" w:rsidRPr="00C55B7E" w:rsidRDefault="00F36325" w:rsidP="00F36325">
            <w:pPr>
              <w:rPr>
                <w:rFonts w:asciiTheme="minorHAnsi" w:hAnsiTheme="minorHAnsi"/>
                <w:b/>
                <w:sz w:val="22"/>
                <w:szCs w:val="22"/>
              </w:rPr>
            </w:pPr>
          </w:p>
        </w:tc>
        <w:tc>
          <w:tcPr>
            <w:tcW w:w="992" w:type="dxa"/>
          </w:tcPr>
          <w:p w:rsidR="00F36325" w:rsidRPr="00C55B7E" w:rsidRDefault="0052381F" w:rsidP="00F36325">
            <w:pPr>
              <w:rPr>
                <w:rFonts w:asciiTheme="minorHAnsi" w:hAnsiTheme="minorHAnsi"/>
                <w:b/>
                <w:sz w:val="22"/>
                <w:szCs w:val="22"/>
              </w:rPr>
            </w:pPr>
            <w:proofErr w:type="spellStart"/>
            <w:r w:rsidRPr="0052381F">
              <w:rPr>
                <w:rFonts w:asciiTheme="minorHAnsi" w:hAnsiTheme="minorHAnsi"/>
                <w:b/>
                <w:sz w:val="22"/>
                <w:szCs w:val="22"/>
              </w:rPr>
              <w:t>iDXA</w:t>
            </w:r>
            <w:proofErr w:type="spellEnd"/>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1.055(0.152)</w:t>
            </w:r>
          </w:p>
        </w:tc>
        <w:tc>
          <w:tcPr>
            <w:tcW w:w="1634" w:type="dxa"/>
          </w:tcPr>
          <w:p w:rsidR="00F36325" w:rsidRPr="00C55B7E" w:rsidRDefault="00F36325" w:rsidP="00F36325">
            <w:pPr>
              <w:jc w:val="center"/>
              <w:rPr>
                <w:rFonts w:asciiTheme="minorHAnsi" w:hAnsiTheme="minorHAnsi"/>
                <w:sz w:val="22"/>
                <w:szCs w:val="22"/>
              </w:rPr>
            </w:pPr>
          </w:p>
        </w:tc>
        <w:tc>
          <w:tcPr>
            <w:tcW w:w="17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35.66(6.66)***</w:t>
            </w:r>
          </w:p>
        </w:tc>
        <w:tc>
          <w:tcPr>
            <w:tcW w:w="1201"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33.72(3.50)***</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0.2(1.2)</w:t>
            </w:r>
          </w:p>
        </w:tc>
        <w:tc>
          <w:tcPr>
            <w:tcW w:w="1276"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0.5(1.1)</w:t>
            </w:r>
          </w:p>
        </w:tc>
        <w:tc>
          <w:tcPr>
            <w:tcW w:w="1417" w:type="dxa"/>
          </w:tcPr>
          <w:p w:rsidR="00F36325" w:rsidRPr="00C55B7E" w:rsidRDefault="00F36325" w:rsidP="00F36325">
            <w:pPr>
              <w:jc w:val="center"/>
              <w:rPr>
                <w:rFonts w:asciiTheme="minorHAnsi" w:hAnsiTheme="minorHAnsi"/>
                <w:sz w:val="22"/>
                <w:szCs w:val="22"/>
              </w:rPr>
            </w:pPr>
          </w:p>
        </w:tc>
        <w:tc>
          <w:tcPr>
            <w:tcW w:w="1735" w:type="dxa"/>
          </w:tcPr>
          <w:p w:rsidR="00F36325" w:rsidRPr="00C55B7E" w:rsidRDefault="00F36325" w:rsidP="00F36325">
            <w:pPr>
              <w:jc w:val="center"/>
              <w:rPr>
                <w:rFonts w:asciiTheme="minorHAnsi" w:hAnsiTheme="minorHAnsi"/>
                <w:sz w:val="22"/>
                <w:szCs w:val="22"/>
              </w:rPr>
            </w:pPr>
          </w:p>
        </w:tc>
      </w:tr>
    </w:tbl>
    <w:p w:rsidR="00F36325" w:rsidRPr="00C55B7E" w:rsidRDefault="00F36325" w:rsidP="00F36325">
      <w:pPr>
        <w:rPr>
          <w:rFonts w:asciiTheme="minorHAnsi" w:hAnsiTheme="minorHAnsi"/>
          <w:sz w:val="22"/>
          <w:szCs w:val="22"/>
        </w:rPr>
      </w:pPr>
    </w:p>
    <w:p w:rsidR="00F36325" w:rsidRPr="00C55B7E" w:rsidRDefault="0052381F" w:rsidP="00F36325">
      <w:pPr>
        <w:rPr>
          <w:rFonts w:asciiTheme="minorHAnsi" w:hAnsiTheme="minorHAnsi"/>
          <w:b/>
          <w:sz w:val="22"/>
          <w:szCs w:val="22"/>
        </w:rPr>
      </w:pPr>
      <w:r w:rsidRPr="0052381F">
        <w:rPr>
          <w:rFonts w:asciiTheme="minorHAnsi" w:hAnsiTheme="minorHAnsi"/>
          <w:b/>
          <w:sz w:val="22"/>
          <w:szCs w:val="22"/>
        </w:rPr>
        <w:t>*p&lt;0.05, **p&lt;0.005  ***p&lt;0.0001 significantly higher than Prodigy</w:t>
      </w:r>
    </w:p>
    <w:p w:rsidR="00000000" w:rsidRDefault="0052381F" w:rsidP="0085600D">
      <w:pPr>
        <w:rPr>
          <w:rFonts w:asciiTheme="minorHAnsi" w:hAnsiTheme="minorHAnsi"/>
          <w:b/>
          <w:sz w:val="22"/>
          <w:szCs w:val="22"/>
        </w:rPr>
        <w:sectPr w:rsidR="00000000" w:rsidSect="0021011A">
          <w:footerReference w:type="even" r:id="rId10"/>
          <w:footerReference w:type="default" r:id="rId11"/>
          <w:pgSz w:w="12240" w:h="15840"/>
          <w:pgMar w:top="1440" w:right="1797" w:bottom="1440" w:left="1797" w:header="709" w:footer="709" w:gutter="0"/>
          <w:cols w:space="708"/>
          <w:docGrid w:linePitch="360"/>
        </w:sectPr>
      </w:pPr>
      <w:r w:rsidRPr="0052381F">
        <w:rPr>
          <w:rFonts w:asciiTheme="minorHAnsi" w:hAnsiTheme="minorHAnsi"/>
          <w:b/>
          <w:sz w:val="22"/>
          <w:szCs w:val="22"/>
        </w:rPr>
        <w:t>†p&lt;0.05, ††p&lt;0.01       significantly</w:t>
      </w:r>
      <w:r w:rsidRPr="0052381F">
        <w:rPr>
          <w:rFonts w:asciiTheme="minorHAnsi" w:hAnsiTheme="minorHAnsi"/>
          <w:sz w:val="22"/>
          <w:szCs w:val="22"/>
        </w:rPr>
        <w:t xml:space="preserve"> </w:t>
      </w:r>
      <w:r w:rsidRPr="0052381F">
        <w:rPr>
          <w:rFonts w:asciiTheme="minorHAnsi" w:hAnsiTheme="minorHAnsi"/>
          <w:b/>
          <w:sz w:val="22"/>
          <w:szCs w:val="22"/>
        </w:rPr>
        <w:t>lower than Prodig</w:t>
      </w:r>
      <w:r w:rsidR="0085600D">
        <w:rPr>
          <w:rFonts w:asciiTheme="minorHAnsi" w:hAnsiTheme="minorHAnsi"/>
          <w:b/>
          <w:sz w:val="22"/>
          <w:szCs w:val="22"/>
        </w:rPr>
        <w:t>y</w:t>
      </w:r>
    </w:p>
    <w:p w:rsidR="00F36325" w:rsidRPr="00C55B7E" w:rsidRDefault="0052381F" w:rsidP="00F36325">
      <w:pPr>
        <w:spacing w:line="480" w:lineRule="auto"/>
        <w:rPr>
          <w:rFonts w:asciiTheme="minorHAnsi" w:hAnsiTheme="minorHAnsi"/>
          <w:sz w:val="22"/>
          <w:szCs w:val="22"/>
          <w:lang w:val="en-GB"/>
        </w:rPr>
      </w:pPr>
      <w:r w:rsidRPr="0052381F">
        <w:rPr>
          <w:rFonts w:asciiTheme="minorHAnsi" w:hAnsiTheme="minorHAnsi"/>
          <w:b/>
          <w:sz w:val="22"/>
          <w:szCs w:val="22"/>
          <w:lang w:val="en-GB"/>
        </w:rPr>
        <w:lastRenderedPageBreak/>
        <w:t xml:space="preserve">Table </w:t>
      </w:r>
      <w:r w:rsidR="0085600D">
        <w:rPr>
          <w:rFonts w:asciiTheme="minorHAnsi" w:hAnsiTheme="minorHAnsi"/>
          <w:b/>
          <w:sz w:val="22"/>
          <w:szCs w:val="22"/>
          <w:lang w:val="en-GB"/>
        </w:rPr>
        <w:t>3</w:t>
      </w:r>
      <w:r w:rsidRPr="0052381F">
        <w:rPr>
          <w:rFonts w:asciiTheme="minorHAnsi" w:hAnsiTheme="minorHAnsi"/>
          <w:b/>
          <w:sz w:val="22"/>
          <w:szCs w:val="22"/>
          <w:lang w:val="en-GB"/>
        </w:rPr>
        <w:t xml:space="preserve">: </w:t>
      </w:r>
      <w:r w:rsidRPr="0052381F">
        <w:rPr>
          <w:rFonts w:asciiTheme="minorHAnsi" w:hAnsiTheme="minorHAnsi"/>
          <w:sz w:val="22"/>
          <w:szCs w:val="22"/>
          <w:lang w:val="en-GB"/>
        </w:rPr>
        <w:t>Linear and Deeming regression analysis for BMD</w:t>
      </w:r>
      <w:r w:rsidRPr="0052381F">
        <w:rPr>
          <w:rFonts w:asciiTheme="minorHAnsi" w:hAnsiTheme="minorHAnsi"/>
          <w:b/>
          <w:sz w:val="22"/>
          <w:szCs w:val="22"/>
          <w:lang w:val="en-GB"/>
        </w:rPr>
        <w:t xml:space="preserve">                                           </w:t>
      </w:r>
    </w:p>
    <w:tbl>
      <w:tblPr>
        <w:tblStyle w:val="TableGrid"/>
        <w:tblW w:w="11628" w:type="dxa"/>
        <w:jc w:val="center"/>
        <w:tblLayout w:type="fixed"/>
        <w:tblLook w:val="01E0"/>
      </w:tblPr>
      <w:tblGrid>
        <w:gridCol w:w="1368"/>
        <w:gridCol w:w="2808"/>
        <w:gridCol w:w="1260"/>
        <w:gridCol w:w="1872"/>
        <w:gridCol w:w="900"/>
        <w:gridCol w:w="1620"/>
        <w:gridCol w:w="900"/>
        <w:gridCol w:w="900"/>
      </w:tblGrid>
      <w:tr w:rsidR="00F36325" w:rsidRPr="00C55B7E" w:rsidTr="0085600D">
        <w:trPr>
          <w:jc w:val="center"/>
        </w:trPr>
        <w:tc>
          <w:tcPr>
            <w:tcW w:w="1368"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Site</w:t>
            </w:r>
          </w:p>
        </w:tc>
        <w:tc>
          <w:tcPr>
            <w:tcW w:w="2808"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Regression Method</w:t>
            </w:r>
          </w:p>
        </w:tc>
        <w:tc>
          <w:tcPr>
            <w:tcW w:w="126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Intercept</w:t>
            </w:r>
          </w:p>
        </w:tc>
        <w:tc>
          <w:tcPr>
            <w:tcW w:w="1872"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95%CI</w:t>
            </w:r>
          </w:p>
        </w:tc>
        <w:tc>
          <w:tcPr>
            <w:tcW w:w="90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Slope</w:t>
            </w:r>
          </w:p>
        </w:tc>
        <w:tc>
          <w:tcPr>
            <w:tcW w:w="162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95%CI</w:t>
            </w:r>
          </w:p>
        </w:tc>
        <w:tc>
          <w:tcPr>
            <w:tcW w:w="90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r</w:t>
            </w:r>
            <w:r w:rsidRPr="0052381F">
              <w:rPr>
                <w:rFonts w:asciiTheme="minorHAnsi" w:hAnsiTheme="minorHAnsi"/>
                <w:b/>
                <w:sz w:val="22"/>
                <w:szCs w:val="22"/>
                <w:vertAlign w:val="superscript"/>
              </w:rPr>
              <w:t>2</w:t>
            </w:r>
          </w:p>
        </w:tc>
        <w:tc>
          <w:tcPr>
            <w:tcW w:w="90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SEE</w:t>
            </w:r>
          </w:p>
        </w:tc>
      </w:tr>
      <w:tr w:rsidR="00F36325" w:rsidRPr="00C55B7E" w:rsidTr="0085600D">
        <w:trPr>
          <w:jc w:val="center"/>
        </w:trPr>
        <w:tc>
          <w:tcPr>
            <w:tcW w:w="1368" w:type="dxa"/>
            <w:vMerge w:val="restart"/>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Spine (L1-L4)</w:t>
            </w:r>
          </w:p>
        </w:tc>
        <w:tc>
          <w:tcPr>
            <w:tcW w:w="280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 xml:space="preserve">Linear </w:t>
            </w:r>
          </w:p>
        </w:tc>
        <w:tc>
          <w:tcPr>
            <w:tcW w:w="126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0.065</w:t>
            </w:r>
          </w:p>
        </w:tc>
        <w:tc>
          <w:tcPr>
            <w:tcW w:w="1872"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0.031 to 0.100</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0.942</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0.913 to 0.970</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0.98</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0.021</w:t>
            </w:r>
          </w:p>
        </w:tc>
      </w:tr>
      <w:tr w:rsidR="00F36325" w:rsidRPr="00C55B7E" w:rsidTr="0085600D">
        <w:trPr>
          <w:jc w:val="center"/>
        </w:trPr>
        <w:tc>
          <w:tcPr>
            <w:tcW w:w="1368" w:type="dxa"/>
            <w:vMerge/>
          </w:tcPr>
          <w:p w:rsidR="00F36325" w:rsidRPr="00C55B7E" w:rsidRDefault="00F36325" w:rsidP="00F36325">
            <w:pPr>
              <w:jc w:val="center"/>
              <w:rPr>
                <w:rFonts w:asciiTheme="minorHAnsi" w:hAnsiTheme="minorHAnsi"/>
                <w:b/>
                <w:sz w:val="22"/>
                <w:szCs w:val="22"/>
              </w:rPr>
            </w:pPr>
          </w:p>
        </w:tc>
        <w:tc>
          <w:tcPr>
            <w:tcW w:w="280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Deeming</w:t>
            </w:r>
          </w:p>
        </w:tc>
        <w:tc>
          <w:tcPr>
            <w:tcW w:w="126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0.050</w:t>
            </w:r>
          </w:p>
        </w:tc>
        <w:tc>
          <w:tcPr>
            <w:tcW w:w="1872"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0.010 to 0.090</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0.960</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0.920 to 0.990</w:t>
            </w:r>
          </w:p>
        </w:tc>
        <w:tc>
          <w:tcPr>
            <w:tcW w:w="900" w:type="dxa"/>
          </w:tcPr>
          <w:p w:rsidR="00F36325" w:rsidRPr="00C55B7E" w:rsidRDefault="00F36325" w:rsidP="00F36325">
            <w:pPr>
              <w:jc w:val="center"/>
              <w:rPr>
                <w:rFonts w:asciiTheme="minorHAnsi" w:hAnsiTheme="minorHAnsi"/>
                <w:sz w:val="22"/>
                <w:szCs w:val="22"/>
              </w:rPr>
            </w:pP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0.016</w:t>
            </w:r>
          </w:p>
        </w:tc>
      </w:tr>
      <w:tr w:rsidR="00F36325" w:rsidRPr="00C55B7E" w:rsidTr="0085600D">
        <w:trPr>
          <w:jc w:val="center"/>
        </w:trPr>
        <w:tc>
          <w:tcPr>
            <w:tcW w:w="1368" w:type="dxa"/>
            <w:vMerge w:val="restart"/>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Femoral Neck</w:t>
            </w:r>
          </w:p>
        </w:tc>
        <w:tc>
          <w:tcPr>
            <w:tcW w:w="280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 xml:space="preserve">Linear </w:t>
            </w:r>
          </w:p>
        </w:tc>
        <w:tc>
          <w:tcPr>
            <w:tcW w:w="126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0.024</w:t>
            </w:r>
          </w:p>
        </w:tc>
        <w:tc>
          <w:tcPr>
            <w:tcW w:w="1872"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-0.008 to 0.056</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0.970</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0.939 to 1.000</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0.98</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0.022</w:t>
            </w:r>
          </w:p>
        </w:tc>
      </w:tr>
      <w:tr w:rsidR="00F36325" w:rsidRPr="00C55B7E" w:rsidTr="0085600D">
        <w:trPr>
          <w:jc w:val="center"/>
        </w:trPr>
        <w:tc>
          <w:tcPr>
            <w:tcW w:w="1368" w:type="dxa"/>
            <w:vMerge/>
          </w:tcPr>
          <w:p w:rsidR="00F36325" w:rsidRPr="00C55B7E" w:rsidRDefault="00F36325" w:rsidP="00F36325">
            <w:pPr>
              <w:jc w:val="center"/>
              <w:rPr>
                <w:rFonts w:asciiTheme="minorHAnsi" w:hAnsiTheme="minorHAnsi"/>
                <w:b/>
                <w:sz w:val="22"/>
                <w:szCs w:val="22"/>
              </w:rPr>
            </w:pPr>
          </w:p>
        </w:tc>
        <w:tc>
          <w:tcPr>
            <w:tcW w:w="2808" w:type="dxa"/>
          </w:tcPr>
          <w:p w:rsidR="00F36325" w:rsidRPr="00C55B7E" w:rsidRDefault="00F36325" w:rsidP="00F36325">
            <w:pPr>
              <w:jc w:val="center"/>
              <w:rPr>
                <w:rFonts w:asciiTheme="minorHAnsi" w:hAnsiTheme="minorHAnsi"/>
                <w:sz w:val="22"/>
                <w:szCs w:val="22"/>
              </w:rPr>
            </w:pPr>
          </w:p>
        </w:tc>
        <w:tc>
          <w:tcPr>
            <w:tcW w:w="1260" w:type="dxa"/>
          </w:tcPr>
          <w:p w:rsidR="00F36325" w:rsidRPr="00C55B7E" w:rsidRDefault="0052381F" w:rsidP="00F36325">
            <w:pPr>
              <w:jc w:val="center"/>
              <w:rPr>
                <w:rFonts w:asciiTheme="minorHAnsi" w:hAnsiTheme="minorHAnsi"/>
                <w:i/>
                <w:sz w:val="22"/>
                <w:szCs w:val="22"/>
              </w:rPr>
            </w:pPr>
            <w:r w:rsidRPr="0052381F">
              <w:rPr>
                <w:rFonts w:asciiTheme="minorHAnsi" w:hAnsiTheme="minorHAnsi"/>
                <w:i/>
                <w:sz w:val="22"/>
                <w:szCs w:val="22"/>
              </w:rPr>
              <w:t>0*</w:t>
            </w:r>
          </w:p>
        </w:tc>
        <w:tc>
          <w:tcPr>
            <w:tcW w:w="1872" w:type="dxa"/>
          </w:tcPr>
          <w:p w:rsidR="00F36325" w:rsidRPr="00C55B7E" w:rsidRDefault="00F36325" w:rsidP="00F36325">
            <w:pPr>
              <w:jc w:val="center"/>
              <w:rPr>
                <w:rFonts w:asciiTheme="minorHAnsi" w:hAnsiTheme="minorHAnsi"/>
                <w:i/>
                <w:sz w:val="22"/>
                <w:szCs w:val="22"/>
              </w:rPr>
            </w:pPr>
          </w:p>
        </w:tc>
        <w:tc>
          <w:tcPr>
            <w:tcW w:w="900" w:type="dxa"/>
          </w:tcPr>
          <w:p w:rsidR="00F36325" w:rsidRPr="00C55B7E" w:rsidRDefault="0052381F" w:rsidP="00F36325">
            <w:pPr>
              <w:jc w:val="center"/>
              <w:rPr>
                <w:rFonts w:asciiTheme="minorHAnsi" w:hAnsiTheme="minorHAnsi"/>
                <w:i/>
                <w:sz w:val="22"/>
                <w:szCs w:val="22"/>
              </w:rPr>
            </w:pPr>
            <w:r w:rsidRPr="0052381F">
              <w:rPr>
                <w:rFonts w:asciiTheme="minorHAnsi" w:hAnsiTheme="minorHAnsi"/>
                <w:i/>
                <w:sz w:val="22"/>
                <w:szCs w:val="22"/>
              </w:rPr>
              <w:t>0.993</w:t>
            </w:r>
          </w:p>
        </w:tc>
        <w:tc>
          <w:tcPr>
            <w:tcW w:w="1620" w:type="dxa"/>
          </w:tcPr>
          <w:p w:rsidR="00F36325" w:rsidRPr="00C55B7E" w:rsidRDefault="0052381F" w:rsidP="00F36325">
            <w:pPr>
              <w:jc w:val="center"/>
              <w:rPr>
                <w:rFonts w:asciiTheme="minorHAnsi" w:hAnsiTheme="minorHAnsi"/>
                <w:i/>
                <w:sz w:val="22"/>
                <w:szCs w:val="22"/>
              </w:rPr>
            </w:pPr>
            <w:r w:rsidRPr="0052381F">
              <w:rPr>
                <w:rFonts w:asciiTheme="minorHAnsi" w:hAnsiTheme="minorHAnsi"/>
                <w:i/>
                <w:sz w:val="22"/>
                <w:szCs w:val="22"/>
              </w:rPr>
              <w:t>0.988 to 0.998</w:t>
            </w:r>
          </w:p>
        </w:tc>
        <w:tc>
          <w:tcPr>
            <w:tcW w:w="900" w:type="dxa"/>
          </w:tcPr>
          <w:p w:rsidR="00F36325" w:rsidRPr="00C55B7E" w:rsidRDefault="0052381F" w:rsidP="00F36325">
            <w:pPr>
              <w:jc w:val="center"/>
              <w:rPr>
                <w:rFonts w:asciiTheme="minorHAnsi" w:hAnsiTheme="minorHAnsi"/>
                <w:i/>
                <w:sz w:val="22"/>
                <w:szCs w:val="22"/>
              </w:rPr>
            </w:pPr>
            <w:r w:rsidRPr="0052381F">
              <w:rPr>
                <w:rFonts w:asciiTheme="minorHAnsi" w:hAnsiTheme="minorHAnsi"/>
                <w:i/>
                <w:sz w:val="22"/>
                <w:szCs w:val="22"/>
              </w:rPr>
              <w:t>0.99</w:t>
            </w:r>
          </w:p>
        </w:tc>
        <w:tc>
          <w:tcPr>
            <w:tcW w:w="900" w:type="dxa"/>
          </w:tcPr>
          <w:p w:rsidR="00F36325" w:rsidRPr="00C55B7E" w:rsidRDefault="0052381F" w:rsidP="00F36325">
            <w:pPr>
              <w:jc w:val="center"/>
              <w:rPr>
                <w:rFonts w:asciiTheme="minorHAnsi" w:hAnsiTheme="minorHAnsi"/>
                <w:i/>
                <w:sz w:val="22"/>
                <w:szCs w:val="22"/>
              </w:rPr>
            </w:pPr>
            <w:r w:rsidRPr="0052381F">
              <w:rPr>
                <w:rFonts w:asciiTheme="minorHAnsi" w:hAnsiTheme="minorHAnsi"/>
                <w:i/>
                <w:sz w:val="22"/>
                <w:szCs w:val="22"/>
              </w:rPr>
              <w:t>0.022</w:t>
            </w:r>
          </w:p>
        </w:tc>
      </w:tr>
      <w:tr w:rsidR="00F36325" w:rsidRPr="00C55B7E" w:rsidTr="0085600D">
        <w:trPr>
          <w:jc w:val="center"/>
        </w:trPr>
        <w:tc>
          <w:tcPr>
            <w:tcW w:w="1368" w:type="dxa"/>
            <w:vMerge/>
          </w:tcPr>
          <w:p w:rsidR="00F36325" w:rsidRPr="00C55B7E" w:rsidRDefault="00F36325" w:rsidP="00F36325">
            <w:pPr>
              <w:jc w:val="center"/>
              <w:rPr>
                <w:rFonts w:asciiTheme="minorHAnsi" w:hAnsiTheme="minorHAnsi"/>
                <w:b/>
                <w:sz w:val="22"/>
                <w:szCs w:val="22"/>
              </w:rPr>
            </w:pPr>
          </w:p>
        </w:tc>
        <w:tc>
          <w:tcPr>
            <w:tcW w:w="280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Deeming</w:t>
            </w:r>
          </w:p>
        </w:tc>
        <w:tc>
          <w:tcPr>
            <w:tcW w:w="126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0.010</w:t>
            </w:r>
          </w:p>
        </w:tc>
        <w:tc>
          <w:tcPr>
            <w:tcW w:w="1872"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-0.030 to 0.050</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0.980</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0.940 to 1.020</w:t>
            </w:r>
          </w:p>
        </w:tc>
        <w:tc>
          <w:tcPr>
            <w:tcW w:w="900" w:type="dxa"/>
          </w:tcPr>
          <w:p w:rsidR="00F36325" w:rsidRPr="00C55B7E" w:rsidRDefault="00F36325" w:rsidP="00F36325">
            <w:pPr>
              <w:jc w:val="center"/>
              <w:rPr>
                <w:rFonts w:asciiTheme="minorHAnsi" w:hAnsiTheme="minorHAnsi"/>
                <w:sz w:val="22"/>
                <w:szCs w:val="22"/>
              </w:rPr>
            </w:pP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0.019</w:t>
            </w:r>
          </w:p>
        </w:tc>
      </w:tr>
      <w:tr w:rsidR="00F36325" w:rsidRPr="00C55B7E" w:rsidTr="0085600D">
        <w:trPr>
          <w:trHeight w:val="242"/>
          <w:jc w:val="center"/>
        </w:trPr>
        <w:tc>
          <w:tcPr>
            <w:tcW w:w="1368" w:type="dxa"/>
            <w:vMerge w:val="restart"/>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Total Hip</w:t>
            </w:r>
          </w:p>
        </w:tc>
        <w:tc>
          <w:tcPr>
            <w:tcW w:w="280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 xml:space="preserve">Linear </w:t>
            </w:r>
          </w:p>
        </w:tc>
        <w:tc>
          <w:tcPr>
            <w:tcW w:w="126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0.039</w:t>
            </w:r>
          </w:p>
        </w:tc>
        <w:tc>
          <w:tcPr>
            <w:tcW w:w="1872"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0.010 to 0.069</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0.961</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0.933 to 0.989</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0.98</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0.020</w:t>
            </w:r>
          </w:p>
        </w:tc>
      </w:tr>
      <w:tr w:rsidR="00F36325" w:rsidRPr="00C55B7E" w:rsidTr="0085600D">
        <w:trPr>
          <w:jc w:val="center"/>
        </w:trPr>
        <w:tc>
          <w:tcPr>
            <w:tcW w:w="1368" w:type="dxa"/>
            <w:vMerge/>
          </w:tcPr>
          <w:p w:rsidR="00F36325" w:rsidRPr="00C55B7E" w:rsidRDefault="00F36325" w:rsidP="00F36325">
            <w:pPr>
              <w:jc w:val="center"/>
              <w:rPr>
                <w:rFonts w:asciiTheme="minorHAnsi" w:hAnsiTheme="minorHAnsi"/>
                <w:sz w:val="22"/>
                <w:szCs w:val="22"/>
              </w:rPr>
            </w:pPr>
          </w:p>
        </w:tc>
        <w:tc>
          <w:tcPr>
            <w:tcW w:w="280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Deeming</w:t>
            </w:r>
          </w:p>
        </w:tc>
        <w:tc>
          <w:tcPr>
            <w:tcW w:w="126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0.030</w:t>
            </w:r>
          </w:p>
        </w:tc>
        <w:tc>
          <w:tcPr>
            <w:tcW w:w="1872"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0.000 to 0.060</w:t>
            </w: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0.970</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0.940 to 1.000</w:t>
            </w:r>
          </w:p>
        </w:tc>
        <w:tc>
          <w:tcPr>
            <w:tcW w:w="900" w:type="dxa"/>
          </w:tcPr>
          <w:p w:rsidR="00F36325" w:rsidRPr="00C55B7E" w:rsidRDefault="00F36325" w:rsidP="00F36325">
            <w:pPr>
              <w:jc w:val="center"/>
              <w:rPr>
                <w:rFonts w:asciiTheme="minorHAnsi" w:hAnsiTheme="minorHAnsi"/>
                <w:sz w:val="22"/>
                <w:szCs w:val="22"/>
              </w:rPr>
            </w:pPr>
          </w:p>
        </w:tc>
        <w:tc>
          <w:tcPr>
            <w:tcW w:w="90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0.015</w:t>
            </w:r>
          </w:p>
        </w:tc>
      </w:tr>
    </w:tbl>
    <w:p w:rsidR="00F36325" w:rsidRPr="00C55B7E" w:rsidRDefault="0052381F" w:rsidP="00F36325">
      <w:pPr>
        <w:spacing w:line="480" w:lineRule="auto"/>
        <w:rPr>
          <w:rFonts w:asciiTheme="minorHAnsi" w:hAnsiTheme="minorHAnsi"/>
          <w:b/>
          <w:sz w:val="22"/>
          <w:szCs w:val="22"/>
          <w:lang w:val="en-GB"/>
        </w:rPr>
      </w:pPr>
      <w:r w:rsidRPr="0052381F">
        <w:rPr>
          <w:rFonts w:asciiTheme="minorHAnsi" w:hAnsiTheme="minorHAnsi"/>
          <w:sz w:val="22"/>
          <w:szCs w:val="22"/>
          <w:lang w:val="en-GB"/>
        </w:rPr>
        <w:t>* Intercept forced through zero</w:t>
      </w:r>
    </w:p>
    <w:p w:rsidR="00F36325" w:rsidRPr="00C55B7E" w:rsidRDefault="00F36325" w:rsidP="00F36325">
      <w:pPr>
        <w:spacing w:line="480" w:lineRule="auto"/>
        <w:rPr>
          <w:rFonts w:asciiTheme="minorHAnsi" w:hAnsiTheme="minorHAnsi"/>
          <w:b/>
          <w:sz w:val="22"/>
          <w:szCs w:val="22"/>
          <w:lang w:val="en-GB"/>
        </w:rPr>
      </w:pPr>
    </w:p>
    <w:p w:rsidR="00F36325" w:rsidRPr="00C55B7E" w:rsidRDefault="0052381F" w:rsidP="00F36325">
      <w:pPr>
        <w:spacing w:line="480" w:lineRule="auto"/>
        <w:rPr>
          <w:rFonts w:asciiTheme="minorHAnsi" w:hAnsiTheme="minorHAnsi"/>
          <w:b/>
          <w:sz w:val="22"/>
          <w:szCs w:val="22"/>
          <w:lang w:val="en-GB"/>
        </w:rPr>
      </w:pPr>
      <w:r w:rsidRPr="0052381F">
        <w:rPr>
          <w:rFonts w:asciiTheme="minorHAnsi" w:hAnsiTheme="minorHAnsi"/>
          <w:b/>
          <w:sz w:val="22"/>
          <w:szCs w:val="22"/>
          <w:lang w:val="en-GB"/>
        </w:rPr>
        <w:t xml:space="preserve">Table </w:t>
      </w:r>
      <w:r w:rsidR="0085600D">
        <w:rPr>
          <w:rFonts w:asciiTheme="minorHAnsi" w:hAnsiTheme="minorHAnsi"/>
          <w:b/>
          <w:sz w:val="22"/>
          <w:szCs w:val="22"/>
          <w:lang w:val="en-GB"/>
        </w:rPr>
        <w:t>4</w:t>
      </w:r>
      <w:r w:rsidRPr="0052381F">
        <w:rPr>
          <w:rFonts w:asciiTheme="minorHAnsi" w:hAnsiTheme="minorHAnsi"/>
          <w:b/>
          <w:sz w:val="22"/>
          <w:szCs w:val="22"/>
          <w:lang w:val="en-GB"/>
        </w:rPr>
        <w:t xml:space="preserve">:  </w:t>
      </w:r>
      <w:r w:rsidRPr="0052381F">
        <w:rPr>
          <w:rFonts w:asciiTheme="minorHAnsi" w:hAnsiTheme="minorHAnsi"/>
          <w:sz w:val="22"/>
          <w:szCs w:val="22"/>
          <w:lang w:val="en-GB"/>
        </w:rPr>
        <w:t>BMD cross-calibration multivariate analysis</w:t>
      </w:r>
      <w:r w:rsidRPr="0052381F">
        <w:rPr>
          <w:rFonts w:asciiTheme="minorHAnsi" w:hAnsiTheme="minorHAnsi"/>
          <w:b/>
          <w:sz w:val="22"/>
          <w:szCs w:val="22"/>
          <w:lang w:val="en-GB"/>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
        <w:gridCol w:w="1260"/>
        <w:gridCol w:w="1980"/>
        <w:gridCol w:w="2588"/>
        <w:gridCol w:w="1134"/>
        <w:gridCol w:w="992"/>
      </w:tblGrid>
      <w:tr w:rsidR="00F36325" w:rsidRPr="00C55B7E" w:rsidTr="0085600D">
        <w:tc>
          <w:tcPr>
            <w:tcW w:w="1544" w:type="dxa"/>
          </w:tcPr>
          <w:p w:rsidR="00F36325" w:rsidRPr="00C55B7E" w:rsidRDefault="0052381F" w:rsidP="00F36325">
            <w:pPr>
              <w:jc w:val="center"/>
              <w:rPr>
                <w:rFonts w:asciiTheme="minorHAnsi" w:hAnsiTheme="minorHAnsi"/>
                <w:b/>
                <w:sz w:val="22"/>
                <w:szCs w:val="22"/>
              </w:rPr>
            </w:pPr>
            <w:proofErr w:type="spellStart"/>
            <w:r w:rsidRPr="0052381F">
              <w:rPr>
                <w:rFonts w:asciiTheme="minorHAnsi" w:hAnsiTheme="minorHAnsi"/>
                <w:b/>
                <w:sz w:val="22"/>
                <w:szCs w:val="22"/>
              </w:rPr>
              <w:t>iDXA</w:t>
            </w:r>
            <w:proofErr w:type="spellEnd"/>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BMD Region</w:t>
            </w:r>
          </w:p>
        </w:tc>
        <w:tc>
          <w:tcPr>
            <w:tcW w:w="126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Intercept</w:t>
            </w:r>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(95% CI)</w:t>
            </w:r>
          </w:p>
        </w:tc>
        <w:tc>
          <w:tcPr>
            <w:tcW w:w="198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Variable</w:t>
            </w:r>
          </w:p>
        </w:tc>
        <w:tc>
          <w:tcPr>
            <w:tcW w:w="2588" w:type="dxa"/>
          </w:tcPr>
          <w:p w:rsidR="00F36325" w:rsidRPr="00C55B7E" w:rsidRDefault="0052381F" w:rsidP="00F36325">
            <w:pPr>
              <w:jc w:val="center"/>
              <w:rPr>
                <w:rFonts w:asciiTheme="minorHAnsi" w:hAnsiTheme="minorHAnsi"/>
                <w:b/>
                <w:sz w:val="22"/>
                <w:szCs w:val="22"/>
              </w:rPr>
            </w:pPr>
            <w:proofErr w:type="spellStart"/>
            <w:r w:rsidRPr="0052381F">
              <w:rPr>
                <w:rFonts w:asciiTheme="minorHAnsi" w:hAnsiTheme="minorHAnsi"/>
                <w:b/>
                <w:sz w:val="22"/>
                <w:szCs w:val="22"/>
              </w:rPr>
              <w:t>Coeff</w:t>
            </w:r>
            <w:proofErr w:type="spellEnd"/>
            <w:r w:rsidRPr="0052381F">
              <w:rPr>
                <w:rFonts w:asciiTheme="minorHAnsi" w:hAnsiTheme="minorHAnsi"/>
                <w:b/>
                <w:sz w:val="22"/>
                <w:szCs w:val="22"/>
              </w:rPr>
              <w:t>(95%CI)</w:t>
            </w:r>
          </w:p>
        </w:tc>
        <w:tc>
          <w:tcPr>
            <w:tcW w:w="1134"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 xml:space="preserve"> p</w:t>
            </w:r>
          </w:p>
        </w:tc>
        <w:tc>
          <w:tcPr>
            <w:tcW w:w="992"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SEE</w:t>
            </w:r>
          </w:p>
        </w:tc>
      </w:tr>
      <w:tr w:rsidR="00F36325" w:rsidRPr="00C55B7E" w:rsidTr="0085600D">
        <w:tc>
          <w:tcPr>
            <w:tcW w:w="1544" w:type="dxa"/>
          </w:tcPr>
          <w:p w:rsidR="00F36325" w:rsidRPr="00C55B7E" w:rsidRDefault="0052381F" w:rsidP="00F36325">
            <w:pPr>
              <w:rPr>
                <w:rFonts w:asciiTheme="minorHAnsi" w:hAnsiTheme="minorHAnsi"/>
                <w:b/>
                <w:sz w:val="22"/>
                <w:szCs w:val="22"/>
              </w:rPr>
            </w:pPr>
            <w:r w:rsidRPr="0052381F">
              <w:rPr>
                <w:rFonts w:asciiTheme="minorHAnsi" w:hAnsiTheme="minorHAnsi"/>
                <w:b/>
                <w:sz w:val="22"/>
                <w:szCs w:val="22"/>
              </w:rPr>
              <w:t>Right Femoral  Neck</w:t>
            </w:r>
          </w:p>
        </w:tc>
        <w:tc>
          <w:tcPr>
            <w:tcW w:w="126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-0.059</w:t>
            </w:r>
          </w:p>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(-0.124 to 0.007)</w:t>
            </w:r>
          </w:p>
        </w:tc>
        <w:tc>
          <w:tcPr>
            <w:tcW w:w="198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Prodigy BMD</w:t>
            </w:r>
          </w:p>
        </w:tc>
        <w:tc>
          <w:tcPr>
            <w:tcW w:w="258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0.962</w:t>
            </w:r>
          </w:p>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(0.932 to 0.992)</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&lt;0.0001</w:t>
            </w:r>
          </w:p>
        </w:tc>
        <w:tc>
          <w:tcPr>
            <w:tcW w:w="992"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0.0215</w:t>
            </w:r>
          </w:p>
        </w:tc>
      </w:tr>
      <w:tr w:rsidR="00F36325" w:rsidRPr="00C55B7E" w:rsidTr="0085600D">
        <w:tc>
          <w:tcPr>
            <w:tcW w:w="1544" w:type="dxa"/>
          </w:tcPr>
          <w:p w:rsidR="00F36325" w:rsidRPr="00C55B7E" w:rsidRDefault="00F36325" w:rsidP="00F36325">
            <w:pPr>
              <w:tabs>
                <w:tab w:val="left" w:pos="435"/>
                <w:tab w:val="center" w:pos="1296"/>
              </w:tabs>
              <w:rPr>
                <w:rFonts w:asciiTheme="minorHAnsi" w:hAnsiTheme="minorHAnsi"/>
                <w:b/>
                <w:sz w:val="22"/>
                <w:szCs w:val="22"/>
              </w:rPr>
            </w:pPr>
          </w:p>
        </w:tc>
        <w:tc>
          <w:tcPr>
            <w:tcW w:w="1260" w:type="dxa"/>
          </w:tcPr>
          <w:p w:rsidR="00F36325" w:rsidRPr="00C55B7E" w:rsidRDefault="00F36325" w:rsidP="00F36325">
            <w:pPr>
              <w:jc w:val="center"/>
              <w:rPr>
                <w:rFonts w:asciiTheme="minorHAnsi" w:hAnsiTheme="minorHAnsi"/>
                <w:sz w:val="22"/>
                <w:szCs w:val="22"/>
              </w:rPr>
            </w:pPr>
          </w:p>
        </w:tc>
        <w:tc>
          <w:tcPr>
            <w:tcW w:w="198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Femur thickness</w:t>
            </w:r>
          </w:p>
        </w:tc>
        <w:tc>
          <w:tcPr>
            <w:tcW w:w="258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0.0051</w:t>
            </w:r>
          </w:p>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(0.0015 to 0.009)</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0.005</w:t>
            </w:r>
          </w:p>
        </w:tc>
        <w:tc>
          <w:tcPr>
            <w:tcW w:w="992" w:type="dxa"/>
          </w:tcPr>
          <w:p w:rsidR="00F36325" w:rsidRPr="00C55B7E" w:rsidRDefault="00F36325" w:rsidP="00F36325">
            <w:pPr>
              <w:jc w:val="center"/>
              <w:rPr>
                <w:rFonts w:asciiTheme="minorHAnsi" w:hAnsiTheme="minorHAnsi"/>
                <w:sz w:val="22"/>
                <w:szCs w:val="22"/>
              </w:rPr>
            </w:pPr>
          </w:p>
        </w:tc>
      </w:tr>
      <w:tr w:rsidR="00F36325" w:rsidRPr="00C55B7E" w:rsidTr="0085600D">
        <w:tc>
          <w:tcPr>
            <w:tcW w:w="1544" w:type="dxa"/>
          </w:tcPr>
          <w:p w:rsidR="00000000" w:rsidRDefault="0052381F">
            <w:pPr>
              <w:tabs>
                <w:tab w:val="left" w:pos="435"/>
                <w:tab w:val="center" w:pos="1296"/>
              </w:tabs>
              <w:rPr>
                <w:rFonts w:asciiTheme="minorHAnsi" w:hAnsiTheme="minorHAnsi"/>
                <w:b/>
                <w:sz w:val="22"/>
                <w:szCs w:val="22"/>
              </w:rPr>
            </w:pPr>
            <w:r w:rsidRPr="0052381F">
              <w:rPr>
                <w:rFonts w:asciiTheme="minorHAnsi" w:hAnsiTheme="minorHAnsi"/>
                <w:b/>
                <w:sz w:val="22"/>
                <w:szCs w:val="22"/>
              </w:rPr>
              <w:t>Right</w:t>
            </w:r>
            <w:r w:rsidR="0085600D">
              <w:rPr>
                <w:rFonts w:asciiTheme="minorHAnsi" w:hAnsiTheme="minorHAnsi"/>
                <w:b/>
                <w:sz w:val="22"/>
                <w:szCs w:val="22"/>
              </w:rPr>
              <w:t xml:space="preserve"> </w:t>
            </w:r>
            <w:r w:rsidRPr="0052381F">
              <w:rPr>
                <w:rFonts w:asciiTheme="minorHAnsi" w:hAnsiTheme="minorHAnsi"/>
                <w:b/>
                <w:sz w:val="22"/>
                <w:szCs w:val="22"/>
              </w:rPr>
              <w:t>Total Hip</w:t>
            </w:r>
          </w:p>
        </w:tc>
        <w:tc>
          <w:tcPr>
            <w:tcW w:w="126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-0.003</w:t>
            </w:r>
          </w:p>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(-0.032 to 0.026)</w:t>
            </w:r>
          </w:p>
        </w:tc>
        <w:tc>
          <w:tcPr>
            <w:tcW w:w="198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Prodigy BMD</w:t>
            </w:r>
          </w:p>
        </w:tc>
        <w:tc>
          <w:tcPr>
            <w:tcW w:w="258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0.980</w:t>
            </w:r>
          </w:p>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(0.958 to 1.002)</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&lt;0.0001</w:t>
            </w:r>
          </w:p>
        </w:tc>
        <w:tc>
          <w:tcPr>
            <w:tcW w:w="992"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0.0152</w:t>
            </w:r>
          </w:p>
        </w:tc>
      </w:tr>
      <w:tr w:rsidR="00F36325" w:rsidRPr="00C55B7E" w:rsidTr="0085600D">
        <w:tc>
          <w:tcPr>
            <w:tcW w:w="1544" w:type="dxa"/>
          </w:tcPr>
          <w:p w:rsidR="00F36325" w:rsidRPr="00C55B7E" w:rsidRDefault="00F36325" w:rsidP="00F36325">
            <w:pPr>
              <w:jc w:val="center"/>
              <w:rPr>
                <w:rFonts w:asciiTheme="minorHAnsi" w:hAnsiTheme="minorHAnsi"/>
                <w:b/>
                <w:sz w:val="22"/>
                <w:szCs w:val="22"/>
              </w:rPr>
            </w:pPr>
          </w:p>
        </w:tc>
        <w:tc>
          <w:tcPr>
            <w:tcW w:w="1260" w:type="dxa"/>
          </w:tcPr>
          <w:p w:rsidR="00F36325" w:rsidRPr="00C55B7E" w:rsidRDefault="00F36325" w:rsidP="00F36325">
            <w:pPr>
              <w:jc w:val="center"/>
              <w:rPr>
                <w:rFonts w:asciiTheme="minorHAnsi" w:hAnsiTheme="minorHAnsi"/>
                <w:sz w:val="22"/>
                <w:szCs w:val="22"/>
              </w:rPr>
            </w:pPr>
          </w:p>
        </w:tc>
        <w:tc>
          <w:tcPr>
            <w:tcW w:w="198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 xml:space="preserve">% femur fat </w:t>
            </w:r>
          </w:p>
        </w:tc>
        <w:tc>
          <w:tcPr>
            <w:tcW w:w="2588"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0.001</w:t>
            </w:r>
          </w:p>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(0.0005 to 0.0015)</w:t>
            </w:r>
          </w:p>
        </w:tc>
        <w:tc>
          <w:tcPr>
            <w:tcW w:w="1134"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&lt;0.0001</w:t>
            </w:r>
          </w:p>
        </w:tc>
        <w:tc>
          <w:tcPr>
            <w:tcW w:w="992" w:type="dxa"/>
          </w:tcPr>
          <w:p w:rsidR="00F36325" w:rsidRPr="00C55B7E" w:rsidRDefault="00F36325" w:rsidP="00F36325">
            <w:pPr>
              <w:rPr>
                <w:rFonts w:asciiTheme="minorHAnsi" w:hAnsiTheme="minorHAnsi"/>
                <w:sz w:val="22"/>
                <w:szCs w:val="22"/>
              </w:rPr>
            </w:pPr>
          </w:p>
        </w:tc>
      </w:tr>
    </w:tbl>
    <w:p w:rsidR="005525E9" w:rsidRPr="00C55B7E" w:rsidRDefault="0052381F" w:rsidP="00F36325">
      <w:pPr>
        <w:spacing w:line="480" w:lineRule="auto"/>
        <w:rPr>
          <w:rFonts w:asciiTheme="minorHAnsi" w:hAnsiTheme="minorHAnsi"/>
          <w:sz w:val="22"/>
          <w:szCs w:val="22"/>
          <w:lang w:val="en-GB"/>
        </w:rPr>
      </w:pPr>
      <w:r w:rsidRPr="0052381F">
        <w:rPr>
          <w:rFonts w:asciiTheme="minorHAnsi" w:hAnsiTheme="minorHAnsi"/>
          <w:bCs/>
          <w:sz w:val="22"/>
          <w:szCs w:val="22"/>
          <w:lang w:val="en-GB"/>
        </w:rPr>
        <w:t>None of the parameters had any effect on the lumbar spine (L1-L4) cross calibration</w:t>
      </w:r>
    </w:p>
    <w:p w:rsidR="00E87AF4" w:rsidRPr="00C55B7E" w:rsidRDefault="00E87AF4" w:rsidP="00E87AF4">
      <w:pPr>
        <w:rPr>
          <w:rFonts w:asciiTheme="minorHAnsi" w:hAnsiTheme="minorHAnsi"/>
          <w:sz w:val="22"/>
          <w:szCs w:val="22"/>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F36325" w:rsidP="00F36325">
      <w:pPr>
        <w:rPr>
          <w:rFonts w:asciiTheme="minorHAnsi" w:hAnsiTheme="minorHAnsi"/>
          <w:b/>
          <w:sz w:val="22"/>
          <w:szCs w:val="22"/>
          <w:lang w:val="en-GB"/>
        </w:rPr>
      </w:pPr>
    </w:p>
    <w:p w:rsidR="00F36325" w:rsidRPr="00C55B7E" w:rsidRDefault="0052381F" w:rsidP="00F36325">
      <w:pPr>
        <w:rPr>
          <w:rFonts w:asciiTheme="minorHAnsi" w:hAnsiTheme="minorHAnsi"/>
          <w:b/>
          <w:sz w:val="22"/>
          <w:szCs w:val="22"/>
          <w:lang w:val="en-GB"/>
        </w:rPr>
      </w:pPr>
      <w:r w:rsidRPr="0052381F">
        <w:rPr>
          <w:rFonts w:asciiTheme="minorHAnsi" w:hAnsiTheme="minorHAnsi"/>
          <w:b/>
          <w:sz w:val="22"/>
          <w:szCs w:val="22"/>
          <w:lang w:val="en-GB"/>
        </w:rPr>
        <w:t xml:space="preserve">Table </w:t>
      </w:r>
      <w:r w:rsidR="0085600D">
        <w:rPr>
          <w:rFonts w:asciiTheme="minorHAnsi" w:hAnsiTheme="minorHAnsi"/>
          <w:b/>
          <w:sz w:val="22"/>
          <w:szCs w:val="22"/>
          <w:lang w:val="en-GB"/>
        </w:rPr>
        <w:t>5</w:t>
      </w:r>
      <w:r w:rsidRPr="0052381F">
        <w:rPr>
          <w:rFonts w:asciiTheme="minorHAnsi" w:hAnsiTheme="minorHAnsi"/>
          <w:b/>
          <w:sz w:val="22"/>
          <w:szCs w:val="22"/>
          <w:lang w:val="en-GB"/>
        </w:rPr>
        <w:t xml:space="preserve">:  </w:t>
      </w:r>
      <w:r w:rsidRPr="0052381F">
        <w:rPr>
          <w:rFonts w:asciiTheme="minorHAnsi" w:hAnsiTheme="minorHAnsi"/>
          <w:sz w:val="22"/>
          <w:szCs w:val="22"/>
          <w:lang w:val="en-GB"/>
        </w:rPr>
        <w:t>Bland</w:t>
      </w:r>
      <w:r w:rsidRPr="0052381F">
        <w:rPr>
          <w:rFonts w:asciiTheme="minorHAnsi" w:hAnsiTheme="minorHAnsi"/>
          <w:b/>
          <w:sz w:val="22"/>
          <w:szCs w:val="22"/>
          <w:lang w:val="en-GB"/>
        </w:rPr>
        <w:t xml:space="preserve"> </w:t>
      </w:r>
      <w:r w:rsidRPr="0052381F">
        <w:rPr>
          <w:rFonts w:asciiTheme="minorHAnsi" w:hAnsiTheme="minorHAnsi"/>
          <w:sz w:val="22"/>
          <w:szCs w:val="22"/>
          <w:lang w:val="en-GB"/>
        </w:rPr>
        <w:t>Altman agreements for BMD, BMC and Area at the three measurement sites</w:t>
      </w:r>
    </w:p>
    <w:p w:rsidR="00F36325" w:rsidRPr="00C55B7E" w:rsidRDefault="00F36325" w:rsidP="00F36325">
      <w:pPr>
        <w:rPr>
          <w:rFonts w:asciiTheme="minorHAnsi" w:hAnsiTheme="minorHAnsi"/>
          <w:b/>
          <w:sz w:val="22"/>
          <w:szCs w:val="22"/>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1620"/>
        <w:gridCol w:w="1440"/>
        <w:gridCol w:w="1620"/>
        <w:gridCol w:w="1620"/>
      </w:tblGrid>
      <w:tr w:rsidR="00EC2D6C" w:rsidRPr="00C55B7E" w:rsidTr="00EC2D6C">
        <w:tc>
          <w:tcPr>
            <w:tcW w:w="180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Site</w:t>
            </w:r>
          </w:p>
        </w:tc>
        <w:tc>
          <w:tcPr>
            <w:tcW w:w="1440" w:type="dxa"/>
          </w:tcPr>
          <w:p w:rsidR="00F36325" w:rsidRPr="00C55B7E" w:rsidRDefault="00F36325" w:rsidP="00F36325">
            <w:pPr>
              <w:jc w:val="center"/>
              <w:rPr>
                <w:rFonts w:asciiTheme="minorHAnsi" w:hAnsiTheme="minorHAnsi"/>
                <w:b/>
                <w:sz w:val="22"/>
                <w:szCs w:val="22"/>
              </w:rPr>
            </w:pPr>
          </w:p>
        </w:tc>
        <w:tc>
          <w:tcPr>
            <w:tcW w:w="162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Mean Bias</w:t>
            </w: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95%CI</w:t>
            </w:r>
          </w:p>
        </w:tc>
        <w:tc>
          <w:tcPr>
            <w:tcW w:w="162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Limits of Agreement</w:t>
            </w:r>
          </w:p>
        </w:tc>
        <w:tc>
          <w:tcPr>
            <w:tcW w:w="162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Correlation</w:t>
            </w:r>
          </w:p>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(r )</w:t>
            </w:r>
          </w:p>
        </w:tc>
      </w:tr>
      <w:tr w:rsidR="00F36325" w:rsidRPr="00C55B7E" w:rsidTr="00EC2D6C">
        <w:tc>
          <w:tcPr>
            <w:tcW w:w="1800" w:type="dxa"/>
            <w:vMerge w:val="restart"/>
          </w:tcPr>
          <w:p w:rsidR="00F36325" w:rsidRPr="00C55B7E" w:rsidRDefault="0052381F" w:rsidP="00F36325">
            <w:pPr>
              <w:jc w:val="right"/>
              <w:rPr>
                <w:rFonts w:asciiTheme="minorHAnsi" w:hAnsiTheme="minorHAnsi"/>
                <w:b/>
                <w:sz w:val="22"/>
                <w:szCs w:val="22"/>
              </w:rPr>
            </w:pPr>
            <w:r w:rsidRPr="0052381F">
              <w:rPr>
                <w:rFonts w:asciiTheme="minorHAnsi" w:hAnsiTheme="minorHAnsi"/>
                <w:b/>
                <w:sz w:val="22"/>
                <w:szCs w:val="22"/>
              </w:rPr>
              <w:t>Spine (L1-L4)</w:t>
            </w: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BMD</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0.005*</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0.000 to 0.010</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-0.040 to 0.051</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0.35**</w:t>
            </w:r>
          </w:p>
        </w:tc>
      </w:tr>
      <w:tr w:rsidR="00F36325" w:rsidRPr="00C55B7E" w:rsidTr="00EC2D6C">
        <w:tc>
          <w:tcPr>
            <w:tcW w:w="1800" w:type="dxa"/>
            <w:vMerge/>
          </w:tcPr>
          <w:p w:rsidR="00F36325" w:rsidRPr="00C55B7E" w:rsidRDefault="00F36325" w:rsidP="00F36325">
            <w:pPr>
              <w:jc w:val="right"/>
              <w:rPr>
                <w:rFonts w:asciiTheme="minorHAnsi" w:hAnsiTheme="minorHAnsi"/>
                <w:b/>
                <w:sz w:val="22"/>
                <w:szCs w:val="22"/>
              </w:rPr>
            </w:pP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BMC</w:t>
            </w:r>
          </w:p>
          <w:p w:rsidR="00EC2D6C" w:rsidRPr="00C55B7E" w:rsidRDefault="00EC2D6C" w:rsidP="00F36325">
            <w:pPr>
              <w:jc w:val="center"/>
              <w:rPr>
                <w:rFonts w:asciiTheme="minorHAnsi" w:hAnsiTheme="minorHAnsi"/>
                <w:b/>
                <w:sz w:val="22"/>
                <w:szCs w:val="22"/>
              </w:rPr>
            </w:pP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0.48**</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0.12 to 0.85</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-2.82 to 3.79</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0.22*</w:t>
            </w:r>
          </w:p>
        </w:tc>
      </w:tr>
      <w:tr w:rsidR="00F36325" w:rsidRPr="00C55B7E" w:rsidTr="00EC2D6C">
        <w:tc>
          <w:tcPr>
            <w:tcW w:w="1800" w:type="dxa"/>
            <w:vMerge/>
          </w:tcPr>
          <w:p w:rsidR="00F36325" w:rsidRPr="00C55B7E" w:rsidRDefault="00F36325" w:rsidP="00F36325">
            <w:pPr>
              <w:jc w:val="right"/>
              <w:rPr>
                <w:rFonts w:asciiTheme="minorHAnsi" w:hAnsiTheme="minorHAnsi"/>
                <w:b/>
                <w:sz w:val="22"/>
                <w:szCs w:val="22"/>
              </w:rPr>
            </w:pP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Area</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0.13</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-0.08 to 0.34</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-1.80 to 2.06</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-0.11</w:t>
            </w:r>
          </w:p>
        </w:tc>
      </w:tr>
      <w:tr w:rsidR="00F36325" w:rsidRPr="00C55B7E" w:rsidTr="00EC2D6C">
        <w:tc>
          <w:tcPr>
            <w:tcW w:w="1800" w:type="dxa"/>
            <w:vMerge w:val="restart"/>
          </w:tcPr>
          <w:p w:rsidR="00F36325" w:rsidRPr="00C55B7E" w:rsidRDefault="0052381F" w:rsidP="00F36325">
            <w:pPr>
              <w:jc w:val="right"/>
              <w:rPr>
                <w:rFonts w:asciiTheme="minorHAnsi" w:hAnsiTheme="minorHAnsi"/>
                <w:b/>
                <w:sz w:val="22"/>
                <w:szCs w:val="22"/>
              </w:rPr>
            </w:pPr>
            <w:r w:rsidRPr="0052381F">
              <w:rPr>
                <w:rFonts w:asciiTheme="minorHAnsi" w:hAnsiTheme="minorHAnsi"/>
                <w:b/>
                <w:sz w:val="22"/>
                <w:szCs w:val="22"/>
              </w:rPr>
              <w:t>Femoral Neck</w:t>
            </w: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BMD</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0.007**</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0.002 to 0.011</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-0.038 to 0.051</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0.14</w:t>
            </w:r>
          </w:p>
        </w:tc>
      </w:tr>
      <w:tr w:rsidR="00F36325" w:rsidRPr="00C55B7E" w:rsidTr="00EC2D6C">
        <w:trPr>
          <w:trHeight w:val="221"/>
        </w:trPr>
        <w:tc>
          <w:tcPr>
            <w:tcW w:w="1800" w:type="dxa"/>
            <w:vMerge/>
          </w:tcPr>
          <w:p w:rsidR="00F36325" w:rsidRPr="00C55B7E" w:rsidRDefault="00F36325" w:rsidP="00F36325">
            <w:pPr>
              <w:jc w:val="right"/>
              <w:rPr>
                <w:rFonts w:asciiTheme="minorHAnsi" w:hAnsiTheme="minorHAnsi"/>
                <w:b/>
                <w:sz w:val="22"/>
                <w:szCs w:val="22"/>
              </w:rPr>
            </w:pP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BMC</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-0.03*</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-0.06 to 0.00</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-0.28 to 0.22</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-0.09</w:t>
            </w:r>
          </w:p>
        </w:tc>
      </w:tr>
      <w:tr w:rsidR="00F36325" w:rsidRPr="00C55B7E" w:rsidTr="00EC2D6C">
        <w:tc>
          <w:tcPr>
            <w:tcW w:w="1800" w:type="dxa"/>
            <w:vMerge/>
          </w:tcPr>
          <w:p w:rsidR="00F36325" w:rsidRPr="00C55B7E" w:rsidRDefault="00F36325" w:rsidP="00F36325">
            <w:pPr>
              <w:jc w:val="right"/>
              <w:rPr>
                <w:rFonts w:asciiTheme="minorHAnsi" w:hAnsiTheme="minorHAnsi"/>
                <w:b/>
                <w:sz w:val="22"/>
                <w:szCs w:val="22"/>
              </w:rPr>
            </w:pP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Area</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-0.06***</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-0.08 to -0.03</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-0.29 to 0.18</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-0.21*</w:t>
            </w:r>
          </w:p>
        </w:tc>
      </w:tr>
      <w:tr w:rsidR="00F36325" w:rsidRPr="00C55B7E" w:rsidTr="00EC2D6C">
        <w:tc>
          <w:tcPr>
            <w:tcW w:w="1800" w:type="dxa"/>
            <w:vMerge w:val="restart"/>
          </w:tcPr>
          <w:p w:rsidR="00F36325" w:rsidRPr="00C55B7E" w:rsidRDefault="0052381F" w:rsidP="00F36325">
            <w:pPr>
              <w:jc w:val="right"/>
              <w:rPr>
                <w:rFonts w:asciiTheme="minorHAnsi" w:hAnsiTheme="minorHAnsi"/>
                <w:b/>
                <w:sz w:val="22"/>
                <w:szCs w:val="22"/>
              </w:rPr>
            </w:pPr>
            <w:r w:rsidRPr="0052381F">
              <w:rPr>
                <w:rFonts w:asciiTheme="minorHAnsi" w:hAnsiTheme="minorHAnsi"/>
                <w:b/>
                <w:sz w:val="22"/>
                <w:szCs w:val="22"/>
              </w:rPr>
              <w:t>Total Hip</w:t>
            </w: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BMD</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0.0005</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-0.003 to 0.004</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-0.033 to 0.034</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0.24*</w:t>
            </w:r>
          </w:p>
        </w:tc>
      </w:tr>
      <w:tr w:rsidR="00F36325" w:rsidRPr="00C55B7E" w:rsidTr="00EC2D6C">
        <w:tc>
          <w:tcPr>
            <w:tcW w:w="1800" w:type="dxa"/>
            <w:vMerge/>
          </w:tcPr>
          <w:p w:rsidR="00F36325" w:rsidRPr="00C55B7E" w:rsidRDefault="00F36325" w:rsidP="00F36325">
            <w:pPr>
              <w:jc w:val="right"/>
              <w:rPr>
                <w:rFonts w:asciiTheme="minorHAnsi" w:hAnsiTheme="minorHAnsi"/>
                <w:b/>
                <w:sz w:val="22"/>
                <w:szCs w:val="22"/>
              </w:rPr>
            </w:pP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BMC</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-0.74***</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-0.88 to -0.61</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-1.951 to 0.464</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0.13</w:t>
            </w:r>
          </w:p>
        </w:tc>
      </w:tr>
      <w:tr w:rsidR="00F36325" w:rsidRPr="00C55B7E" w:rsidTr="00EC2D6C">
        <w:tc>
          <w:tcPr>
            <w:tcW w:w="1800" w:type="dxa"/>
            <w:vMerge/>
          </w:tcPr>
          <w:p w:rsidR="00F36325" w:rsidRPr="00C55B7E" w:rsidRDefault="00F36325" w:rsidP="00F36325">
            <w:pPr>
              <w:jc w:val="right"/>
              <w:rPr>
                <w:rFonts w:asciiTheme="minorHAnsi" w:hAnsiTheme="minorHAnsi"/>
                <w:b/>
                <w:sz w:val="22"/>
                <w:szCs w:val="22"/>
              </w:rPr>
            </w:pPr>
          </w:p>
        </w:tc>
        <w:tc>
          <w:tcPr>
            <w:tcW w:w="1440" w:type="dxa"/>
          </w:tcPr>
          <w:p w:rsidR="00F36325" w:rsidRPr="00C55B7E" w:rsidRDefault="0052381F" w:rsidP="00F36325">
            <w:pPr>
              <w:jc w:val="center"/>
              <w:rPr>
                <w:rFonts w:asciiTheme="minorHAnsi" w:hAnsiTheme="minorHAnsi"/>
                <w:b/>
                <w:sz w:val="22"/>
                <w:szCs w:val="22"/>
              </w:rPr>
            </w:pPr>
            <w:r w:rsidRPr="0052381F">
              <w:rPr>
                <w:rFonts w:asciiTheme="minorHAnsi" w:hAnsiTheme="minorHAnsi"/>
                <w:b/>
                <w:sz w:val="22"/>
                <w:szCs w:val="22"/>
              </w:rPr>
              <w:t>Area</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-0.73***</w:t>
            </w:r>
          </w:p>
        </w:tc>
        <w:tc>
          <w:tcPr>
            <w:tcW w:w="144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-0.874 to -0.62</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-1.75 to 0.29</w:t>
            </w:r>
          </w:p>
        </w:tc>
        <w:tc>
          <w:tcPr>
            <w:tcW w:w="1620" w:type="dxa"/>
          </w:tcPr>
          <w:p w:rsidR="00F36325" w:rsidRPr="00C55B7E" w:rsidRDefault="0052381F" w:rsidP="00F36325">
            <w:pPr>
              <w:jc w:val="center"/>
              <w:rPr>
                <w:rFonts w:asciiTheme="minorHAnsi" w:hAnsiTheme="minorHAnsi"/>
                <w:sz w:val="22"/>
                <w:szCs w:val="22"/>
              </w:rPr>
            </w:pPr>
            <w:r w:rsidRPr="0052381F">
              <w:rPr>
                <w:rFonts w:asciiTheme="minorHAnsi" w:hAnsiTheme="minorHAnsi"/>
                <w:sz w:val="22"/>
                <w:szCs w:val="22"/>
              </w:rPr>
              <w:t>0.01</w:t>
            </w:r>
          </w:p>
        </w:tc>
      </w:tr>
    </w:tbl>
    <w:p w:rsidR="00F36325" w:rsidRPr="00C55B7E" w:rsidRDefault="0052381F" w:rsidP="00F36325">
      <w:pPr>
        <w:rPr>
          <w:rFonts w:asciiTheme="minorHAnsi" w:hAnsiTheme="minorHAnsi"/>
          <w:sz w:val="22"/>
          <w:szCs w:val="22"/>
          <w:lang w:val="en-GB"/>
        </w:rPr>
      </w:pPr>
      <w:r w:rsidRPr="0052381F">
        <w:rPr>
          <w:rFonts w:asciiTheme="minorHAnsi" w:hAnsiTheme="minorHAnsi"/>
          <w:sz w:val="22"/>
          <w:szCs w:val="22"/>
          <w:lang w:val="en-GB"/>
        </w:rPr>
        <w:t>*p&lt;0.05, **p&lt;0.01,   ***p&lt;0.001 significantly different from zero</w:t>
      </w:r>
    </w:p>
    <w:p w:rsidR="00E87AF4" w:rsidRPr="00C55B7E" w:rsidRDefault="00E87AF4" w:rsidP="00E87AF4">
      <w:pPr>
        <w:rPr>
          <w:rFonts w:asciiTheme="minorHAnsi" w:hAnsiTheme="minorHAnsi"/>
          <w:sz w:val="22"/>
          <w:szCs w:val="22"/>
          <w:lang w:val="en-GB"/>
        </w:rPr>
      </w:pPr>
    </w:p>
    <w:p w:rsidR="00E87AF4" w:rsidRPr="00C55B7E" w:rsidRDefault="00E87AF4" w:rsidP="00A94F49">
      <w:pPr>
        <w:spacing w:line="480" w:lineRule="auto"/>
        <w:jc w:val="both"/>
        <w:rPr>
          <w:rFonts w:asciiTheme="minorHAnsi" w:hAnsiTheme="minorHAnsi"/>
          <w:b/>
          <w:sz w:val="22"/>
          <w:szCs w:val="22"/>
        </w:rPr>
      </w:pPr>
    </w:p>
    <w:p w:rsidR="007B0D22" w:rsidRPr="00C55B7E" w:rsidRDefault="007B0D22" w:rsidP="007B0D22">
      <w:pPr>
        <w:spacing w:line="480" w:lineRule="auto"/>
        <w:jc w:val="both"/>
        <w:rPr>
          <w:rFonts w:asciiTheme="minorHAnsi" w:hAnsiTheme="minorHAnsi"/>
          <w:bCs/>
          <w:sz w:val="22"/>
          <w:szCs w:val="22"/>
          <w:lang w:val="en-GB"/>
        </w:rPr>
      </w:pPr>
    </w:p>
    <w:p w:rsidR="003003FB" w:rsidRPr="00C55B7E" w:rsidRDefault="003003FB" w:rsidP="007B0D22">
      <w:pPr>
        <w:spacing w:line="480" w:lineRule="auto"/>
        <w:jc w:val="both"/>
        <w:rPr>
          <w:rFonts w:asciiTheme="minorHAnsi" w:hAnsiTheme="minorHAnsi"/>
          <w:bCs/>
          <w:sz w:val="22"/>
          <w:szCs w:val="22"/>
          <w:lang w:val="en-GB"/>
        </w:rPr>
      </w:pPr>
    </w:p>
    <w:p w:rsidR="00277FAE" w:rsidRPr="00C55B7E" w:rsidRDefault="00277FAE" w:rsidP="00312225">
      <w:pPr>
        <w:spacing w:line="480" w:lineRule="auto"/>
        <w:rPr>
          <w:rFonts w:asciiTheme="minorHAnsi" w:hAnsiTheme="minorHAnsi"/>
          <w:bCs/>
          <w:sz w:val="22"/>
          <w:szCs w:val="22"/>
          <w:lang w:val="en-GB"/>
        </w:rPr>
      </w:pPr>
    </w:p>
    <w:p w:rsidR="004318DC" w:rsidRPr="00C55B7E" w:rsidRDefault="004318DC" w:rsidP="004318DC">
      <w:pPr>
        <w:spacing w:line="480" w:lineRule="auto"/>
        <w:rPr>
          <w:rFonts w:asciiTheme="minorHAnsi" w:hAnsiTheme="minorHAnsi"/>
          <w:sz w:val="22"/>
          <w:szCs w:val="22"/>
        </w:rPr>
      </w:pPr>
    </w:p>
    <w:p w:rsidR="004318DC" w:rsidRPr="00C55B7E" w:rsidRDefault="004318DC" w:rsidP="004318DC">
      <w:pPr>
        <w:spacing w:line="480" w:lineRule="auto"/>
        <w:rPr>
          <w:rFonts w:asciiTheme="minorHAnsi" w:hAnsiTheme="minorHAnsi"/>
          <w:sz w:val="22"/>
          <w:szCs w:val="22"/>
        </w:rPr>
      </w:pPr>
    </w:p>
    <w:p w:rsidR="004318DC" w:rsidRPr="00C55B7E" w:rsidRDefault="004D276A" w:rsidP="004318DC">
      <w:pPr>
        <w:spacing w:line="480" w:lineRule="auto"/>
        <w:rPr>
          <w:rFonts w:asciiTheme="minorHAnsi" w:hAnsiTheme="minorHAnsi"/>
          <w:sz w:val="22"/>
          <w:szCs w:val="22"/>
        </w:rPr>
      </w:pPr>
      <w:r w:rsidRPr="00C55B7E">
        <w:rPr>
          <w:rFonts w:asciiTheme="minorHAnsi" w:hAnsiTheme="minorHAnsi"/>
          <w:sz w:val="22"/>
          <w:szCs w:val="22"/>
        </w:rPr>
        <w:object w:dxaOrig="6182" w:dyaOrig="4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37.75pt" o:ole="">
            <v:imagedata r:id="rId12" o:title=""/>
          </v:shape>
          <o:OLEObject Type="Embed" ProgID="Origin50.Graph" ShapeID="_x0000_i1025" DrawAspect="Content" ObjectID="_1520853737" r:id="rId13"/>
        </w:object>
      </w:r>
    </w:p>
    <w:p w:rsidR="004318DC" w:rsidRPr="00C55B7E" w:rsidRDefault="004318DC" w:rsidP="004318DC">
      <w:pPr>
        <w:spacing w:line="480" w:lineRule="auto"/>
        <w:rPr>
          <w:rFonts w:asciiTheme="minorHAnsi" w:hAnsiTheme="minorHAnsi"/>
          <w:sz w:val="22"/>
          <w:szCs w:val="22"/>
        </w:rPr>
      </w:pPr>
    </w:p>
    <w:p w:rsidR="004318DC" w:rsidRPr="00C55B7E" w:rsidRDefault="004318DC" w:rsidP="004318DC">
      <w:pPr>
        <w:spacing w:line="480" w:lineRule="auto"/>
        <w:rPr>
          <w:rFonts w:asciiTheme="minorHAnsi" w:hAnsiTheme="minorHAnsi"/>
          <w:sz w:val="22"/>
          <w:szCs w:val="22"/>
        </w:rPr>
      </w:pPr>
      <w:r w:rsidRPr="00C55B7E">
        <w:rPr>
          <w:rFonts w:asciiTheme="minorHAnsi" w:hAnsiTheme="minorHAnsi"/>
          <w:sz w:val="22"/>
          <w:szCs w:val="22"/>
        </w:rPr>
        <w:object w:dxaOrig="5842" w:dyaOrig="4814">
          <v:shape id="_x0000_i1026" type="#_x0000_t75" style="width:291.75pt;height:240.75pt" o:ole="">
            <v:imagedata r:id="rId14" o:title=""/>
          </v:shape>
          <o:OLEObject Type="Embed" ProgID="Origin50.Graph" ShapeID="_x0000_i1026" DrawAspect="Content" ObjectID="_1520853738" r:id="rId15"/>
        </w:object>
      </w:r>
    </w:p>
    <w:p w:rsidR="004318DC" w:rsidRPr="00C55B7E" w:rsidRDefault="004318DC" w:rsidP="004318DC">
      <w:pPr>
        <w:spacing w:line="480" w:lineRule="auto"/>
        <w:rPr>
          <w:rFonts w:asciiTheme="minorHAnsi" w:hAnsiTheme="minorHAnsi"/>
          <w:sz w:val="22"/>
          <w:szCs w:val="22"/>
        </w:rPr>
      </w:pPr>
    </w:p>
    <w:p w:rsidR="006A48D3" w:rsidRPr="00C55B7E" w:rsidRDefault="006A48D3" w:rsidP="004318DC">
      <w:pPr>
        <w:spacing w:line="480" w:lineRule="auto"/>
        <w:rPr>
          <w:rFonts w:asciiTheme="minorHAnsi" w:hAnsiTheme="minorHAnsi"/>
          <w:sz w:val="22"/>
          <w:szCs w:val="22"/>
        </w:rPr>
      </w:pPr>
      <w:r w:rsidRPr="00C55B7E">
        <w:rPr>
          <w:rFonts w:asciiTheme="minorHAnsi" w:hAnsiTheme="minorHAnsi"/>
          <w:sz w:val="22"/>
          <w:szCs w:val="22"/>
        </w:rPr>
        <w:object w:dxaOrig="6193" w:dyaOrig="4769">
          <v:shape id="_x0000_i1027" type="#_x0000_t75" style="width:309.75pt;height:238.5pt" o:ole="">
            <v:imagedata r:id="rId16" o:title=""/>
          </v:shape>
          <o:OLEObject Type="Embed" ProgID="Origin50.Graph" ShapeID="_x0000_i1027" DrawAspect="Content" ObjectID="_1520853739" r:id="rId17"/>
        </w:object>
      </w:r>
    </w:p>
    <w:p w:rsidR="006A48D3" w:rsidRPr="00C55B7E" w:rsidRDefault="006A48D3" w:rsidP="004318DC">
      <w:pPr>
        <w:spacing w:line="480" w:lineRule="auto"/>
        <w:rPr>
          <w:rFonts w:asciiTheme="minorHAnsi" w:hAnsiTheme="minorHAnsi"/>
          <w:sz w:val="22"/>
          <w:szCs w:val="22"/>
        </w:rPr>
      </w:pPr>
      <w:r w:rsidRPr="00C55B7E">
        <w:rPr>
          <w:rFonts w:asciiTheme="minorHAnsi" w:hAnsiTheme="minorHAnsi"/>
          <w:sz w:val="22"/>
          <w:szCs w:val="22"/>
        </w:rPr>
        <w:object w:dxaOrig="5858" w:dyaOrig="4737">
          <v:shape id="_x0000_i1028" type="#_x0000_t75" style="width:293.25pt;height:237pt" o:ole="">
            <v:imagedata r:id="rId18" o:title=""/>
          </v:shape>
          <o:OLEObject Type="Embed" ProgID="Origin50.Graph" ShapeID="_x0000_i1028" DrawAspect="Content" ObjectID="_1520853740" r:id="rId19"/>
        </w:object>
      </w:r>
    </w:p>
    <w:p w:rsidR="006A48D3" w:rsidRPr="00C55B7E" w:rsidRDefault="006A48D3" w:rsidP="004318DC">
      <w:pPr>
        <w:spacing w:line="480" w:lineRule="auto"/>
        <w:rPr>
          <w:rFonts w:asciiTheme="minorHAnsi" w:hAnsiTheme="minorHAnsi"/>
          <w:sz w:val="22"/>
          <w:szCs w:val="22"/>
        </w:rPr>
      </w:pPr>
    </w:p>
    <w:p w:rsidR="006A48D3" w:rsidRPr="00C55B7E" w:rsidRDefault="006A48D3" w:rsidP="004318DC">
      <w:pPr>
        <w:spacing w:line="480" w:lineRule="auto"/>
        <w:rPr>
          <w:rFonts w:asciiTheme="minorHAnsi" w:hAnsiTheme="minorHAnsi"/>
          <w:sz w:val="22"/>
          <w:szCs w:val="22"/>
        </w:rPr>
      </w:pPr>
    </w:p>
    <w:p w:rsidR="006A48D3" w:rsidRPr="00C55B7E" w:rsidRDefault="006A48D3" w:rsidP="004318DC">
      <w:pPr>
        <w:spacing w:line="480" w:lineRule="auto"/>
        <w:rPr>
          <w:rFonts w:asciiTheme="minorHAnsi" w:hAnsiTheme="minorHAnsi"/>
          <w:sz w:val="22"/>
          <w:szCs w:val="22"/>
        </w:rPr>
      </w:pPr>
    </w:p>
    <w:p w:rsidR="006A48D3" w:rsidRPr="00C55B7E" w:rsidRDefault="006A48D3" w:rsidP="004318DC">
      <w:pPr>
        <w:spacing w:line="480" w:lineRule="auto"/>
        <w:rPr>
          <w:rFonts w:asciiTheme="minorHAnsi" w:hAnsiTheme="minorHAnsi"/>
          <w:sz w:val="22"/>
          <w:szCs w:val="22"/>
        </w:rPr>
      </w:pPr>
    </w:p>
    <w:p w:rsidR="006A48D3" w:rsidRPr="00C55B7E" w:rsidRDefault="00903D7C" w:rsidP="004318DC">
      <w:pPr>
        <w:spacing w:line="480" w:lineRule="auto"/>
        <w:rPr>
          <w:rFonts w:asciiTheme="minorHAnsi" w:hAnsiTheme="minorHAnsi"/>
          <w:sz w:val="22"/>
          <w:szCs w:val="22"/>
        </w:rPr>
      </w:pPr>
      <w:r w:rsidRPr="00C55B7E">
        <w:rPr>
          <w:rFonts w:asciiTheme="minorHAnsi" w:hAnsiTheme="minorHAnsi"/>
          <w:sz w:val="22"/>
          <w:szCs w:val="22"/>
        </w:rPr>
        <w:object w:dxaOrig="5946" w:dyaOrig="4710">
          <v:shape id="_x0000_i1029" type="#_x0000_t75" style="width:297pt;height:235.5pt" o:ole="">
            <v:imagedata r:id="rId20" o:title=""/>
          </v:shape>
          <o:OLEObject Type="Embed" ProgID="Origin50.Graph" ShapeID="_x0000_i1029" DrawAspect="Content" ObjectID="_1520853741" r:id="rId21"/>
        </w:object>
      </w:r>
    </w:p>
    <w:p w:rsidR="006A48D3" w:rsidRPr="00C55B7E" w:rsidRDefault="006A48D3" w:rsidP="004318DC">
      <w:pPr>
        <w:spacing w:line="480" w:lineRule="auto"/>
        <w:rPr>
          <w:rFonts w:asciiTheme="minorHAnsi" w:hAnsiTheme="minorHAnsi"/>
          <w:sz w:val="22"/>
          <w:szCs w:val="22"/>
        </w:rPr>
      </w:pPr>
    </w:p>
    <w:p w:rsidR="006A48D3" w:rsidRPr="00C55B7E" w:rsidRDefault="006A48D3" w:rsidP="004318DC">
      <w:pPr>
        <w:spacing w:line="480" w:lineRule="auto"/>
        <w:rPr>
          <w:rFonts w:asciiTheme="minorHAnsi" w:hAnsiTheme="minorHAnsi"/>
          <w:sz w:val="22"/>
          <w:szCs w:val="22"/>
        </w:rPr>
      </w:pPr>
    </w:p>
    <w:p w:rsidR="006A48D3" w:rsidRPr="00C55B7E" w:rsidRDefault="006A48D3" w:rsidP="004318DC">
      <w:pPr>
        <w:spacing w:line="480" w:lineRule="auto"/>
        <w:rPr>
          <w:rFonts w:asciiTheme="minorHAnsi" w:hAnsiTheme="minorHAnsi"/>
          <w:sz w:val="22"/>
          <w:szCs w:val="22"/>
        </w:rPr>
      </w:pPr>
    </w:p>
    <w:p w:rsidR="00903D7C" w:rsidRPr="00C55B7E" w:rsidRDefault="00903D7C" w:rsidP="004318DC">
      <w:pPr>
        <w:spacing w:line="480" w:lineRule="auto"/>
        <w:rPr>
          <w:rFonts w:asciiTheme="minorHAnsi" w:hAnsiTheme="minorHAnsi"/>
          <w:sz w:val="22"/>
          <w:szCs w:val="22"/>
        </w:rPr>
      </w:pPr>
      <w:r w:rsidRPr="00C55B7E">
        <w:rPr>
          <w:rFonts w:asciiTheme="minorHAnsi" w:hAnsiTheme="minorHAnsi"/>
          <w:sz w:val="22"/>
          <w:szCs w:val="22"/>
        </w:rPr>
        <w:object w:dxaOrig="6474" w:dyaOrig="4746">
          <v:shape id="_x0000_i1030" type="#_x0000_t75" style="width:324pt;height:237pt" o:ole="">
            <v:imagedata r:id="rId22" o:title=""/>
          </v:shape>
          <o:OLEObject Type="Embed" ProgID="Origin50.Graph" ShapeID="_x0000_i1030" DrawAspect="Content" ObjectID="_1520853742" r:id="rId23"/>
        </w:object>
      </w:r>
    </w:p>
    <w:sectPr w:rsidR="00903D7C" w:rsidRPr="00C55B7E" w:rsidSect="0052381F">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56" w:rsidRDefault="00BC6F56">
      <w:r>
        <w:separator/>
      </w:r>
    </w:p>
  </w:endnote>
  <w:endnote w:type="continuationSeparator" w:id="0">
    <w:p w:rsidR="00BC6F56" w:rsidRDefault="00BC6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6C" w:rsidRDefault="0052381F" w:rsidP="00CD119D">
    <w:pPr>
      <w:pStyle w:val="Footer"/>
      <w:framePr w:wrap="around" w:vAnchor="text" w:hAnchor="margin" w:xAlign="center" w:y="1"/>
      <w:rPr>
        <w:rStyle w:val="PageNumber"/>
      </w:rPr>
    </w:pPr>
    <w:r>
      <w:rPr>
        <w:rStyle w:val="PageNumber"/>
      </w:rPr>
      <w:fldChar w:fldCharType="begin"/>
    </w:r>
    <w:r w:rsidR="00EC2D6C">
      <w:rPr>
        <w:rStyle w:val="PageNumber"/>
      </w:rPr>
      <w:instrText xml:space="preserve">PAGE  </w:instrText>
    </w:r>
    <w:r>
      <w:rPr>
        <w:rStyle w:val="PageNumber"/>
      </w:rPr>
      <w:fldChar w:fldCharType="end"/>
    </w:r>
  </w:p>
  <w:p w:rsidR="00EC2D6C" w:rsidRDefault="00EC2D6C" w:rsidP="00CD11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6C" w:rsidRDefault="0052381F" w:rsidP="00CD119D">
    <w:pPr>
      <w:pStyle w:val="Footer"/>
      <w:framePr w:wrap="around" w:vAnchor="text" w:hAnchor="margin" w:xAlign="center" w:y="1"/>
      <w:rPr>
        <w:rStyle w:val="PageNumber"/>
      </w:rPr>
    </w:pPr>
    <w:r>
      <w:rPr>
        <w:rStyle w:val="PageNumber"/>
      </w:rPr>
      <w:fldChar w:fldCharType="begin"/>
    </w:r>
    <w:r w:rsidR="00EC2D6C">
      <w:rPr>
        <w:rStyle w:val="PageNumber"/>
      </w:rPr>
      <w:instrText xml:space="preserve">PAGE  </w:instrText>
    </w:r>
    <w:r>
      <w:rPr>
        <w:rStyle w:val="PageNumber"/>
      </w:rPr>
      <w:fldChar w:fldCharType="separate"/>
    </w:r>
    <w:r w:rsidR="00CA248F">
      <w:rPr>
        <w:rStyle w:val="PageNumber"/>
        <w:noProof/>
      </w:rPr>
      <w:t>19</w:t>
    </w:r>
    <w:r>
      <w:rPr>
        <w:rStyle w:val="PageNumber"/>
      </w:rPr>
      <w:fldChar w:fldCharType="end"/>
    </w:r>
  </w:p>
  <w:p w:rsidR="00EC2D6C" w:rsidRDefault="00EC2D6C" w:rsidP="00CD11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56" w:rsidRDefault="00BC6F56">
      <w:r>
        <w:separator/>
      </w:r>
    </w:p>
  </w:footnote>
  <w:footnote w:type="continuationSeparator" w:id="0">
    <w:p w:rsidR="00BC6F56" w:rsidRDefault="00BC6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A14CE"/>
    <w:multiLevelType w:val="hybridMultilevel"/>
    <w:tmpl w:val="CCFA3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AE325D"/>
    <w:multiLevelType w:val="hybridMultilevel"/>
    <w:tmpl w:val="7FD808D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1C53F4E"/>
    <w:multiLevelType w:val="hybridMultilevel"/>
    <w:tmpl w:val="A70E6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513E5E"/>
    <w:multiLevelType w:val="hybridMultilevel"/>
    <w:tmpl w:val="AEC8A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DD29A7"/>
    <w:multiLevelType w:val="hybridMultilevel"/>
    <w:tmpl w:val="7194A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624FE"/>
    <w:multiLevelType w:val="hybridMultilevel"/>
    <w:tmpl w:val="E414953E"/>
    <w:lvl w:ilvl="0" w:tplc="08090011">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24C6A"/>
    <w:rsid w:val="000041EB"/>
    <w:rsid w:val="00014E28"/>
    <w:rsid w:val="00084184"/>
    <w:rsid w:val="00095E0E"/>
    <w:rsid w:val="00095EC3"/>
    <w:rsid w:val="000A1BA9"/>
    <w:rsid w:val="000A48F8"/>
    <w:rsid w:val="000B7D94"/>
    <w:rsid w:val="000C7B84"/>
    <w:rsid w:val="000D0BC4"/>
    <w:rsid w:val="000E31CA"/>
    <w:rsid w:val="000E516E"/>
    <w:rsid w:val="001302E0"/>
    <w:rsid w:val="00147E9C"/>
    <w:rsid w:val="00154DB8"/>
    <w:rsid w:val="00172083"/>
    <w:rsid w:val="00177627"/>
    <w:rsid w:val="00180801"/>
    <w:rsid w:val="00187D7D"/>
    <w:rsid w:val="001902C1"/>
    <w:rsid w:val="001912C6"/>
    <w:rsid w:val="001974EC"/>
    <w:rsid w:val="001A068E"/>
    <w:rsid w:val="001B06E2"/>
    <w:rsid w:val="001C2031"/>
    <w:rsid w:val="001C2FF5"/>
    <w:rsid w:val="001C581B"/>
    <w:rsid w:val="001C63B5"/>
    <w:rsid w:val="001E1AE7"/>
    <w:rsid w:val="0021011A"/>
    <w:rsid w:val="0021498D"/>
    <w:rsid w:val="00232CE2"/>
    <w:rsid w:val="0023472E"/>
    <w:rsid w:val="00243645"/>
    <w:rsid w:val="00272A1F"/>
    <w:rsid w:val="00275C85"/>
    <w:rsid w:val="00277FAE"/>
    <w:rsid w:val="00282367"/>
    <w:rsid w:val="002853D0"/>
    <w:rsid w:val="002A44DC"/>
    <w:rsid w:val="002A4B5E"/>
    <w:rsid w:val="002A75F0"/>
    <w:rsid w:val="002B3277"/>
    <w:rsid w:val="002B71DB"/>
    <w:rsid w:val="002C337A"/>
    <w:rsid w:val="002C4AC2"/>
    <w:rsid w:val="002D3224"/>
    <w:rsid w:val="002D4B9E"/>
    <w:rsid w:val="002D7B44"/>
    <w:rsid w:val="002F3E5C"/>
    <w:rsid w:val="002F6815"/>
    <w:rsid w:val="002F68F5"/>
    <w:rsid w:val="003003FB"/>
    <w:rsid w:val="0030710D"/>
    <w:rsid w:val="00312225"/>
    <w:rsid w:val="00320445"/>
    <w:rsid w:val="00326C82"/>
    <w:rsid w:val="00330C45"/>
    <w:rsid w:val="0033371E"/>
    <w:rsid w:val="003359A4"/>
    <w:rsid w:val="003365D7"/>
    <w:rsid w:val="0035102B"/>
    <w:rsid w:val="0036440C"/>
    <w:rsid w:val="00371BF9"/>
    <w:rsid w:val="00374335"/>
    <w:rsid w:val="003776FF"/>
    <w:rsid w:val="00390227"/>
    <w:rsid w:val="00395840"/>
    <w:rsid w:val="003C249B"/>
    <w:rsid w:val="003C59FF"/>
    <w:rsid w:val="003D4804"/>
    <w:rsid w:val="003F2CB5"/>
    <w:rsid w:val="003F6D3B"/>
    <w:rsid w:val="004076C1"/>
    <w:rsid w:val="00410DE2"/>
    <w:rsid w:val="00415671"/>
    <w:rsid w:val="00420DAE"/>
    <w:rsid w:val="00426B7D"/>
    <w:rsid w:val="004318DC"/>
    <w:rsid w:val="00447DEC"/>
    <w:rsid w:val="00461A55"/>
    <w:rsid w:val="00466A2B"/>
    <w:rsid w:val="00466F5F"/>
    <w:rsid w:val="00482773"/>
    <w:rsid w:val="004844E0"/>
    <w:rsid w:val="00484BCB"/>
    <w:rsid w:val="0049012F"/>
    <w:rsid w:val="004B0260"/>
    <w:rsid w:val="004B421A"/>
    <w:rsid w:val="004B6E42"/>
    <w:rsid w:val="004C04A7"/>
    <w:rsid w:val="004C0D76"/>
    <w:rsid w:val="004C1588"/>
    <w:rsid w:val="004D276A"/>
    <w:rsid w:val="004D3CA1"/>
    <w:rsid w:val="004D5F02"/>
    <w:rsid w:val="004F6D8B"/>
    <w:rsid w:val="0050759D"/>
    <w:rsid w:val="0052381F"/>
    <w:rsid w:val="005270DA"/>
    <w:rsid w:val="0054385E"/>
    <w:rsid w:val="005525E9"/>
    <w:rsid w:val="00577BC5"/>
    <w:rsid w:val="00580A19"/>
    <w:rsid w:val="00592CD5"/>
    <w:rsid w:val="005F35A8"/>
    <w:rsid w:val="005F5294"/>
    <w:rsid w:val="00601397"/>
    <w:rsid w:val="00611DCA"/>
    <w:rsid w:val="00620ECA"/>
    <w:rsid w:val="00624699"/>
    <w:rsid w:val="00627116"/>
    <w:rsid w:val="00633459"/>
    <w:rsid w:val="00654D45"/>
    <w:rsid w:val="00661DAD"/>
    <w:rsid w:val="00661FE0"/>
    <w:rsid w:val="0067238F"/>
    <w:rsid w:val="0067398E"/>
    <w:rsid w:val="00697DEC"/>
    <w:rsid w:val="006A48D3"/>
    <w:rsid w:val="006A655A"/>
    <w:rsid w:val="006C0431"/>
    <w:rsid w:val="006C7375"/>
    <w:rsid w:val="006E229B"/>
    <w:rsid w:val="006E6307"/>
    <w:rsid w:val="00702D37"/>
    <w:rsid w:val="00703E2D"/>
    <w:rsid w:val="0070779E"/>
    <w:rsid w:val="007128D2"/>
    <w:rsid w:val="00725BFC"/>
    <w:rsid w:val="00740B9F"/>
    <w:rsid w:val="00740E30"/>
    <w:rsid w:val="0074454F"/>
    <w:rsid w:val="0074629A"/>
    <w:rsid w:val="00751994"/>
    <w:rsid w:val="00775DE2"/>
    <w:rsid w:val="00776336"/>
    <w:rsid w:val="00790DF3"/>
    <w:rsid w:val="00793557"/>
    <w:rsid w:val="00795C04"/>
    <w:rsid w:val="007A7578"/>
    <w:rsid w:val="007B0D22"/>
    <w:rsid w:val="007C034C"/>
    <w:rsid w:val="007C6800"/>
    <w:rsid w:val="007D22F6"/>
    <w:rsid w:val="007D3327"/>
    <w:rsid w:val="007E2B92"/>
    <w:rsid w:val="007F4A06"/>
    <w:rsid w:val="00824343"/>
    <w:rsid w:val="0083241B"/>
    <w:rsid w:val="00840ADD"/>
    <w:rsid w:val="0085600D"/>
    <w:rsid w:val="008865C3"/>
    <w:rsid w:val="008879F2"/>
    <w:rsid w:val="008912E1"/>
    <w:rsid w:val="00891EAB"/>
    <w:rsid w:val="008A45E3"/>
    <w:rsid w:val="008A5598"/>
    <w:rsid w:val="008B7FCB"/>
    <w:rsid w:val="008D4369"/>
    <w:rsid w:val="008E182F"/>
    <w:rsid w:val="008E5570"/>
    <w:rsid w:val="008F1B73"/>
    <w:rsid w:val="00903D7C"/>
    <w:rsid w:val="00921C93"/>
    <w:rsid w:val="00923064"/>
    <w:rsid w:val="009434E2"/>
    <w:rsid w:val="0094500E"/>
    <w:rsid w:val="0094571D"/>
    <w:rsid w:val="009510F9"/>
    <w:rsid w:val="00956407"/>
    <w:rsid w:val="009863E7"/>
    <w:rsid w:val="009A5ABE"/>
    <w:rsid w:val="009B591C"/>
    <w:rsid w:val="009C60ED"/>
    <w:rsid w:val="009D5625"/>
    <w:rsid w:val="009E5038"/>
    <w:rsid w:val="009F6852"/>
    <w:rsid w:val="00A039CA"/>
    <w:rsid w:val="00A053CE"/>
    <w:rsid w:val="00A16498"/>
    <w:rsid w:val="00A24C6A"/>
    <w:rsid w:val="00A2717C"/>
    <w:rsid w:val="00A32E45"/>
    <w:rsid w:val="00A377B8"/>
    <w:rsid w:val="00A53C84"/>
    <w:rsid w:val="00A638C1"/>
    <w:rsid w:val="00A64C0F"/>
    <w:rsid w:val="00A70C5F"/>
    <w:rsid w:val="00A756E3"/>
    <w:rsid w:val="00A76FC7"/>
    <w:rsid w:val="00A859EF"/>
    <w:rsid w:val="00A865C1"/>
    <w:rsid w:val="00A9408F"/>
    <w:rsid w:val="00A94F49"/>
    <w:rsid w:val="00AB39B9"/>
    <w:rsid w:val="00AC09B2"/>
    <w:rsid w:val="00AD6809"/>
    <w:rsid w:val="00AF6574"/>
    <w:rsid w:val="00B25A65"/>
    <w:rsid w:val="00B36E23"/>
    <w:rsid w:val="00B67A49"/>
    <w:rsid w:val="00B848E4"/>
    <w:rsid w:val="00B84B81"/>
    <w:rsid w:val="00B93823"/>
    <w:rsid w:val="00B95A1D"/>
    <w:rsid w:val="00B97FB1"/>
    <w:rsid w:val="00BB1998"/>
    <w:rsid w:val="00BC3832"/>
    <w:rsid w:val="00BC4713"/>
    <w:rsid w:val="00BC658A"/>
    <w:rsid w:val="00BC6F56"/>
    <w:rsid w:val="00BD222B"/>
    <w:rsid w:val="00BE0151"/>
    <w:rsid w:val="00BE09DE"/>
    <w:rsid w:val="00BF46AE"/>
    <w:rsid w:val="00BF5808"/>
    <w:rsid w:val="00C013DC"/>
    <w:rsid w:val="00C42F5F"/>
    <w:rsid w:val="00C50AFF"/>
    <w:rsid w:val="00C52E81"/>
    <w:rsid w:val="00C55B7E"/>
    <w:rsid w:val="00C56CC2"/>
    <w:rsid w:val="00C63AA8"/>
    <w:rsid w:val="00C713A7"/>
    <w:rsid w:val="00C829CE"/>
    <w:rsid w:val="00C9641C"/>
    <w:rsid w:val="00CA0557"/>
    <w:rsid w:val="00CA248F"/>
    <w:rsid w:val="00CA6AA3"/>
    <w:rsid w:val="00CA75DB"/>
    <w:rsid w:val="00CB3A7E"/>
    <w:rsid w:val="00CC55A6"/>
    <w:rsid w:val="00CC79FE"/>
    <w:rsid w:val="00CD04AB"/>
    <w:rsid w:val="00CD119D"/>
    <w:rsid w:val="00CD7D60"/>
    <w:rsid w:val="00CE61AB"/>
    <w:rsid w:val="00CF0FC0"/>
    <w:rsid w:val="00CF5FD0"/>
    <w:rsid w:val="00D35FF3"/>
    <w:rsid w:val="00D54EC9"/>
    <w:rsid w:val="00D63DE8"/>
    <w:rsid w:val="00D723E5"/>
    <w:rsid w:val="00D74DB7"/>
    <w:rsid w:val="00D76444"/>
    <w:rsid w:val="00D82B2B"/>
    <w:rsid w:val="00D965B9"/>
    <w:rsid w:val="00DA207E"/>
    <w:rsid w:val="00DA6654"/>
    <w:rsid w:val="00DB2B18"/>
    <w:rsid w:val="00DC6B71"/>
    <w:rsid w:val="00DF0E45"/>
    <w:rsid w:val="00DF3EA7"/>
    <w:rsid w:val="00DF3F51"/>
    <w:rsid w:val="00E042EA"/>
    <w:rsid w:val="00E07A17"/>
    <w:rsid w:val="00E62D67"/>
    <w:rsid w:val="00E75290"/>
    <w:rsid w:val="00E85BBA"/>
    <w:rsid w:val="00E86470"/>
    <w:rsid w:val="00E87AF4"/>
    <w:rsid w:val="00EA706C"/>
    <w:rsid w:val="00EC2D6C"/>
    <w:rsid w:val="00ED25E5"/>
    <w:rsid w:val="00ED2639"/>
    <w:rsid w:val="00EE2E96"/>
    <w:rsid w:val="00EF4BED"/>
    <w:rsid w:val="00F34A35"/>
    <w:rsid w:val="00F36325"/>
    <w:rsid w:val="00F371C2"/>
    <w:rsid w:val="00F41A43"/>
    <w:rsid w:val="00F562D5"/>
    <w:rsid w:val="00F71C7E"/>
    <w:rsid w:val="00F7371B"/>
    <w:rsid w:val="00F76525"/>
    <w:rsid w:val="00F77F4B"/>
    <w:rsid w:val="00F840BD"/>
    <w:rsid w:val="00F84B5E"/>
    <w:rsid w:val="00F85185"/>
    <w:rsid w:val="00FA1EE3"/>
    <w:rsid w:val="00FB06FA"/>
    <w:rsid w:val="00FC6924"/>
    <w:rsid w:val="00FC7441"/>
    <w:rsid w:val="00FE5C43"/>
    <w:rsid w:val="00FF00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C6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9A4"/>
    <w:rPr>
      <w:color w:val="0000FF"/>
      <w:u w:val="single"/>
    </w:rPr>
  </w:style>
  <w:style w:type="paragraph" w:styleId="Footer">
    <w:name w:val="footer"/>
    <w:basedOn w:val="Normal"/>
    <w:rsid w:val="00CD119D"/>
    <w:pPr>
      <w:tabs>
        <w:tab w:val="center" w:pos="4320"/>
        <w:tab w:val="right" w:pos="8640"/>
      </w:tabs>
    </w:pPr>
  </w:style>
  <w:style w:type="character" w:styleId="PageNumber">
    <w:name w:val="page number"/>
    <w:basedOn w:val="DefaultParagraphFont"/>
    <w:rsid w:val="00CD119D"/>
  </w:style>
  <w:style w:type="character" w:styleId="CommentReference">
    <w:name w:val="annotation reference"/>
    <w:basedOn w:val="DefaultParagraphFont"/>
    <w:semiHidden/>
    <w:rsid w:val="007E2B92"/>
    <w:rPr>
      <w:sz w:val="16"/>
      <w:szCs w:val="16"/>
    </w:rPr>
  </w:style>
  <w:style w:type="paragraph" w:styleId="CommentText">
    <w:name w:val="annotation text"/>
    <w:basedOn w:val="Normal"/>
    <w:semiHidden/>
    <w:rsid w:val="007E2B92"/>
    <w:rPr>
      <w:sz w:val="20"/>
      <w:szCs w:val="20"/>
    </w:rPr>
  </w:style>
  <w:style w:type="paragraph" w:styleId="CommentSubject">
    <w:name w:val="annotation subject"/>
    <w:basedOn w:val="CommentText"/>
    <w:next w:val="CommentText"/>
    <w:semiHidden/>
    <w:rsid w:val="007E2B92"/>
    <w:rPr>
      <w:b/>
      <w:bCs/>
    </w:rPr>
  </w:style>
  <w:style w:type="paragraph" w:styleId="BalloonText">
    <w:name w:val="Balloon Text"/>
    <w:basedOn w:val="Normal"/>
    <w:semiHidden/>
    <w:rsid w:val="007E2B92"/>
    <w:rPr>
      <w:rFonts w:ascii="Tahoma" w:hAnsi="Tahoma" w:cs="Tahoma"/>
      <w:sz w:val="16"/>
      <w:szCs w:val="16"/>
    </w:rPr>
  </w:style>
  <w:style w:type="table" w:styleId="TableGrid">
    <w:name w:val="Table Grid"/>
    <w:basedOn w:val="TableNormal"/>
    <w:rsid w:val="00326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c.uk/FRAX"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dx.doi.org/10.1016/j.jocd.2013.09.011"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www.who.int/entity/chp/topics/Osteoporosis.pdf" TargetMode="External"/><Relationship Id="rId14" Type="http://schemas.openxmlformats.org/officeDocument/2006/relationships/image" Target="media/image2.wmf"/><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Abstract</vt:lpstr>
    </vt:vector>
  </TitlesOfParts>
  <Company>The university Of Leeds</Company>
  <LinksUpToDate>false</LinksUpToDate>
  <CharactersWithSpaces>27791</CharactersWithSpaces>
  <SharedDoc>false</SharedDoc>
  <HLinks>
    <vt:vector size="12" baseType="variant">
      <vt:variant>
        <vt:i4>65558</vt:i4>
      </vt:variant>
      <vt:variant>
        <vt:i4>3</vt:i4>
      </vt:variant>
      <vt:variant>
        <vt:i4>0</vt:i4>
      </vt:variant>
      <vt:variant>
        <vt:i4>5</vt:i4>
      </vt:variant>
      <vt:variant>
        <vt:lpwstr>http://www.who.int/entity/chp/topics/Osteoporosis.pdf</vt:lpwstr>
      </vt:variant>
      <vt:variant>
        <vt:lpwstr/>
      </vt:variant>
      <vt:variant>
        <vt:i4>7929918</vt:i4>
      </vt:variant>
      <vt:variant>
        <vt:i4>0</vt:i4>
      </vt:variant>
      <vt:variant>
        <vt:i4>0</vt:i4>
      </vt:variant>
      <vt:variant>
        <vt:i4>5</vt:i4>
      </vt:variant>
      <vt:variant>
        <vt:lpwstr>http://www.sheffield.ac.uk/FRAX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bo</dc:creator>
  <cp:lastModifiedBy>Karen</cp:lastModifiedBy>
  <cp:revision>2</cp:revision>
  <cp:lastPrinted>2013-02-05T12:40:00Z</cp:lastPrinted>
  <dcterms:created xsi:type="dcterms:W3CDTF">2016-03-30T13:35:00Z</dcterms:created>
  <dcterms:modified xsi:type="dcterms:W3CDTF">2016-03-30T13:35:00Z</dcterms:modified>
</cp:coreProperties>
</file>