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3B2D4F" w14:textId="77777777" w:rsidR="00515093" w:rsidRPr="00515093" w:rsidRDefault="0078702A" w:rsidP="0078702A">
      <w:pPr>
        <w:keepNext/>
        <w:spacing w:before="0" w:after="60"/>
        <w:jc w:val="right"/>
        <w:outlineLvl w:val="0"/>
        <w:rPr>
          <w:rFonts w:cs="Arial"/>
          <w:b/>
          <w:bCs/>
          <w:kern w:val="32"/>
          <w:sz w:val="28"/>
          <w:szCs w:val="32"/>
        </w:rPr>
      </w:pPr>
      <w:bookmarkStart w:id="0" w:name="_Toc244313353"/>
      <w:r w:rsidRPr="0078702A">
        <w:rPr>
          <w:rFonts w:cs="Arial"/>
          <w:b/>
          <w:bCs/>
          <w:noProof/>
          <w:kern w:val="32"/>
          <w:sz w:val="28"/>
          <w:szCs w:val="32"/>
          <w:lang w:eastAsia="en-GB"/>
        </w:rPr>
        <w:drawing>
          <wp:inline distT="0" distB="0" distL="0" distR="0" wp14:anchorId="591C176F" wp14:editId="25BBF5F6">
            <wp:extent cx="1762125" cy="2371725"/>
            <wp:effectExtent l="0" t="0" r="9525" b="9525"/>
            <wp:docPr id="6" name="Picture 6" descr="C:\Users\johnst04\Google Drive\CeBE\General\Logos\LSi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t04\Google Drive\CeBE\General\Logos\LSi_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2125" cy="2371725"/>
                    </a:xfrm>
                    <a:prstGeom prst="rect">
                      <a:avLst/>
                    </a:prstGeom>
                    <a:noFill/>
                    <a:ln>
                      <a:noFill/>
                    </a:ln>
                  </pic:spPr>
                </pic:pic>
              </a:graphicData>
            </a:graphic>
          </wp:inline>
        </w:drawing>
      </w:r>
    </w:p>
    <w:p w14:paraId="2F460904" w14:textId="77777777" w:rsidR="00515093" w:rsidRPr="00515093" w:rsidRDefault="00515093" w:rsidP="00515093">
      <w:pPr>
        <w:keepNext/>
        <w:spacing w:before="0" w:after="60"/>
        <w:outlineLvl w:val="0"/>
        <w:rPr>
          <w:rFonts w:cs="Arial"/>
          <w:b/>
          <w:bCs/>
          <w:kern w:val="32"/>
          <w:sz w:val="28"/>
          <w:szCs w:val="32"/>
        </w:rPr>
      </w:pPr>
    </w:p>
    <w:p w14:paraId="2CD4A5B6" w14:textId="77777777" w:rsidR="00515093" w:rsidRPr="00EA0C0C" w:rsidRDefault="00676F2E" w:rsidP="00515093">
      <w:pPr>
        <w:keepNext/>
        <w:spacing w:before="0" w:after="60"/>
        <w:outlineLvl w:val="0"/>
        <w:rPr>
          <w:rFonts w:cs="Arial"/>
          <w:b/>
          <w:bCs/>
          <w:kern w:val="32"/>
          <w:sz w:val="28"/>
          <w:szCs w:val="32"/>
        </w:rPr>
      </w:pPr>
      <w:r>
        <w:rPr>
          <w:rFonts w:cs="Arial"/>
          <w:b/>
          <w:bCs/>
          <w:kern w:val="32"/>
          <w:sz w:val="28"/>
          <w:szCs w:val="32"/>
        </w:rPr>
        <w:t>Yorkshire I</w:t>
      </w:r>
      <w:r w:rsidR="00EA0C0C">
        <w:rPr>
          <w:rFonts w:cs="Arial"/>
          <w:b/>
          <w:bCs/>
          <w:kern w:val="32"/>
          <w:sz w:val="28"/>
          <w:szCs w:val="32"/>
        </w:rPr>
        <w:t>n</w:t>
      </w:r>
      <w:r>
        <w:rPr>
          <w:rFonts w:cs="Arial"/>
          <w:b/>
          <w:bCs/>
          <w:kern w:val="32"/>
          <w:sz w:val="28"/>
          <w:szCs w:val="32"/>
        </w:rPr>
        <w:t>novation Fund Small Innovation P</w:t>
      </w:r>
      <w:r w:rsidR="00EA0C0C">
        <w:rPr>
          <w:rFonts w:cs="Arial"/>
          <w:b/>
          <w:bCs/>
          <w:kern w:val="32"/>
          <w:sz w:val="28"/>
          <w:szCs w:val="32"/>
        </w:rPr>
        <w:t xml:space="preserve">roject – Eco Home Prototype </w:t>
      </w:r>
      <w:r w:rsidR="00515093">
        <w:rPr>
          <w:rFonts w:cs="Arial"/>
          <w:b/>
          <w:bCs/>
          <w:kern w:val="32"/>
          <w:sz w:val="28"/>
          <w:szCs w:val="32"/>
        </w:rPr>
        <w:t>Report</w:t>
      </w:r>
    </w:p>
    <w:p w14:paraId="74E606FD" w14:textId="77777777" w:rsidR="00515093" w:rsidRPr="00515093" w:rsidRDefault="00515093" w:rsidP="00515093">
      <w:pPr>
        <w:keepNext/>
        <w:spacing w:before="0" w:after="60"/>
        <w:outlineLvl w:val="0"/>
        <w:rPr>
          <w:rFonts w:cs="Arial"/>
          <w:b/>
          <w:bCs/>
          <w:kern w:val="32"/>
          <w:sz w:val="28"/>
          <w:szCs w:val="32"/>
        </w:rPr>
      </w:pPr>
    </w:p>
    <w:p w14:paraId="366888AD" w14:textId="6B9F00D7" w:rsidR="00971D12" w:rsidRDefault="00971D12" w:rsidP="00971D12">
      <w:pPr>
        <w:keepNext/>
        <w:spacing w:after="60"/>
        <w:outlineLvl w:val="0"/>
        <w:rPr>
          <w:rFonts w:cs="Arial"/>
          <w:bCs/>
          <w:kern w:val="32"/>
          <w:sz w:val="24"/>
          <w:szCs w:val="32"/>
        </w:rPr>
      </w:pPr>
      <w:r>
        <w:rPr>
          <w:rFonts w:cs="Arial"/>
          <w:bCs/>
          <w:kern w:val="32"/>
          <w:sz w:val="24"/>
          <w:szCs w:val="32"/>
        </w:rPr>
        <w:t>Professor</w:t>
      </w:r>
      <w:r w:rsidRPr="00515093">
        <w:rPr>
          <w:rFonts w:cs="Arial"/>
          <w:bCs/>
          <w:kern w:val="32"/>
          <w:sz w:val="24"/>
          <w:szCs w:val="32"/>
        </w:rPr>
        <w:t xml:space="preserve"> David Johnston,</w:t>
      </w:r>
      <w:r w:rsidR="00867670">
        <w:rPr>
          <w:rFonts w:cs="Arial"/>
          <w:bCs/>
          <w:kern w:val="32"/>
          <w:sz w:val="24"/>
          <w:szCs w:val="32"/>
        </w:rPr>
        <w:t xml:space="preserve"> Centre for the Built Environmen</w:t>
      </w:r>
      <w:r w:rsidRPr="00515093">
        <w:rPr>
          <w:rFonts w:cs="Arial"/>
          <w:bCs/>
          <w:kern w:val="32"/>
          <w:sz w:val="24"/>
          <w:szCs w:val="32"/>
        </w:rPr>
        <w:t>t</w:t>
      </w:r>
      <w:r>
        <w:rPr>
          <w:rFonts w:cs="Arial"/>
          <w:bCs/>
          <w:kern w:val="32"/>
          <w:sz w:val="24"/>
          <w:szCs w:val="32"/>
        </w:rPr>
        <w:t xml:space="preserve"> (</w:t>
      </w:r>
      <w:proofErr w:type="spellStart"/>
      <w:r>
        <w:rPr>
          <w:rFonts w:cs="Arial"/>
          <w:bCs/>
          <w:kern w:val="32"/>
          <w:sz w:val="24"/>
          <w:szCs w:val="32"/>
        </w:rPr>
        <w:t>CeBE</w:t>
      </w:r>
      <w:proofErr w:type="spellEnd"/>
      <w:r>
        <w:rPr>
          <w:rFonts w:cs="Arial"/>
          <w:bCs/>
          <w:kern w:val="32"/>
          <w:sz w:val="24"/>
          <w:szCs w:val="32"/>
        </w:rPr>
        <w:t>) Group</w:t>
      </w:r>
      <w:r w:rsidRPr="00515093">
        <w:rPr>
          <w:rFonts w:cs="Arial"/>
          <w:bCs/>
          <w:kern w:val="32"/>
          <w:sz w:val="24"/>
          <w:szCs w:val="32"/>
        </w:rPr>
        <w:t xml:space="preserve">, Leeds </w:t>
      </w:r>
      <w:r>
        <w:rPr>
          <w:rFonts w:cs="Arial"/>
          <w:bCs/>
          <w:kern w:val="32"/>
          <w:sz w:val="24"/>
          <w:szCs w:val="32"/>
        </w:rPr>
        <w:t>Beckett</w:t>
      </w:r>
      <w:r w:rsidRPr="00515093">
        <w:rPr>
          <w:rFonts w:cs="Arial"/>
          <w:bCs/>
          <w:kern w:val="32"/>
          <w:sz w:val="24"/>
          <w:szCs w:val="32"/>
        </w:rPr>
        <w:t xml:space="preserve"> University</w:t>
      </w:r>
    </w:p>
    <w:p w14:paraId="37A709E0" w14:textId="77777777" w:rsidR="008F7338" w:rsidRDefault="00EA0C0C" w:rsidP="008F7338">
      <w:pPr>
        <w:keepNext/>
        <w:spacing w:after="60"/>
        <w:outlineLvl w:val="0"/>
        <w:rPr>
          <w:rFonts w:cs="Arial"/>
          <w:bCs/>
          <w:kern w:val="32"/>
          <w:sz w:val="24"/>
          <w:szCs w:val="32"/>
        </w:rPr>
      </w:pPr>
      <w:r>
        <w:rPr>
          <w:rFonts w:cs="Arial"/>
          <w:bCs/>
          <w:kern w:val="32"/>
          <w:sz w:val="24"/>
          <w:szCs w:val="32"/>
        </w:rPr>
        <w:t>Dr Jim Parker</w:t>
      </w:r>
      <w:r w:rsidR="00515093" w:rsidRPr="00515093">
        <w:rPr>
          <w:rFonts w:cs="Arial"/>
          <w:bCs/>
          <w:kern w:val="32"/>
          <w:sz w:val="24"/>
          <w:szCs w:val="32"/>
        </w:rPr>
        <w:t>, Centre for the Built</w:t>
      </w:r>
      <w:r w:rsidR="00933F66">
        <w:rPr>
          <w:rFonts w:cs="Arial"/>
          <w:bCs/>
          <w:kern w:val="32"/>
          <w:sz w:val="24"/>
          <w:szCs w:val="32"/>
        </w:rPr>
        <w:t xml:space="preserve"> Environment</w:t>
      </w:r>
      <w:r>
        <w:rPr>
          <w:rFonts w:cs="Arial"/>
          <w:bCs/>
          <w:kern w:val="32"/>
          <w:sz w:val="24"/>
          <w:szCs w:val="32"/>
        </w:rPr>
        <w:t xml:space="preserve"> </w:t>
      </w:r>
      <w:r w:rsidR="00E23785" w:rsidRPr="00E23785">
        <w:rPr>
          <w:rFonts w:cs="Arial"/>
          <w:bCs/>
          <w:kern w:val="32"/>
          <w:sz w:val="24"/>
          <w:szCs w:val="32"/>
        </w:rPr>
        <w:t>(</w:t>
      </w:r>
      <w:proofErr w:type="spellStart"/>
      <w:r w:rsidR="00E23785" w:rsidRPr="00E23785">
        <w:rPr>
          <w:rFonts w:cs="Arial"/>
          <w:bCs/>
          <w:kern w:val="32"/>
          <w:sz w:val="24"/>
          <w:szCs w:val="32"/>
        </w:rPr>
        <w:t>CeBE</w:t>
      </w:r>
      <w:proofErr w:type="spellEnd"/>
      <w:r w:rsidR="00E23785" w:rsidRPr="00E23785">
        <w:rPr>
          <w:rFonts w:cs="Arial"/>
          <w:bCs/>
          <w:kern w:val="32"/>
          <w:sz w:val="24"/>
          <w:szCs w:val="32"/>
        </w:rPr>
        <w:t xml:space="preserve">) </w:t>
      </w:r>
      <w:r>
        <w:rPr>
          <w:rFonts w:cs="Arial"/>
          <w:bCs/>
          <w:kern w:val="32"/>
          <w:sz w:val="24"/>
          <w:szCs w:val="32"/>
        </w:rPr>
        <w:t>Group</w:t>
      </w:r>
      <w:r w:rsidR="00933F66">
        <w:rPr>
          <w:rFonts w:cs="Arial"/>
          <w:bCs/>
          <w:kern w:val="32"/>
          <w:sz w:val="24"/>
          <w:szCs w:val="32"/>
        </w:rPr>
        <w:t>, Leeds Beckett</w:t>
      </w:r>
      <w:r w:rsidR="00515093" w:rsidRPr="00515093">
        <w:rPr>
          <w:rFonts w:cs="Arial"/>
          <w:bCs/>
          <w:kern w:val="32"/>
          <w:sz w:val="24"/>
          <w:szCs w:val="32"/>
        </w:rPr>
        <w:t xml:space="preserve"> University</w:t>
      </w:r>
    </w:p>
    <w:p w14:paraId="1E32BADB" w14:textId="77777777" w:rsidR="008F7338" w:rsidRPr="00515093" w:rsidRDefault="008F7338" w:rsidP="008F7338">
      <w:pPr>
        <w:keepNext/>
        <w:spacing w:after="60"/>
        <w:outlineLvl w:val="0"/>
        <w:rPr>
          <w:rFonts w:cs="Arial"/>
          <w:bCs/>
          <w:kern w:val="32"/>
          <w:sz w:val="24"/>
          <w:szCs w:val="32"/>
        </w:rPr>
      </w:pPr>
      <w:r>
        <w:rPr>
          <w:rFonts w:cs="Arial"/>
          <w:bCs/>
          <w:kern w:val="32"/>
          <w:sz w:val="24"/>
          <w:szCs w:val="32"/>
        </w:rPr>
        <w:t>Matthew Brooke-Peat</w:t>
      </w:r>
      <w:r w:rsidRPr="00EA0C0C">
        <w:rPr>
          <w:rFonts w:cs="Arial"/>
          <w:bCs/>
          <w:kern w:val="32"/>
          <w:sz w:val="24"/>
          <w:szCs w:val="32"/>
        </w:rPr>
        <w:t xml:space="preserve">, Centre for the Built Environment </w:t>
      </w:r>
      <w:r w:rsidRPr="00E23785">
        <w:rPr>
          <w:rFonts w:cs="Arial"/>
          <w:bCs/>
          <w:kern w:val="32"/>
          <w:sz w:val="24"/>
          <w:szCs w:val="32"/>
        </w:rPr>
        <w:t>(</w:t>
      </w:r>
      <w:proofErr w:type="spellStart"/>
      <w:r w:rsidRPr="00E23785">
        <w:rPr>
          <w:rFonts w:cs="Arial"/>
          <w:bCs/>
          <w:kern w:val="32"/>
          <w:sz w:val="24"/>
          <w:szCs w:val="32"/>
        </w:rPr>
        <w:t>CeBE</w:t>
      </w:r>
      <w:proofErr w:type="spellEnd"/>
      <w:r w:rsidRPr="00E23785">
        <w:rPr>
          <w:rFonts w:cs="Arial"/>
          <w:bCs/>
          <w:kern w:val="32"/>
          <w:sz w:val="24"/>
          <w:szCs w:val="32"/>
        </w:rPr>
        <w:t xml:space="preserve">) </w:t>
      </w:r>
      <w:r w:rsidRPr="00EA0C0C">
        <w:rPr>
          <w:rFonts w:cs="Arial"/>
          <w:bCs/>
          <w:kern w:val="32"/>
          <w:sz w:val="24"/>
          <w:szCs w:val="32"/>
        </w:rPr>
        <w:t>Group, Leeds Beckett University</w:t>
      </w:r>
    </w:p>
    <w:p w14:paraId="2ED13F88" w14:textId="77777777" w:rsidR="008F7338" w:rsidRPr="008F7338" w:rsidRDefault="008F7338" w:rsidP="008F7338">
      <w:pPr>
        <w:keepNext/>
        <w:spacing w:after="60"/>
        <w:outlineLvl w:val="0"/>
        <w:rPr>
          <w:rFonts w:cs="Arial"/>
          <w:bCs/>
          <w:kern w:val="32"/>
          <w:sz w:val="24"/>
          <w:szCs w:val="32"/>
        </w:rPr>
      </w:pPr>
    </w:p>
    <w:p w14:paraId="2C7F2178" w14:textId="77777777" w:rsidR="00515093" w:rsidRPr="00515093" w:rsidRDefault="0004763F" w:rsidP="00515093">
      <w:pPr>
        <w:keepNext/>
        <w:spacing w:after="60"/>
        <w:outlineLvl w:val="0"/>
        <w:rPr>
          <w:rFonts w:cs="Arial"/>
          <w:bCs/>
          <w:kern w:val="32"/>
          <w:sz w:val="24"/>
          <w:szCs w:val="32"/>
        </w:rPr>
      </w:pPr>
      <w:r>
        <w:rPr>
          <w:rFonts w:cs="Arial"/>
          <w:bCs/>
          <w:kern w:val="32"/>
          <w:sz w:val="24"/>
          <w:szCs w:val="32"/>
        </w:rPr>
        <w:t>June</w:t>
      </w:r>
      <w:r w:rsidR="0078702A">
        <w:rPr>
          <w:rFonts w:cs="Arial"/>
          <w:bCs/>
          <w:kern w:val="32"/>
          <w:sz w:val="24"/>
          <w:szCs w:val="32"/>
        </w:rPr>
        <w:t xml:space="preserve"> 2015</w:t>
      </w:r>
    </w:p>
    <w:p w14:paraId="2433C300" w14:textId="77777777" w:rsidR="00515093" w:rsidRPr="00515093" w:rsidRDefault="00515093" w:rsidP="00515093"/>
    <w:p w14:paraId="70CC98A2" w14:textId="77777777" w:rsidR="00EA0C0C" w:rsidRDefault="00676F2E" w:rsidP="00E23785">
      <w:pPr>
        <w:jc w:val="center"/>
      </w:pPr>
      <w:r w:rsidRPr="00D00D66">
        <w:rPr>
          <w:noProof/>
          <w:lang w:eastAsia="en-GB"/>
        </w:rPr>
        <w:drawing>
          <wp:inline distT="0" distB="0" distL="0" distR="0" wp14:anchorId="36D7A2C7" wp14:editId="098C7FEB">
            <wp:extent cx="5940425" cy="3343275"/>
            <wp:effectExtent l="0" t="0" r="3175" b="9525"/>
            <wp:docPr id="1" name="Picture 1" descr="C:\Users\johnst04\AppData\Local\Microsoft\Windows\Temporary Internet Files\Content.Outlook\8L2M13H2\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hnst04\AppData\Local\Microsoft\Windows\Temporary Internet Files\Content.Outlook\8L2M13H2\sidevie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3275"/>
                    </a:xfrm>
                    <a:prstGeom prst="rect">
                      <a:avLst/>
                    </a:prstGeom>
                    <a:noFill/>
                    <a:ln>
                      <a:noFill/>
                    </a:ln>
                  </pic:spPr>
                </pic:pic>
              </a:graphicData>
            </a:graphic>
          </wp:inline>
        </w:drawing>
      </w:r>
    </w:p>
    <w:p w14:paraId="7408838C" w14:textId="77777777" w:rsidR="00676F2E" w:rsidRDefault="00676F2E" w:rsidP="00E23785">
      <w:pPr>
        <w:jc w:val="center"/>
      </w:pPr>
    </w:p>
    <w:p w14:paraId="05AB8614" w14:textId="77777777" w:rsidR="00D91379" w:rsidRPr="00317CE8" w:rsidRDefault="00D91379" w:rsidP="00D91379">
      <w:pPr>
        <w:pStyle w:val="TOC1"/>
        <w:tabs>
          <w:tab w:val="right" w:leader="dot" w:pos="9345"/>
        </w:tabs>
        <w:rPr>
          <w:b/>
        </w:rPr>
      </w:pPr>
      <w:r w:rsidRPr="00317CE8">
        <w:rPr>
          <w:b/>
        </w:rPr>
        <w:lastRenderedPageBreak/>
        <w:t>TABLE OF CONTENTS</w:t>
      </w:r>
    </w:p>
    <w:p w14:paraId="29152999" w14:textId="77777777" w:rsidR="00610A82" w:rsidRDefault="00D91379">
      <w:pPr>
        <w:pStyle w:val="TOC1"/>
        <w:tabs>
          <w:tab w:val="right" w:leader="dot" w:pos="9345"/>
        </w:tabs>
        <w:rPr>
          <w:rFonts w:asciiTheme="minorHAnsi" w:eastAsiaTheme="minorEastAsia" w:hAnsiTheme="minorHAnsi" w:cstheme="minorBidi"/>
          <w:noProof/>
          <w:sz w:val="22"/>
          <w:szCs w:val="22"/>
          <w:lang w:eastAsia="en-GB"/>
        </w:rPr>
      </w:pPr>
      <w:r w:rsidRPr="00317CE8">
        <w:fldChar w:fldCharType="begin"/>
      </w:r>
      <w:r w:rsidRPr="00317CE8">
        <w:instrText xml:space="preserve"> TOC \o "2-2" \t "Heading 1,1" </w:instrText>
      </w:r>
      <w:r w:rsidRPr="00317CE8">
        <w:fldChar w:fldCharType="separate"/>
      </w:r>
      <w:r w:rsidR="00610A82">
        <w:rPr>
          <w:noProof/>
        </w:rPr>
        <w:t>Introduction</w:t>
      </w:r>
      <w:r w:rsidR="00610A82">
        <w:rPr>
          <w:noProof/>
        </w:rPr>
        <w:tab/>
      </w:r>
      <w:r w:rsidR="00610A82">
        <w:rPr>
          <w:noProof/>
        </w:rPr>
        <w:fldChar w:fldCharType="begin"/>
      </w:r>
      <w:r w:rsidR="00610A82">
        <w:rPr>
          <w:noProof/>
        </w:rPr>
        <w:instrText xml:space="preserve"> PAGEREF _Toc422493074 \h </w:instrText>
      </w:r>
      <w:r w:rsidR="00610A82">
        <w:rPr>
          <w:noProof/>
        </w:rPr>
      </w:r>
      <w:r w:rsidR="00610A82">
        <w:rPr>
          <w:noProof/>
        </w:rPr>
        <w:fldChar w:fldCharType="separate"/>
      </w:r>
      <w:r w:rsidR="00610A82">
        <w:rPr>
          <w:noProof/>
        </w:rPr>
        <w:t>3</w:t>
      </w:r>
      <w:r w:rsidR="00610A82">
        <w:rPr>
          <w:noProof/>
        </w:rPr>
        <w:fldChar w:fldCharType="end"/>
      </w:r>
    </w:p>
    <w:p w14:paraId="2BE9A60E" w14:textId="77777777" w:rsidR="00610A82" w:rsidRDefault="00610A82">
      <w:pPr>
        <w:pStyle w:val="TOC2"/>
        <w:tabs>
          <w:tab w:val="right" w:leader="dot" w:pos="9345"/>
        </w:tabs>
        <w:rPr>
          <w:rFonts w:asciiTheme="minorHAnsi" w:eastAsiaTheme="minorEastAsia" w:hAnsiTheme="minorHAnsi" w:cstheme="minorBidi"/>
          <w:noProof/>
          <w:sz w:val="22"/>
          <w:szCs w:val="22"/>
          <w:lang w:eastAsia="en-GB"/>
        </w:rPr>
      </w:pPr>
      <w:r>
        <w:rPr>
          <w:noProof/>
        </w:rPr>
        <w:t>Test method</w:t>
      </w:r>
      <w:r>
        <w:rPr>
          <w:noProof/>
        </w:rPr>
        <w:tab/>
      </w:r>
      <w:r>
        <w:rPr>
          <w:noProof/>
        </w:rPr>
        <w:fldChar w:fldCharType="begin"/>
      </w:r>
      <w:r>
        <w:rPr>
          <w:noProof/>
        </w:rPr>
        <w:instrText xml:space="preserve"> PAGEREF _Toc422493075 \h </w:instrText>
      </w:r>
      <w:r>
        <w:rPr>
          <w:noProof/>
        </w:rPr>
      </w:r>
      <w:r>
        <w:rPr>
          <w:noProof/>
        </w:rPr>
        <w:fldChar w:fldCharType="separate"/>
      </w:r>
      <w:r>
        <w:rPr>
          <w:noProof/>
        </w:rPr>
        <w:t>6</w:t>
      </w:r>
      <w:r>
        <w:rPr>
          <w:noProof/>
        </w:rPr>
        <w:fldChar w:fldCharType="end"/>
      </w:r>
    </w:p>
    <w:p w14:paraId="3D9427E6" w14:textId="77777777" w:rsidR="00610A82" w:rsidRDefault="00610A82">
      <w:pPr>
        <w:pStyle w:val="TOC2"/>
        <w:tabs>
          <w:tab w:val="right" w:leader="dot" w:pos="9345"/>
        </w:tabs>
        <w:rPr>
          <w:rFonts w:asciiTheme="minorHAnsi" w:eastAsiaTheme="minorEastAsia" w:hAnsiTheme="minorHAnsi" w:cstheme="minorBidi"/>
          <w:noProof/>
          <w:sz w:val="22"/>
          <w:szCs w:val="22"/>
          <w:lang w:eastAsia="en-GB"/>
        </w:rPr>
      </w:pPr>
      <w:r>
        <w:rPr>
          <w:noProof/>
        </w:rPr>
        <w:t>Limitations</w:t>
      </w:r>
      <w:r>
        <w:rPr>
          <w:noProof/>
        </w:rPr>
        <w:tab/>
      </w:r>
      <w:r>
        <w:rPr>
          <w:noProof/>
        </w:rPr>
        <w:fldChar w:fldCharType="begin"/>
      </w:r>
      <w:r>
        <w:rPr>
          <w:noProof/>
        </w:rPr>
        <w:instrText xml:space="preserve"> PAGEREF _Toc422493076 \h </w:instrText>
      </w:r>
      <w:r>
        <w:rPr>
          <w:noProof/>
        </w:rPr>
      </w:r>
      <w:r>
        <w:rPr>
          <w:noProof/>
        </w:rPr>
        <w:fldChar w:fldCharType="separate"/>
      </w:r>
      <w:r>
        <w:rPr>
          <w:noProof/>
        </w:rPr>
        <w:t>7</w:t>
      </w:r>
      <w:r>
        <w:rPr>
          <w:noProof/>
        </w:rPr>
        <w:fldChar w:fldCharType="end"/>
      </w:r>
    </w:p>
    <w:p w14:paraId="77CB80F6" w14:textId="77777777" w:rsidR="00610A82" w:rsidRDefault="00610A82">
      <w:pPr>
        <w:pStyle w:val="TOC2"/>
        <w:tabs>
          <w:tab w:val="right" w:leader="dot" w:pos="9345"/>
        </w:tabs>
        <w:rPr>
          <w:rFonts w:asciiTheme="minorHAnsi" w:eastAsiaTheme="minorEastAsia" w:hAnsiTheme="minorHAnsi" w:cstheme="minorBidi"/>
          <w:noProof/>
          <w:sz w:val="22"/>
          <w:szCs w:val="22"/>
          <w:lang w:eastAsia="en-GB"/>
        </w:rPr>
      </w:pPr>
      <w:r>
        <w:rPr>
          <w:noProof/>
        </w:rPr>
        <w:t>Results</w:t>
      </w:r>
      <w:r>
        <w:rPr>
          <w:noProof/>
        </w:rPr>
        <w:tab/>
      </w:r>
      <w:r>
        <w:rPr>
          <w:noProof/>
        </w:rPr>
        <w:fldChar w:fldCharType="begin"/>
      </w:r>
      <w:r>
        <w:rPr>
          <w:noProof/>
        </w:rPr>
        <w:instrText xml:space="preserve"> PAGEREF _Toc422493077 \h </w:instrText>
      </w:r>
      <w:r>
        <w:rPr>
          <w:noProof/>
        </w:rPr>
      </w:r>
      <w:r>
        <w:rPr>
          <w:noProof/>
        </w:rPr>
        <w:fldChar w:fldCharType="separate"/>
      </w:r>
      <w:r>
        <w:rPr>
          <w:noProof/>
        </w:rPr>
        <w:t>7</w:t>
      </w:r>
      <w:r>
        <w:rPr>
          <w:noProof/>
        </w:rPr>
        <w:fldChar w:fldCharType="end"/>
      </w:r>
    </w:p>
    <w:p w14:paraId="551F5879" w14:textId="77777777" w:rsidR="00610A82" w:rsidRDefault="00610A82">
      <w:pPr>
        <w:pStyle w:val="TOC1"/>
        <w:tabs>
          <w:tab w:val="right" w:leader="dot" w:pos="9345"/>
        </w:tabs>
        <w:rPr>
          <w:rFonts w:asciiTheme="minorHAnsi" w:eastAsiaTheme="minorEastAsia" w:hAnsiTheme="minorHAnsi" w:cstheme="minorBidi"/>
          <w:noProof/>
          <w:sz w:val="22"/>
          <w:szCs w:val="22"/>
          <w:lang w:eastAsia="en-GB"/>
        </w:rPr>
      </w:pPr>
      <w:r>
        <w:rPr>
          <w:noProof/>
          <w:lang w:eastAsia="en-GB"/>
        </w:rPr>
        <w:t>Dynamic thermal simulations</w:t>
      </w:r>
      <w:r>
        <w:rPr>
          <w:noProof/>
        </w:rPr>
        <w:tab/>
      </w:r>
      <w:r>
        <w:rPr>
          <w:noProof/>
        </w:rPr>
        <w:fldChar w:fldCharType="begin"/>
      </w:r>
      <w:r>
        <w:rPr>
          <w:noProof/>
        </w:rPr>
        <w:instrText xml:space="preserve"> PAGEREF _Toc422493078 \h </w:instrText>
      </w:r>
      <w:r>
        <w:rPr>
          <w:noProof/>
        </w:rPr>
      </w:r>
      <w:r>
        <w:rPr>
          <w:noProof/>
        </w:rPr>
        <w:fldChar w:fldCharType="separate"/>
      </w:r>
      <w:r>
        <w:rPr>
          <w:noProof/>
        </w:rPr>
        <w:t>8</w:t>
      </w:r>
      <w:r>
        <w:rPr>
          <w:noProof/>
        </w:rPr>
        <w:fldChar w:fldCharType="end"/>
      </w:r>
    </w:p>
    <w:p w14:paraId="2E920495" w14:textId="77777777" w:rsidR="00610A82" w:rsidRDefault="00610A82">
      <w:pPr>
        <w:pStyle w:val="TOC2"/>
        <w:tabs>
          <w:tab w:val="right" w:leader="dot" w:pos="9345"/>
        </w:tabs>
        <w:rPr>
          <w:rFonts w:asciiTheme="minorHAnsi" w:eastAsiaTheme="minorEastAsia" w:hAnsiTheme="minorHAnsi" w:cstheme="minorBidi"/>
          <w:noProof/>
          <w:sz w:val="22"/>
          <w:szCs w:val="22"/>
          <w:lang w:eastAsia="en-GB"/>
        </w:rPr>
      </w:pPr>
      <w:r>
        <w:rPr>
          <w:noProof/>
        </w:rPr>
        <w:t>Test method</w:t>
      </w:r>
      <w:r>
        <w:rPr>
          <w:noProof/>
        </w:rPr>
        <w:tab/>
      </w:r>
      <w:r>
        <w:rPr>
          <w:noProof/>
        </w:rPr>
        <w:fldChar w:fldCharType="begin"/>
      </w:r>
      <w:r>
        <w:rPr>
          <w:noProof/>
        </w:rPr>
        <w:instrText xml:space="preserve"> PAGEREF _Toc422493079 \h </w:instrText>
      </w:r>
      <w:r>
        <w:rPr>
          <w:noProof/>
        </w:rPr>
      </w:r>
      <w:r>
        <w:rPr>
          <w:noProof/>
        </w:rPr>
        <w:fldChar w:fldCharType="separate"/>
      </w:r>
      <w:r>
        <w:rPr>
          <w:noProof/>
        </w:rPr>
        <w:t>9</w:t>
      </w:r>
      <w:r>
        <w:rPr>
          <w:noProof/>
        </w:rPr>
        <w:fldChar w:fldCharType="end"/>
      </w:r>
    </w:p>
    <w:p w14:paraId="32C68DD0" w14:textId="77777777" w:rsidR="00610A82" w:rsidRDefault="00610A82">
      <w:pPr>
        <w:pStyle w:val="TOC2"/>
        <w:tabs>
          <w:tab w:val="right" w:leader="dot" w:pos="9345"/>
        </w:tabs>
        <w:rPr>
          <w:rFonts w:asciiTheme="minorHAnsi" w:eastAsiaTheme="minorEastAsia" w:hAnsiTheme="minorHAnsi" w:cstheme="minorBidi"/>
          <w:noProof/>
          <w:sz w:val="22"/>
          <w:szCs w:val="22"/>
          <w:lang w:eastAsia="en-GB"/>
        </w:rPr>
      </w:pPr>
      <w:r>
        <w:rPr>
          <w:noProof/>
        </w:rPr>
        <w:t>Limitations</w:t>
      </w:r>
      <w:r>
        <w:rPr>
          <w:noProof/>
        </w:rPr>
        <w:tab/>
      </w:r>
      <w:r>
        <w:rPr>
          <w:noProof/>
        </w:rPr>
        <w:fldChar w:fldCharType="begin"/>
      </w:r>
      <w:r>
        <w:rPr>
          <w:noProof/>
        </w:rPr>
        <w:instrText xml:space="preserve"> PAGEREF _Toc422493080 \h </w:instrText>
      </w:r>
      <w:r>
        <w:rPr>
          <w:noProof/>
        </w:rPr>
      </w:r>
      <w:r>
        <w:rPr>
          <w:noProof/>
        </w:rPr>
        <w:fldChar w:fldCharType="separate"/>
      </w:r>
      <w:r>
        <w:rPr>
          <w:noProof/>
        </w:rPr>
        <w:t>12</w:t>
      </w:r>
      <w:r>
        <w:rPr>
          <w:noProof/>
        </w:rPr>
        <w:fldChar w:fldCharType="end"/>
      </w:r>
    </w:p>
    <w:p w14:paraId="063B3B8F" w14:textId="77777777" w:rsidR="00610A82" w:rsidRDefault="00610A82">
      <w:pPr>
        <w:pStyle w:val="TOC2"/>
        <w:tabs>
          <w:tab w:val="right" w:leader="dot" w:pos="9345"/>
        </w:tabs>
        <w:rPr>
          <w:rFonts w:asciiTheme="minorHAnsi" w:eastAsiaTheme="minorEastAsia" w:hAnsiTheme="minorHAnsi" w:cstheme="minorBidi"/>
          <w:noProof/>
          <w:sz w:val="22"/>
          <w:szCs w:val="22"/>
          <w:lang w:eastAsia="en-GB"/>
        </w:rPr>
      </w:pPr>
      <w:r>
        <w:rPr>
          <w:noProof/>
        </w:rPr>
        <w:t>Results</w:t>
      </w:r>
      <w:r>
        <w:rPr>
          <w:noProof/>
        </w:rPr>
        <w:tab/>
      </w:r>
      <w:r>
        <w:rPr>
          <w:noProof/>
        </w:rPr>
        <w:fldChar w:fldCharType="begin"/>
      </w:r>
      <w:r>
        <w:rPr>
          <w:noProof/>
        </w:rPr>
        <w:instrText xml:space="preserve"> PAGEREF _Toc422493081 \h </w:instrText>
      </w:r>
      <w:r>
        <w:rPr>
          <w:noProof/>
        </w:rPr>
      </w:r>
      <w:r>
        <w:rPr>
          <w:noProof/>
        </w:rPr>
        <w:fldChar w:fldCharType="separate"/>
      </w:r>
      <w:r>
        <w:rPr>
          <w:noProof/>
        </w:rPr>
        <w:t>13</w:t>
      </w:r>
      <w:r>
        <w:rPr>
          <w:noProof/>
        </w:rPr>
        <w:fldChar w:fldCharType="end"/>
      </w:r>
    </w:p>
    <w:p w14:paraId="29688C02" w14:textId="77777777" w:rsidR="00610A82" w:rsidRDefault="00610A82">
      <w:pPr>
        <w:pStyle w:val="TOC1"/>
        <w:tabs>
          <w:tab w:val="right" w:leader="dot" w:pos="9345"/>
        </w:tabs>
        <w:rPr>
          <w:rFonts w:asciiTheme="minorHAnsi" w:eastAsiaTheme="minorEastAsia" w:hAnsiTheme="minorHAnsi" w:cstheme="minorBidi"/>
          <w:noProof/>
          <w:sz w:val="22"/>
          <w:szCs w:val="22"/>
          <w:lang w:eastAsia="en-GB"/>
        </w:rPr>
      </w:pPr>
      <w:r>
        <w:rPr>
          <w:noProof/>
        </w:rPr>
        <w:t>Conclusions and recommendations</w:t>
      </w:r>
      <w:bookmarkStart w:id="1" w:name="_GoBack"/>
      <w:bookmarkEnd w:id="1"/>
      <w:r>
        <w:rPr>
          <w:noProof/>
        </w:rPr>
        <w:tab/>
      </w:r>
      <w:r>
        <w:rPr>
          <w:noProof/>
        </w:rPr>
        <w:fldChar w:fldCharType="begin"/>
      </w:r>
      <w:r>
        <w:rPr>
          <w:noProof/>
        </w:rPr>
        <w:instrText xml:space="preserve"> PAGEREF _Toc422493082 \h </w:instrText>
      </w:r>
      <w:r>
        <w:rPr>
          <w:noProof/>
        </w:rPr>
      </w:r>
      <w:r>
        <w:rPr>
          <w:noProof/>
        </w:rPr>
        <w:fldChar w:fldCharType="separate"/>
      </w:r>
      <w:r>
        <w:rPr>
          <w:noProof/>
        </w:rPr>
        <w:t>29</w:t>
      </w:r>
      <w:r>
        <w:rPr>
          <w:noProof/>
        </w:rPr>
        <w:fldChar w:fldCharType="end"/>
      </w:r>
    </w:p>
    <w:p w14:paraId="2ACFDEE7" w14:textId="77777777" w:rsidR="00610A82" w:rsidRDefault="00610A82">
      <w:pPr>
        <w:pStyle w:val="TOC1"/>
        <w:tabs>
          <w:tab w:val="right" w:leader="dot" w:pos="9345"/>
        </w:tabs>
        <w:rPr>
          <w:rFonts w:asciiTheme="minorHAnsi" w:eastAsiaTheme="minorEastAsia" w:hAnsiTheme="minorHAnsi" w:cstheme="minorBidi"/>
          <w:noProof/>
          <w:sz w:val="22"/>
          <w:szCs w:val="22"/>
          <w:lang w:eastAsia="en-GB"/>
        </w:rPr>
      </w:pPr>
      <w:r>
        <w:rPr>
          <w:noProof/>
        </w:rPr>
        <w:t>References</w:t>
      </w:r>
      <w:r>
        <w:rPr>
          <w:noProof/>
        </w:rPr>
        <w:tab/>
      </w:r>
      <w:r>
        <w:rPr>
          <w:noProof/>
        </w:rPr>
        <w:fldChar w:fldCharType="begin"/>
      </w:r>
      <w:r>
        <w:rPr>
          <w:noProof/>
        </w:rPr>
        <w:instrText xml:space="preserve"> PAGEREF _Toc422493083 \h </w:instrText>
      </w:r>
      <w:r>
        <w:rPr>
          <w:noProof/>
        </w:rPr>
      </w:r>
      <w:r>
        <w:rPr>
          <w:noProof/>
        </w:rPr>
        <w:fldChar w:fldCharType="separate"/>
      </w:r>
      <w:r>
        <w:rPr>
          <w:noProof/>
        </w:rPr>
        <w:t>31</w:t>
      </w:r>
      <w:r>
        <w:rPr>
          <w:noProof/>
        </w:rPr>
        <w:fldChar w:fldCharType="end"/>
      </w:r>
    </w:p>
    <w:p w14:paraId="6697907F" w14:textId="77777777" w:rsidR="00D91379" w:rsidRDefault="00D91379" w:rsidP="0098024F">
      <w:pPr>
        <w:pStyle w:val="Heading1"/>
      </w:pPr>
      <w:r w:rsidRPr="00317CE8">
        <w:rPr>
          <w:rFonts w:cs="Times New Roman"/>
          <w:b w:val="0"/>
          <w:bCs w:val="0"/>
          <w:kern w:val="0"/>
          <w:sz w:val="20"/>
          <w:szCs w:val="20"/>
        </w:rPr>
        <w:fldChar w:fldCharType="end"/>
      </w:r>
    </w:p>
    <w:p w14:paraId="5F8F4634" w14:textId="77777777" w:rsidR="00D91379" w:rsidRDefault="001D2872" w:rsidP="001D2872">
      <w:pPr>
        <w:tabs>
          <w:tab w:val="center" w:pos="4677"/>
        </w:tabs>
        <w:spacing w:before="0" w:line="240" w:lineRule="auto"/>
        <w:rPr>
          <w:rFonts w:cs="Arial"/>
          <w:b/>
          <w:bCs/>
          <w:kern w:val="32"/>
          <w:sz w:val="28"/>
          <w:szCs w:val="32"/>
        </w:rPr>
      </w:pPr>
      <w:r>
        <w:tab/>
      </w:r>
    </w:p>
    <w:p w14:paraId="16853294" w14:textId="77777777" w:rsidR="001D2872" w:rsidRDefault="001D2872">
      <w:pPr>
        <w:spacing w:before="0" w:line="240" w:lineRule="auto"/>
        <w:rPr>
          <w:rFonts w:cs="Arial"/>
          <w:b/>
          <w:bCs/>
          <w:kern w:val="32"/>
          <w:sz w:val="28"/>
          <w:szCs w:val="32"/>
        </w:rPr>
      </w:pPr>
      <w:r>
        <w:br w:type="page"/>
      </w:r>
    </w:p>
    <w:p w14:paraId="768F1C3A" w14:textId="0C4FF14A" w:rsidR="00EA0C0C" w:rsidRPr="00347E7D" w:rsidRDefault="002C5AEE" w:rsidP="00971D12">
      <w:pPr>
        <w:pStyle w:val="Heading1"/>
      </w:pPr>
      <w:bookmarkStart w:id="2" w:name="_Toc422493074"/>
      <w:r>
        <w:lastRenderedPageBreak/>
        <w:t>Introduction</w:t>
      </w:r>
      <w:bookmarkEnd w:id="0"/>
      <w:bookmarkEnd w:id="2"/>
      <w:r w:rsidR="000C5134" w:rsidRPr="000C5134">
        <w:t xml:space="preserve"> </w:t>
      </w:r>
    </w:p>
    <w:p w14:paraId="3C46E9C9" w14:textId="241A9C7E" w:rsidR="00971D12" w:rsidRDefault="00971D12" w:rsidP="008F7338">
      <w:pPr>
        <w:pStyle w:val="NumPara"/>
        <w:rPr>
          <w:lang w:eastAsia="en-GB"/>
        </w:rPr>
      </w:pPr>
      <w:r>
        <w:rPr>
          <w:lang w:eastAsia="en-GB"/>
        </w:rPr>
        <w:t xml:space="preserve">This </w:t>
      </w:r>
      <w:r w:rsidRPr="00676F2E">
        <w:rPr>
          <w:lang w:eastAsia="en-GB"/>
        </w:rPr>
        <w:t xml:space="preserve">report presents the results of the thermal bridging calculations and dynamic thermal simulations that were undertaken to assess the thermal performance of a prototype Code for Sustainable </w:t>
      </w:r>
      <w:r>
        <w:rPr>
          <w:lang w:eastAsia="en-GB"/>
        </w:rPr>
        <w:t>Homes (CSH) Level 6 Eco home</w:t>
      </w:r>
      <w:r w:rsidRPr="00676F2E">
        <w:rPr>
          <w:lang w:eastAsia="en-GB"/>
        </w:rPr>
        <w:t xml:space="preserve"> that has been designed to have very high levels of building fabric thermal performance and very low energy demand. The calculations were undertaken by the Centre for the Built Environment (</w:t>
      </w:r>
      <w:proofErr w:type="spellStart"/>
      <w:r w:rsidRPr="00676F2E">
        <w:rPr>
          <w:lang w:eastAsia="en-GB"/>
        </w:rPr>
        <w:t>CeBE</w:t>
      </w:r>
      <w:proofErr w:type="spellEnd"/>
      <w:r w:rsidRPr="00676F2E">
        <w:rPr>
          <w:lang w:eastAsia="en-GB"/>
        </w:rPr>
        <w:t xml:space="preserve">) Group within the Leeds Sustainability Institute at Leeds </w:t>
      </w:r>
      <w:r>
        <w:rPr>
          <w:lang w:eastAsia="en-GB"/>
        </w:rPr>
        <w:t>Beckett</w:t>
      </w:r>
      <w:r w:rsidRPr="00676F2E">
        <w:rPr>
          <w:lang w:eastAsia="en-GB"/>
        </w:rPr>
        <w:t xml:space="preserve"> University as part of a collaborative project with the dwellings designer Walker Associates</w:t>
      </w:r>
      <w:r>
        <w:rPr>
          <w:lang w:eastAsia="en-GB"/>
        </w:rPr>
        <w:t xml:space="preserve">. </w:t>
      </w:r>
      <w:r w:rsidRPr="00676F2E">
        <w:rPr>
          <w:lang w:eastAsia="en-GB"/>
        </w:rPr>
        <w:t>The</w:t>
      </w:r>
      <w:r w:rsidRPr="00347E7D">
        <w:rPr>
          <w:lang w:eastAsia="en-GB"/>
        </w:rPr>
        <w:t xml:space="preserve"> project was supported by a Yorkshire Innovati</w:t>
      </w:r>
      <w:r>
        <w:rPr>
          <w:lang w:eastAsia="en-GB"/>
        </w:rPr>
        <w:t>on Fund (YIF) Small Innovation P</w:t>
      </w:r>
      <w:r w:rsidRPr="00347E7D">
        <w:rPr>
          <w:lang w:eastAsia="en-GB"/>
        </w:rPr>
        <w:t>roject (SIP) grant.</w:t>
      </w:r>
    </w:p>
    <w:p w14:paraId="6B3AD76D" w14:textId="072CDCE0" w:rsidR="008F7338" w:rsidRPr="008F7338" w:rsidRDefault="00416623" w:rsidP="008F7338">
      <w:pPr>
        <w:pStyle w:val="NumPara"/>
        <w:rPr>
          <w:lang w:eastAsia="en-GB"/>
        </w:rPr>
      </w:pPr>
      <w:r>
        <w:rPr>
          <w:lang w:eastAsia="en-GB"/>
        </w:rPr>
        <w:t xml:space="preserve">This project </w:t>
      </w:r>
      <w:r w:rsidR="007512EA">
        <w:rPr>
          <w:lang w:eastAsia="en-GB"/>
        </w:rPr>
        <w:t xml:space="preserve">builds on </w:t>
      </w:r>
      <w:r w:rsidR="00974C92">
        <w:rPr>
          <w:lang w:eastAsia="en-GB"/>
        </w:rPr>
        <w:t xml:space="preserve">some initial thermal bridging calculations and dynamic thermal simulation modelling </w:t>
      </w:r>
      <w:r w:rsidR="007512EA">
        <w:rPr>
          <w:lang w:eastAsia="en-GB"/>
        </w:rPr>
        <w:t xml:space="preserve">work </w:t>
      </w:r>
      <w:r w:rsidR="00974C92">
        <w:rPr>
          <w:lang w:eastAsia="en-GB"/>
        </w:rPr>
        <w:t xml:space="preserve">that was </w:t>
      </w:r>
      <w:r w:rsidR="007512EA">
        <w:rPr>
          <w:lang w:eastAsia="en-GB"/>
        </w:rPr>
        <w:t>previously undertaken as</w:t>
      </w:r>
      <w:r w:rsidR="007512EA" w:rsidRPr="007512EA">
        <w:t xml:space="preserve"> </w:t>
      </w:r>
      <w:r w:rsidR="00974C92">
        <w:t xml:space="preserve">part of </w:t>
      </w:r>
      <w:r w:rsidR="007512EA" w:rsidRPr="007512EA">
        <w:rPr>
          <w:lang w:eastAsia="en-GB"/>
        </w:rPr>
        <w:t>an Innovate UK Innovation Voucher</w:t>
      </w:r>
      <w:r w:rsidR="00974C92">
        <w:rPr>
          <w:lang w:eastAsia="en-GB"/>
        </w:rPr>
        <w:t xml:space="preserve"> (see </w:t>
      </w:r>
      <w:r w:rsidR="00325F08">
        <w:rPr>
          <w:lang w:eastAsia="en-GB"/>
        </w:rPr>
        <w:t>Johnston, Brooke-Peat and Parker</w:t>
      </w:r>
      <w:r w:rsidR="00974C92">
        <w:rPr>
          <w:lang w:eastAsia="en-GB"/>
        </w:rPr>
        <w:t>, 2015)</w:t>
      </w:r>
      <w:r w:rsidR="007512EA" w:rsidRPr="007512EA">
        <w:rPr>
          <w:lang w:eastAsia="en-GB"/>
        </w:rPr>
        <w:t>.</w:t>
      </w:r>
      <w:r w:rsidR="00974C92">
        <w:rPr>
          <w:lang w:eastAsia="en-GB"/>
        </w:rPr>
        <w:t xml:space="preserve"> </w:t>
      </w:r>
      <w:r w:rsidR="00BE5305">
        <w:rPr>
          <w:lang w:eastAsia="en-GB"/>
        </w:rPr>
        <w:t xml:space="preserve">The aim of the YIF Small Innovation Project </w:t>
      </w:r>
      <w:r w:rsidR="008F7338">
        <w:rPr>
          <w:lang w:eastAsia="en-GB"/>
        </w:rPr>
        <w:t xml:space="preserve">was to extend the thermal bridging work by enabling a small number of </w:t>
      </w:r>
      <w:r w:rsidR="008F7338" w:rsidRPr="008F7338">
        <w:rPr>
          <w:lang w:eastAsia="en-GB"/>
        </w:rPr>
        <w:t xml:space="preserve">alternative construction details </w:t>
      </w:r>
      <w:r w:rsidR="008F7338">
        <w:rPr>
          <w:lang w:eastAsia="en-GB"/>
        </w:rPr>
        <w:t xml:space="preserve">to </w:t>
      </w:r>
      <w:r w:rsidR="008F7338" w:rsidRPr="008F7338">
        <w:rPr>
          <w:lang w:eastAsia="en-GB"/>
        </w:rPr>
        <w:t xml:space="preserve">be investigated, namely: </w:t>
      </w:r>
    </w:p>
    <w:p w14:paraId="4B676243" w14:textId="77777777" w:rsidR="008F7338" w:rsidRDefault="008F7338" w:rsidP="008F7338">
      <w:pPr>
        <w:numPr>
          <w:ilvl w:val="1"/>
          <w:numId w:val="1"/>
        </w:numPr>
        <w:tabs>
          <w:tab w:val="num" w:pos="786"/>
        </w:tabs>
        <w:spacing w:before="60" w:after="60"/>
      </w:pPr>
      <w:r>
        <w:t>General jamb detail.</w:t>
      </w:r>
    </w:p>
    <w:p w14:paraId="5831934F" w14:textId="77777777" w:rsidR="008F7338" w:rsidRDefault="008F7338" w:rsidP="008F7338">
      <w:pPr>
        <w:numPr>
          <w:ilvl w:val="1"/>
          <w:numId w:val="1"/>
        </w:numPr>
        <w:tabs>
          <w:tab w:val="num" w:pos="786"/>
        </w:tabs>
        <w:spacing w:before="60" w:after="60"/>
      </w:pPr>
      <w:r>
        <w:t>Lobby door threshold.</w:t>
      </w:r>
    </w:p>
    <w:p w14:paraId="00ED17EB" w14:textId="77777777" w:rsidR="008F7338" w:rsidRDefault="008F7338" w:rsidP="008F7338">
      <w:pPr>
        <w:numPr>
          <w:ilvl w:val="1"/>
          <w:numId w:val="1"/>
        </w:numPr>
        <w:tabs>
          <w:tab w:val="num" w:pos="786"/>
        </w:tabs>
        <w:spacing w:before="60" w:after="60"/>
      </w:pPr>
      <w:r>
        <w:t>Lobby floor/external wall detail.</w:t>
      </w:r>
    </w:p>
    <w:p w14:paraId="22BB3A29" w14:textId="77777777" w:rsidR="00B43B8D" w:rsidRPr="0093360A" w:rsidRDefault="00B43B8D" w:rsidP="008F7338">
      <w:pPr>
        <w:numPr>
          <w:ilvl w:val="1"/>
          <w:numId w:val="1"/>
        </w:numPr>
        <w:tabs>
          <w:tab w:val="num" w:pos="786"/>
        </w:tabs>
        <w:spacing w:before="60" w:after="60"/>
      </w:pPr>
      <w:r>
        <w:t>Services penetration</w:t>
      </w:r>
    </w:p>
    <w:p w14:paraId="03B2FBAF" w14:textId="4BC08D5C" w:rsidR="00676F2E" w:rsidRPr="00676F2E" w:rsidRDefault="008F7338" w:rsidP="00676F2E">
      <w:pPr>
        <w:pStyle w:val="NumPara"/>
        <w:rPr>
          <w:lang w:eastAsia="en-GB"/>
        </w:rPr>
      </w:pPr>
      <w:r>
        <w:rPr>
          <w:lang w:eastAsia="en-GB"/>
        </w:rPr>
        <w:t xml:space="preserve">In addition, the dynamic thermal simulation work was </w:t>
      </w:r>
      <w:r w:rsidR="00676F2E">
        <w:rPr>
          <w:lang w:eastAsia="en-GB"/>
        </w:rPr>
        <w:t xml:space="preserve">also </w:t>
      </w:r>
      <w:r>
        <w:rPr>
          <w:lang w:eastAsia="en-GB"/>
        </w:rPr>
        <w:t>extended to enable</w:t>
      </w:r>
      <w:r w:rsidR="00BE5305">
        <w:rPr>
          <w:lang w:eastAsia="en-GB"/>
        </w:rPr>
        <w:t xml:space="preserve"> a number of different </w:t>
      </w:r>
      <w:r w:rsidR="00552B40">
        <w:rPr>
          <w:lang w:eastAsia="en-GB"/>
        </w:rPr>
        <w:t>scenarios to be</w:t>
      </w:r>
      <w:r w:rsidR="00BE5305">
        <w:rPr>
          <w:lang w:eastAsia="en-GB"/>
        </w:rPr>
        <w:t xml:space="preserve"> assessed.</w:t>
      </w:r>
      <w:r w:rsidR="00552B40">
        <w:rPr>
          <w:lang w:eastAsia="en-GB"/>
        </w:rPr>
        <w:t xml:space="preserve"> These include </w:t>
      </w:r>
      <w:r w:rsidR="00325F08">
        <w:rPr>
          <w:lang w:eastAsia="en-GB"/>
        </w:rPr>
        <w:t xml:space="preserve">an </w:t>
      </w:r>
      <w:r w:rsidR="00552B40">
        <w:rPr>
          <w:lang w:eastAsia="en-GB"/>
        </w:rPr>
        <w:t>a</w:t>
      </w:r>
      <w:r w:rsidR="00325F08">
        <w:rPr>
          <w:lang w:eastAsia="en-GB"/>
        </w:rPr>
        <w:t>lternative space heating system (heat pump)</w:t>
      </w:r>
      <w:r w:rsidR="00552B40">
        <w:rPr>
          <w:lang w:eastAsia="en-GB"/>
        </w:rPr>
        <w:t xml:space="preserve"> and </w:t>
      </w:r>
      <w:r w:rsidR="00325F08">
        <w:rPr>
          <w:lang w:eastAsia="en-GB"/>
        </w:rPr>
        <w:t xml:space="preserve">a range of measures that could be adopted to help </w:t>
      </w:r>
      <w:r w:rsidR="00552B40">
        <w:rPr>
          <w:lang w:eastAsia="en-GB"/>
        </w:rPr>
        <w:t xml:space="preserve">mitigate </w:t>
      </w:r>
      <w:r w:rsidR="00325F08">
        <w:rPr>
          <w:lang w:eastAsia="en-GB"/>
        </w:rPr>
        <w:t xml:space="preserve">against </w:t>
      </w:r>
      <w:r w:rsidR="00552B40">
        <w:rPr>
          <w:lang w:eastAsia="en-GB"/>
        </w:rPr>
        <w:t xml:space="preserve">potential overheating. </w:t>
      </w:r>
      <w:r w:rsidR="00325F08">
        <w:rPr>
          <w:lang w:eastAsia="en-GB"/>
        </w:rPr>
        <w:t>In addition, t</w:t>
      </w:r>
      <w:r w:rsidR="00552B40">
        <w:rPr>
          <w:lang w:eastAsia="en-GB"/>
        </w:rPr>
        <w:t>he dwelling has also been evaluate</w:t>
      </w:r>
      <w:r w:rsidR="00325F08">
        <w:rPr>
          <w:lang w:eastAsia="en-GB"/>
        </w:rPr>
        <w:t>d in various different</w:t>
      </w:r>
      <w:r w:rsidR="00552B40">
        <w:rPr>
          <w:lang w:eastAsia="en-GB"/>
        </w:rPr>
        <w:t xml:space="preserve"> geographical locations throughout the UK to provide</w:t>
      </w:r>
      <w:r w:rsidR="00E114B2">
        <w:rPr>
          <w:lang w:eastAsia="en-GB"/>
        </w:rPr>
        <w:t xml:space="preserve"> greater understanding of how the prototype dwelling</w:t>
      </w:r>
      <w:r w:rsidR="00552B40">
        <w:rPr>
          <w:lang w:eastAsia="en-GB"/>
        </w:rPr>
        <w:t xml:space="preserve"> will perform in different climatic conditions.</w:t>
      </w:r>
      <w:r w:rsidR="00BE5305">
        <w:rPr>
          <w:lang w:eastAsia="en-GB"/>
        </w:rPr>
        <w:t xml:space="preserve"> </w:t>
      </w:r>
    </w:p>
    <w:p w14:paraId="046E1DD1" w14:textId="77777777" w:rsidR="00676F2E" w:rsidRPr="00676F2E" w:rsidRDefault="00676F2E" w:rsidP="00676F2E">
      <w:pPr>
        <w:keepNext/>
        <w:outlineLvl w:val="1"/>
        <w:rPr>
          <w:rFonts w:cs="Arial"/>
          <w:b/>
          <w:bCs/>
          <w:i/>
          <w:iCs/>
          <w:sz w:val="24"/>
          <w:szCs w:val="28"/>
          <w:lang w:eastAsia="en-GB"/>
        </w:rPr>
      </w:pPr>
      <w:r w:rsidRPr="00676F2E">
        <w:rPr>
          <w:rFonts w:cs="Arial"/>
          <w:b/>
          <w:bCs/>
          <w:i/>
          <w:iCs/>
          <w:sz w:val="24"/>
          <w:szCs w:val="28"/>
          <w:lang w:eastAsia="en-GB"/>
        </w:rPr>
        <w:t>The Eco home</w:t>
      </w:r>
    </w:p>
    <w:p w14:paraId="0F7A7D5C" w14:textId="77777777" w:rsidR="00676F2E" w:rsidRPr="00676F2E" w:rsidRDefault="00676F2E" w:rsidP="00676F2E">
      <w:pPr>
        <w:numPr>
          <w:ilvl w:val="0"/>
          <w:numId w:val="1"/>
        </w:numPr>
        <w:spacing w:before="60" w:after="60"/>
        <w:rPr>
          <w:lang w:eastAsia="en-GB"/>
        </w:rPr>
      </w:pPr>
      <w:r w:rsidRPr="00676F2E">
        <w:rPr>
          <w:lang w:eastAsia="en-GB"/>
        </w:rPr>
        <w:t>The study dwelling is a 118.5m</w:t>
      </w:r>
      <w:r w:rsidRPr="00676F2E">
        <w:rPr>
          <w:vertAlign w:val="superscript"/>
          <w:lang w:eastAsia="en-GB"/>
        </w:rPr>
        <w:t>2</w:t>
      </w:r>
      <w:r w:rsidRPr="00676F2E">
        <w:rPr>
          <w:lang w:eastAsia="en-GB"/>
        </w:rPr>
        <w:t xml:space="preserve"> 3 storey two/ three bedroom detached property which has a novel spherical architectural form and is elevated above the surrounding ground level (see </w:t>
      </w:r>
      <w:r w:rsidRPr="00676F2E">
        <w:rPr>
          <w:lang w:eastAsia="en-GB"/>
        </w:rPr>
        <w:fldChar w:fldCharType="begin"/>
      </w:r>
      <w:r w:rsidRPr="00676F2E">
        <w:rPr>
          <w:lang w:eastAsia="en-GB"/>
        </w:rPr>
        <w:instrText xml:space="preserve"> REF _Ref421545092 \h </w:instrText>
      </w:r>
      <w:r w:rsidRPr="00676F2E">
        <w:rPr>
          <w:lang w:eastAsia="en-GB"/>
        </w:rPr>
      </w:r>
      <w:r w:rsidRPr="00676F2E">
        <w:rPr>
          <w:lang w:eastAsia="en-GB"/>
        </w:rPr>
        <w:fldChar w:fldCharType="separate"/>
      </w:r>
      <w:r w:rsidRPr="00676F2E">
        <w:t xml:space="preserve">Figure </w:t>
      </w:r>
      <w:r w:rsidRPr="00676F2E">
        <w:rPr>
          <w:noProof/>
        </w:rPr>
        <w:t>1</w:t>
      </w:r>
      <w:r w:rsidRPr="00676F2E">
        <w:rPr>
          <w:lang w:eastAsia="en-GB"/>
        </w:rPr>
        <w:fldChar w:fldCharType="end"/>
      </w:r>
      <w:r w:rsidRPr="00676F2E">
        <w:rPr>
          <w:lang w:eastAsia="en-GB"/>
        </w:rPr>
        <w:t>). Consequently access to the dwelling is gained via an elevated decking area that surrounds half of the floor plan of the dwelling. A spherical form was chosen for the dwelling by the designer as a sphere has a smaller surface area-to-volume ratio than any other shape for a given volume. The smaller the surface area-to-volume ratio, then the more thermally efficient the building is for a given level of building fabric performance. As part of the original concept design, the spherical form was elevated above the ground level to enable the dwelling to rotate horizontally in order to track the sun and maximise the collection of solar radiation.</w:t>
      </w:r>
    </w:p>
    <w:p w14:paraId="6927E482" w14:textId="77777777" w:rsidR="00676F2E" w:rsidRDefault="00676F2E" w:rsidP="00CF262E">
      <w:pPr>
        <w:spacing w:before="60" w:after="60"/>
        <w:rPr>
          <w:lang w:eastAsia="en-GB"/>
        </w:rPr>
      </w:pPr>
    </w:p>
    <w:p w14:paraId="3A764C9F" w14:textId="77777777" w:rsidR="00CF262E" w:rsidRPr="00676F2E" w:rsidRDefault="00856CF5" w:rsidP="00676F2E">
      <w:pPr>
        <w:spacing w:before="60" w:after="60"/>
        <w:ind w:left="567"/>
        <w:jc w:val="center"/>
        <w:rPr>
          <w:lang w:eastAsia="en-GB"/>
        </w:rPr>
      </w:pPr>
      <w:r>
        <w:rPr>
          <w:noProof/>
          <w:lang w:eastAsia="en-GB"/>
        </w:rPr>
        <w:drawing>
          <wp:inline distT="0" distB="0" distL="0" distR="0" wp14:anchorId="6E1402C1" wp14:editId="10BAA2A6">
            <wp:extent cx="4377600" cy="28800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77600" cy="2880000"/>
                    </a:xfrm>
                    <a:prstGeom prst="rect">
                      <a:avLst/>
                    </a:prstGeom>
                  </pic:spPr>
                </pic:pic>
              </a:graphicData>
            </a:graphic>
          </wp:inline>
        </w:drawing>
      </w:r>
    </w:p>
    <w:p w14:paraId="67663571" w14:textId="77777777" w:rsidR="00676F2E" w:rsidRPr="00676F2E" w:rsidRDefault="00676F2E" w:rsidP="00676F2E">
      <w:pPr>
        <w:spacing w:after="120"/>
        <w:jc w:val="center"/>
        <w:rPr>
          <w:b/>
          <w:bCs/>
          <w:lang w:eastAsia="en-GB"/>
        </w:rPr>
      </w:pPr>
      <w:bookmarkStart w:id="3" w:name="_Ref421545092"/>
      <w:r w:rsidRPr="00676F2E">
        <w:rPr>
          <w:b/>
          <w:bCs/>
        </w:rPr>
        <w:t xml:space="preserve">Figure </w:t>
      </w:r>
      <w:r w:rsidRPr="00676F2E">
        <w:rPr>
          <w:b/>
          <w:bCs/>
        </w:rPr>
        <w:fldChar w:fldCharType="begin"/>
      </w:r>
      <w:r w:rsidRPr="00676F2E">
        <w:rPr>
          <w:b/>
          <w:bCs/>
        </w:rPr>
        <w:instrText xml:space="preserve"> SEQ Figure \* ARABIC </w:instrText>
      </w:r>
      <w:r w:rsidRPr="00676F2E">
        <w:rPr>
          <w:b/>
          <w:bCs/>
        </w:rPr>
        <w:fldChar w:fldCharType="separate"/>
      </w:r>
      <w:r w:rsidR="002712F1">
        <w:rPr>
          <w:b/>
          <w:bCs/>
          <w:noProof/>
        </w:rPr>
        <w:t>1</w:t>
      </w:r>
      <w:r w:rsidRPr="00676F2E">
        <w:rPr>
          <w:b/>
          <w:bCs/>
        </w:rPr>
        <w:fldChar w:fldCharType="end"/>
      </w:r>
      <w:bookmarkEnd w:id="3"/>
      <w:r w:rsidRPr="00676F2E">
        <w:rPr>
          <w:b/>
          <w:bCs/>
        </w:rPr>
        <w:t xml:space="preserve"> South elevation of the prototype dwelling</w:t>
      </w:r>
      <w:r w:rsidR="00624863">
        <w:rPr>
          <w:b/>
          <w:bCs/>
        </w:rPr>
        <w:t xml:space="preserve"> </w:t>
      </w:r>
      <w:r w:rsidR="00624863" w:rsidRPr="00624863">
        <w:rPr>
          <w:b/>
          <w:bCs/>
        </w:rPr>
        <w:t>(Source: Walker Associates, 2015).</w:t>
      </w:r>
    </w:p>
    <w:p w14:paraId="571D2D68" w14:textId="77777777" w:rsidR="00676F2E" w:rsidRPr="00676F2E" w:rsidRDefault="00676F2E" w:rsidP="00676F2E">
      <w:pPr>
        <w:spacing w:before="60" w:after="60"/>
        <w:ind w:left="567"/>
        <w:rPr>
          <w:lang w:eastAsia="en-GB"/>
        </w:rPr>
      </w:pPr>
    </w:p>
    <w:p w14:paraId="1563C434" w14:textId="77777777" w:rsidR="00676F2E" w:rsidRPr="00676F2E" w:rsidRDefault="00676F2E" w:rsidP="00676F2E">
      <w:pPr>
        <w:numPr>
          <w:ilvl w:val="0"/>
          <w:numId w:val="1"/>
        </w:numPr>
        <w:spacing w:before="60" w:after="60"/>
      </w:pPr>
      <w:r w:rsidRPr="00676F2E">
        <w:lastRenderedPageBreak/>
        <w:t xml:space="preserve">Internally, the prototype dwelling comprises an entrance lobby, storage cupboards, a bedroom, shower room, WC, landing and stairs on the entrance level (level 3). On the first floor, (level 5) there is a hallway, an open plan living, kitchen and dining area, a study/bedroom 3 and the stairs to the second floor. Finally, on the second floor (level 6), there is a landing, master bedroom and an </w:t>
      </w:r>
      <w:proofErr w:type="spellStart"/>
      <w:r w:rsidRPr="00676F2E">
        <w:t>en</w:t>
      </w:r>
      <w:proofErr w:type="spellEnd"/>
      <w:r w:rsidRPr="00676F2E">
        <w:t xml:space="preserve">-suite. The internal layout the prototype dwelling is illustrated in </w:t>
      </w:r>
      <w:r w:rsidRPr="00676F2E">
        <w:fldChar w:fldCharType="begin"/>
      </w:r>
      <w:r w:rsidRPr="00676F2E">
        <w:instrText xml:space="preserve"> REF _Ref421549043 \h </w:instrText>
      </w:r>
      <w:r w:rsidRPr="00676F2E">
        <w:fldChar w:fldCharType="separate"/>
      </w:r>
      <w:r w:rsidRPr="00676F2E">
        <w:t xml:space="preserve">Figure </w:t>
      </w:r>
      <w:r w:rsidRPr="00676F2E">
        <w:rPr>
          <w:noProof/>
        </w:rPr>
        <w:t>2</w:t>
      </w:r>
      <w:r w:rsidRPr="00676F2E">
        <w:fldChar w:fldCharType="end"/>
      </w:r>
      <w:r w:rsidRPr="00676F2E">
        <w:t>.</w:t>
      </w:r>
    </w:p>
    <w:p w14:paraId="2F6AB511" w14:textId="77777777" w:rsidR="00676F2E" w:rsidRPr="00676F2E" w:rsidRDefault="00676F2E" w:rsidP="00676F2E">
      <w:pPr>
        <w:spacing w:before="60" w:after="60"/>
        <w:ind w:left="567" w:hanging="567"/>
      </w:pPr>
    </w:p>
    <w:p w14:paraId="2BB10D2B" w14:textId="77777777" w:rsidR="00676F2E" w:rsidRPr="00676F2E" w:rsidRDefault="00676F2E" w:rsidP="00676F2E">
      <w:pPr>
        <w:spacing w:before="60" w:after="60"/>
        <w:ind w:left="567" w:hanging="567"/>
      </w:pPr>
    </w:p>
    <w:p w14:paraId="4252E2BE" w14:textId="77777777" w:rsidR="00676F2E" w:rsidRPr="00676F2E" w:rsidRDefault="00676F2E" w:rsidP="00676F2E">
      <w:pPr>
        <w:spacing w:before="60" w:after="60"/>
        <w:ind w:left="567" w:hanging="567"/>
        <w:jc w:val="center"/>
      </w:pPr>
      <w:r w:rsidRPr="00676F2E">
        <w:rPr>
          <w:noProof/>
          <w:lang w:eastAsia="en-GB"/>
        </w:rPr>
        <w:drawing>
          <wp:inline distT="0" distB="0" distL="0" distR="0" wp14:anchorId="62FE6995" wp14:editId="55256A92">
            <wp:extent cx="3657600" cy="216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57600" cy="2160000"/>
                    </a:xfrm>
                    <a:prstGeom prst="rect">
                      <a:avLst/>
                    </a:prstGeom>
                  </pic:spPr>
                </pic:pic>
              </a:graphicData>
            </a:graphic>
          </wp:inline>
        </w:drawing>
      </w:r>
    </w:p>
    <w:p w14:paraId="00D16EBD" w14:textId="77777777" w:rsidR="00676F2E" w:rsidRPr="00676F2E" w:rsidRDefault="00A93ED4" w:rsidP="00676F2E">
      <w:pPr>
        <w:spacing w:before="60" w:after="60"/>
        <w:ind w:left="567" w:hanging="567"/>
        <w:jc w:val="center"/>
      </w:pPr>
      <w:r>
        <w:t xml:space="preserve">   </w:t>
      </w:r>
      <w:r>
        <w:rPr>
          <w:noProof/>
          <w:lang w:eastAsia="en-GB"/>
        </w:rPr>
        <w:drawing>
          <wp:inline distT="0" distB="0" distL="0" distR="0" wp14:anchorId="17763D08" wp14:editId="2E101527">
            <wp:extent cx="3441940" cy="2239924"/>
            <wp:effectExtent l="0" t="0" r="635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2"/>
                    <a:stretch/>
                  </pic:blipFill>
                  <pic:spPr bwMode="auto">
                    <a:xfrm>
                      <a:off x="0" y="0"/>
                      <a:ext cx="3439175" cy="2238124"/>
                    </a:xfrm>
                    <a:prstGeom prst="rect">
                      <a:avLst/>
                    </a:prstGeom>
                    <a:ln>
                      <a:noFill/>
                    </a:ln>
                    <a:extLst>
                      <a:ext uri="{53640926-AAD7-44D8-BBD7-CCE9431645EC}">
                        <a14:shadowObscured xmlns:a14="http://schemas.microsoft.com/office/drawing/2010/main"/>
                      </a:ext>
                    </a:extLst>
                  </pic:spPr>
                </pic:pic>
              </a:graphicData>
            </a:graphic>
          </wp:inline>
        </w:drawing>
      </w:r>
    </w:p>
    <w:p w14:paraId="7D9208B8" w14:textId="77777777" w:rsidR="00676F2E" w:rsidRPr="00676F2E" w:rsidRDefault="00676F2E" w:rsidP="00A93ED4">
      <w:pPr>
        <w:tabs>
          <w:tab w:val="left" w:pos="2977"/>
          <w:tab w:val="left" w:pos="3119"/>
          <w:tab w:val="left" w:pos="3402"/>
        </w:tabs>
        <w:spacing w:before="60" w:after="60"/>
        <w:ind w:left="567" w:hanging="567"/>
        <w:jc w:val="center"/>
      </w:pPr>
      <w:r w:rsidRPr="00676F2E">
        <w:rPr>
          <w:noProof/>
          <w:lang w:eastAsia="en-GB"/>
        </w:rPr>
        <w:drawing>
          <wp:inline distT="0" distB="0" distL="0" distR="0" wp14:anchorId="3A084A51" wp14:editId="6B17D466">
            <wp:extent cx="3689498" cy="2961753"/>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52792" cy="3012562"/>
                    </a:xfrm>
                    <a:prstGeom prst="rect">
                      <a:avLst/>
                    </a:prstGeom>
                  </pic:spPr>
                </pic:pic>
              </a:graphicData>
            </a:graphic>
          </wp:inline>
        </w:drawing>
      </w:r>
    </w:p>
    <w:p w14:paraId="666586A9" w14:textId="77777777" w:rsidR="00676F2E" w:rsidRPr="00676F2E" w:rsidRDefault="00676F2E" w:rsidP="00676F2E">
      <w:pPr>
        <w:spacing w:after="120"/>
        <w:jc w:val="center"/>
        <w:rPr>
          <w:b/>
          <w:bCs/>
        </w:rPr>
      </w:pPr>
      <w:bookmarkStart w:id="4" w:name="_Ref421549043"/>
      <w:r w:rsidRPr="00676F2E">
        <w:rPr>
          <w:b/>
          <w:bCs/>
        </w:rPr>
        <w:t xml:space="preserve">Figure </w:t>
      </w:r>
      <w:r w:rsidRPr="00676F2E">
        <w:rPr>
          <w:b/>
          <w:bCs/>
        </w:rPr>
        <w:fldChar w:fldCharType="begin"/>
      </w:r>
      <w:r w:rsidRPr="00676F2E">
        <w:rPr>
          <w:b/>
          <w:bCs/>
        </w:rPr>
        <w:instrText xml:space="preserve"> SEQ Figure \* ARABIC </w:instrText>
      </w:r>
      <w:r w:rsidRPr="00676F2E">
        <w:rPr>
          <w:b/>
          <w:bCs/>
        </w:rPr>
        <w:fldChar w:fldCharType="separate"/>
      </w:r>
      <w:r w:rsidR="002712F1">
        <w:rPr>
          <w:b/>
          <w:bCs/>
          <w:noProof/>
        </w:rPr>
        <w:t>2</w:t>
      </w:r>
      <w:r w:rsidRPr="00676F2E">
        <w:rPr>
          <w:b/>
          <w:bCs/>
        </w:rPr>
        <w:fldChar w:fldCharType="end"/>
      </w:r>
      <w:bookmarkEnd w:id="4"/>
      <w:r w:rsidR="00624863">
        <w:rPr>
          <w:b/>
          <w:bCs/>
        </w:rPr>
        <w:t xml:space="preserve"> Prototype dwelling layout </w:t>
      </w:r>
      <w:r w:rsidR="00624863" w:rsidRPr="00624863">
        <w:rPr>
          <w:b/>
          <w:bCs/>
        </w:rPr>
        <w:t>(Source: Walker Associates, 2015).</w:t>
      </w:r>
    </w:p>
    <w:p w14:paraId="5FEBE486" w14:textId="77777777" w:rsidR="00676F2E" w:rsidRPr="00676F2E" w:rsidRDefault="00676F2E" w:rsidP="00676F2E">
      <w:pPr>
        <w:spacing w:before="60" w:after="60"/>
      </w:pPr>
    </w:p>
    <w:p w14:paraId="77AACE6E" w14:textId="2062A836" w:rsidR="00676F2E" w:rsidRPr="00676F2E" w:rsidRDefault="00676F2E" w:rsidP="00676F2E">
      <w:pPr>
        <w:numPr>
          <w:ilvl w:val="0"/>
          <w:numId w:val="1"/>
        </w:numPr>
        <w:spacing w:before="60" w:after="60"/>
      </w:pPr>
      <w:r w:rsidRPr="00676F2E">
        <w:t xml:space="preserve">The external walls, roof and floor of the prototype dwelling are to be constructed from Structurally Insulated Panels (SIP’s) comprising a 300mm </w:t>
      </w:r>
      <w:r w:rsidR="00B43B8D">
        <w:t xml:space="preserve">Expanded </w:t>
      </w:r>
      <w:proofErr w:type="spellStart"/>
      <w:r w:rsidR="00B43B8D">
        <w:t>Polystrene</w:t>
      </w:r>
      <w:proofErr w:type="spellEnd"/>
      <w:r w:rsidR="00B43B8D">
        <w:t xml:space="preserve"> (EPS)</w:t>
      </w:r>
      <w:r w:rsidR="00B43B8D" w:rsidRPr="00676F2E">
        <w:t xml:space="preserve"> </w:t>
      </w:r>
      <w:r w:rsidRPr="00676F2E">
        <w:t>insulated core. The windows and roof light are to be double glazed units which are set back within the SIP panel system. To enable a flush external finish to be achieved, all of the windows and the roof lights are to be secondary glazed</w:t>
      </w:r>
      <w:r w:rsidR="00B43B8D">
        <w:t xml:space="preserve"> with a curved glass panel</w:t>
      </w:r>
      <w:r w:rsidRPr="00676F2E">
        <w:t xml:space="preserve">. </w:t>
      </w:r>
    </w:p>
    <w:p w14:paraId="6EBE456C" w14:textId="77777777" w:rsidR="00676F2E" w:rsidRPr="00676F2E" w:rsidRDefault="00676F2E" w:rsidP="00676F2E">
      <w:pPr>
        <w:numPr>
          <w:ilvl w:val="0"/>
          <w:numId w:val="1"/>
        </w:numPr>
        <w:spacing w:before="60" w:after="60"/>
      </w:pPr>
      <w:r w:rsidRPr="00676F2E">
        <w:t xml:space="preserve">A summary of the U-values for the various elements of the building fabric are contained within </w:t>
      </w:r>
      <w:r w:rsidRPr="00676F2E">
        <w:fldChar w:fldCharType="begin"/>
      </w:r>
      <w:r w:rsidRPr="00676F2E">
        <w:instrText xml:space="preserve"> REF _Ref421552617 \h </w:instrText>
      </w:r>
      <w:r w:rsidRPr="00676F2E">
        <w:fldChar w:fldCharType="separate"/>
      </w:r>
      <w:r w:rsidRPr="00676F2E">
        <w:t xml:space="preserve">Table </w:t>
      </w:r>
      <w:r w:rsidRPr="00676F2E">
        <w:rPr>
          <w:noProof/>
        </w:rPr>
        <w:t>1</w:t>
      </w:r>
      <w:r w:rsidRPr="00676F2E">
        <w:fldChar w:fldCharType="end"/>
      </w:r>
      <w:r w:rsidRPr="00676F2E">
        <w:t>.These figures have been obtained from the as-built SAP worksheet dated 11</w:t>
      </w:r>
      <w:r w:rsidRPr="00676F2E">
        <w:rPr>
          <w:vertAlign w:val="superscript"/>
        </w:rPr>
        <w:t>th</w:t>
      </w:r>
      <w:r w:rsidRPr="00676F2E">
        <w:t xml:space="preserve"> August 2011.</w:t>
      </w:r>
    </w:p>
    <w:p w14:paraId="147A3CFE" w14:textId="77777777" w:rsidR="00676F2E" w:rsidRPr="00676F2E" w:rsidRDefault="00676F2E" w:rsidP="00676F2E">
      <w:pPr>
        <w:spacing w:before="60" w:after="60"/>
        <w:ind w:left="567"/>
      </w:pPr>
      <w:bookmarkStart w:id="5" w:name="_Ref330462004"/>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4678"/>
      </w:tblGrid>
      <w:tr w:rsidR="00676F2E" w:rsidRPr="00676F2E" w14:paraId="71C7FE59" w14:textId="77777777" w:rsidTr="00127287">
        <w:tc>
          <w:tcPr>
            <w:tcW w:w="3605" w:type="dxa"/>
            <w:shd w:val="clear" w:color="auto" w:fill="auto"/>
          </w:tcPr>
          <w:p w14:paraId="3082A062" w14:textId="77777777" w:rsidR="00676F2E" w:rsidRPr="00676F2E" w:rsidRDefault="00676F2E" w:rsidP="00676F2E">
            <w:pPr>
              <w:spacing w:before="60" w:after="60"/>
              <w:rPr>
                <w:b/>
              </w:rPr>
            </w:pPr>
            <w:r w:rsidRPr="00676F2E">
              <w:rPr>
                <w:b/>
              </w:rPr>
              <w:t>Element</w:t>
            </w:r>
          </w:p>
        </w:tc>
        <w:tc>
          <w:tcPr>
            <w:tcW w:w="4678" w:type="dxa"/>
            <w:shd w:val="clear" w:color="auto" w:fill="auto"/>
          </w:tcPr>
          <w:p w14:paraId="1E4FADB7" w14:textId="77777777" w:rsidR="00676F2E" w:rsidRPr="00676F2E" w:rsidRDefault="00676F2E" w:rsidP="00676F2E">
            <w:pPr>
              <w:spacing w:before="60" w:after="60"/>
              <w:jc w:val="center"/>
            </w:pPr>
            <w:r w:rsidRPr="00676F2E">
              <w:rPr>
                <w:b/>
              </w:rPr>
              <w:t>U-value (W/m</w:t>
            </w:r>
            <w:r w:rsidRPr="00676F2E">
              <w:rPr>
                <w:b/>
                <w:vertAlign w:val="superscript"/>
              </w:rPr>
              <w:t>2</w:t>
            </w:r>
            <w:r w:rsidRPr="00676F2E">
              <w:rPr>
                <w:b/>
              </w:rPr>
              <w:t>K)</w:t>
            </w:r>
          </w:p>
        </w:tc>
      </w:tr>
      <w:tr w:rsidR="00676F2E" w:rsidRPr="00676F2E" w14:paraId="64FFCEB9" w14:textId="77777777" w:rsidTr="00127287">
        <w:tc>
          <w:tcPr>
            <w:tcW w:w="3605" w:type="dxa"/>
            <w:shd w:val="clear" w:color="auto" w:fill="auto"/>
          </w:tcPr>
          <w:p w14:paraId="2075975E" w14:textId="77777777" w:rsidR="00676F2E" w:rsidRPr="00676F2E" w:rsidRDefault="00676F2E" w:rsidP="00676F2E">
            <w:pPr>
              <w:spacing w:before="60" w:after="60"/>
            </w:pPr>
            <w:r w:rsidRPr="00676F2E">
              <w:t>External walls</w:t>
            </w:r>
          </w:p>
        </w:tc>
        <w:tc>
          <w:tcPr>
            <w:tcW w:w="4678" w:type="dxa"/>
            <w:shd w:val="clear" w:color="auto" w:fill="auto"/>
          </w:tcPr>
          <w:p w14:paraId="5A3CAE83" w14:textId="77777777" w:rsidR="00676F2E" w:rsidRPr="00676F2E" w:rsidRDefault="00676F2E" w:rsidP="00676F2E">
            <w:pPr>
              <w:spacing w:before="60" w:after="60"/>
              <w:jc w:val="center"/>
            </w:pPr>
            <w:r w:rsidRPr="00676F2E">
              <w:t>0.12</w:t>
            </w:r>
          </w:p>
        </w:tc>
      </w:tr>
      <w:tr w:rsidR="00676F2E" w:rsidRPr="00676F2E" w14:paraId="01022209" w14:textId="77777777" w:rsidTr="00127287">
        <w:tc>
          <w:tcPr>
            <w:tcW w:w="3605" w:type="dxa"/>
            <w:shd w:val="clear" w:color="auto" w:fill="auto"/>
          </w:tcPr>
          <w:p w14:paraId="44AA8811" w14:textId="77777777" w:rsidR="00676F2E" w:rsidRPr="00676F2E" w:rsidRDefault="00676F2E" w:rsidP="00676F2E">
            <w:pPr>
              <w:spacing w:before="60" w:after="60"/>
            </w:pPr>
            <w:r w:rsidRPr="00676F2E">
              <w:t>Floor</w:t>
            </w:r>
          </w:p>
        </w:tc>
        <w:tc>
          <w:tcPr>
            <w:tcW w:w="4678" w:type="dxa"/>
            <w:shd w:val="clear" w:color="auto" w:fill="auto"/>
          </w:tcPr>
          <w:p w14:paraId="5D32CD7D" w14:textId="77777777" w:rsidR="00676F2E" w:rsidRPr="00676F2E" w:rsidRDefault="00676F2E" w:rsidP="00676F2E">
            <w:pPr>
              <w:spacing w:before="60" w:after="60"/>
              <w:jc w:val="center"/>
            </w:pPr>
            <w:r w:rsidRPr="00676F2E">
              <w:t>0.12</w:t>
            </w:r>
          </w:p>
        </w:tc>
      </w:tr>
      <w:tr w:rsidR="00676F2E" w:rsidRPr="00676F2E" w14:paraId="1BCC43D9" w14:textId="77777777" w:rsidTr="00127287">
        <w:tc>
          <w:tcPr>
            <w:tcW w:w="3605" w:type="dxa"/>
            <w:shd w:val="clear" w:color="auto" w:fill="auto"/>
          </w:tcPr>
          <w:p w14:paraId="49E05CC8" w14:textId="77777777" w:rsidR="00676F2E" w:rsidRPr="00676F2E" w:rsidRDefault="00676F2E" w:rsidP="00676F2E">
            <w:pPr>
              <w:spacing w:before="60" w:after="60"/>
            </w:pPr>
            <w:r w:rsidRPr="00676F2E">
              <w:t>Roof</w:t>
            </w:r>
          </w:p>
        </w:tc>
        <w:tc>
          <w:tcPr>
            <w:tcW w:w="4678" w:type="dxa"/>
            <w:shd w:val="clear" w:color="auto" w:fill="auto"/>
          </w:tcPr>
          <w:p w14:paraId="3F543043" w14:textId="77777777" w:rsidR="00676F2E" w:rsidRPr="00676F2E" w:rsidRDefault="00676F2E" w:rsidP="00676F2E">
            <w:pPr>
              <w:spacing w:before="60" w:after="60"/>
              <w:jc w:val="center"/>
            </w:pPr>
            <w:r w:rsidRPr="00676F2E">
              <w:t>0.12</w:t>
            </w:r>
          </w:p>
        </w:tc>
      </w:tr>
      <w:tr w:rsidR="00676F2E" w:rsidRPr="00676F2E" w14:paraId="3DDC844C" w14:textId="77777777" w:rsidTr="00127287">
        <w:tc>
          <w:tcPr>
            <w:tcW w:w="3605" w:type="dxa"/>
            <w:shd w:val="clear" w:color="auto" w:fill="auto"/>
          </w:tcPr>
          <w:p w14:paraId="06539694" w14:textId="77777777" w:rsidR="00676F2E" w:rsidRPr="00676F2E" w:rsidRDefault="00676F2E" w:rsidP="00676F2E">
            <w:pPr>
              <w:spacing w:before="60" w:after="60"/>
            </w:pPr>
            <w:r w:rsidRPr="00676F2E">
              <w:t>Windows, roof light and door</w:t>
            </w:r>
          </w:p>
        </w:tc>
        <w:tc>
          <w:tcPr>
            <w:tcW w:w="4678" w:type="dxa"/>
            <w:shd w:val="clear" w:color="auto" w:fill="auto"/>
          </w:tcPr>
          <w:p w14:paraId="4FC46ED3" w14:textId="77777777" w:rsidR="00676F2E" w:rsidRPr="00676F2E" w:rsidRDefault="00676F2E" w:rsidP="00676F2E">
            <w:pPr>
              <w:spacing w:before="60" w:after="60"/>
              <w:jc w:val="center"/>
            </w:pPr>
            <w:r w:rsidRPr="00676F2E">
              <w:t>1.00</w:t>
            </w:r>
          </w:p>
        </w:tc>
      </w:tr>
    </w:tbl>
    <w:p w14:paraId="4FCC23D0" w14:textId="77777777" w:rsidR="00676F2E" w:rsidRPr="00676F2E" w:rsidRDefault="00676F2E" w:rsidP="00676F2E">
      <w:pPr>
        <w:spacing w:after="120"/>
        <w:jc w:val="center"/>
        <w:rPr>
          <w:b/>
          <w:bCs/>
        </w:rPr>
      </w:pPr>
      <w:bookmarkStart w:id="6" w:name="_Ref421552617"/>
      <w:r w:rsidRPr="00676F2E">
        <w:rPr>
          <w:b/>
          <w:bCs/>
        </w:rPr>
        <w:t xml:space="preserve">Table </w:t>
      </w:r>
      <w:r w:rsidRPr="00676F2E">
        <w:rPr>
          <w:b/>
          <w:bCs/>
        </w:rPr>
        <w:fldChar w:fldCharType="begin"/>
      </w:r>
      <w:r w:rsidRPr="00676F2E">
        <w:rPr>
          <w:b/>
          <w:bCs/>
        </w:rPr>
        <w:instrText xml:space="preserve"> SEQ Table \* ARABIC </w:instrText>
      </w:r>
      <w:r w:rsidRPr="00676F2E">
        <w:rPr>
          <w:b/>
          <w:bCs/>
        </w:rPr>
        <w:fldChar w:fldCharType="separate"/>
      </w:r>
      <w:r w:rsidR="00210048">
        <w:rPr>
          <w:b/>
          <w:bCs/>
          <w:noProof/>
        </w:rPr>
        <w:t>1</w:t>
      </w:r>
      <w:r w:rsidRPr="00676F2E">
        <w:rPr>
          <w:b/>
          <w:bCs/>
        </w:rPr>
        <w:fldChar w:fldCharType="end"/>
      </w:r>
      <w:bookmarkEnd w:id="6"/>
      <w:r w:rsidRPr="00676F2E">
        <w:rPr>
          <w:b/>
          <w:bCs/>
        </w:rPr>
        <w:t xml:space="preserve"> U-values of th</w:t>
      </w:r>
      <w:r w:rsidR="009F3C02">
        <w:rPr>
          <w:b/>
          <w:bCs/>
        </w:rPr>
        <w:t>e main elements of the prototype dwelling</w:t>
      </w:r>
      <w:r w:rsidRPr="00676F2E">
        <w:rPr>
          <w:b/>
          <w:bCs/>
        </w:rPr>
        <w:t>.</w:t>
      </w:r>
      <w:bookmarkEnd w:id="5"/>
    </w:p>
    <w:p w14:paraId="6586B1FC" w14:textId="77777777" w:rsidR="00676F2E" w:rsidRPr="00676F2E" w:rsidRDefault="00676F2E" w:rsidP="00676F2E">
      <w:pPr>
        <w:spacing w:before="60" w:after="60"/>
        <w:ind w:left="567"/>
      </w:pPr>
    </w:p>
    <w:p w14:paraId="7B66FF10" w14:textId="77777777" w:rsidR="00676F2E" w:rsidRPr="00676F2E" w:rsidRDefault="00676F2E" w:rsidP="00676F2E">
      <w:pPr>
        <w:numPr>
          <w:ilvl w:val="0"/>
          <w:numId w:val="1"/>
        </w:numPr>
        <w:spacing w:before="60" w:after="60"/>
      </w:pPr>
      <w:r w:rsidRPr="00676F2E">
        <w:t>In terms of airtightness, the design air permeability target for the test dwelling is 3.0 m</w:t>
      </w:r>
      <w:r w:rsidRPr="00676F2E">
        <w:rPr>
          <w:vertAlign w:val="superscript"/>
        </w:rPr>
        <w:t>3</w:t>
      </w:r>
      <w:r w:rsidRPr="00676F2E">
        <w:t>.h</w:t>
      </w:r>
      <w:r w:rsidRPr="00676F2E">
        <w:rPr>
          <w:vertAlign w:val="superscript"/>
        </w:rPr>
        <w:t>-1</w:t>
      </w:r>
      <w:r w:rsidRPr="00676F2E">
        <w:t>.m</w:t>
      </w:r>
      <w:r w:rsidRPr="00676F2E">
        <w:rPr>
          <w:vertAlign w:val="superscript"/>
        </w:rPr>
        <w:t>-2</w:t>
      </w:r>
      <w:r w:rsidRPr="00676F2E">
        <w:t xml:space="preserve"> @ 50Pa. This target is commensurate with the use of an MEV or MVHR system. </w:t>
      </w:r>
    </w:p>
    <w:p w14:paraId="395405F2" w14:textId="77777777" w:rsidR="00676F2E" w:rsidRPr="00676F2E" w:rsidRDefault="00676F2E" w:rsidP="00676F2E">
      <w:pPr>
        <w:keepNext/>
        <w:spacing w:before="240" w:after="60"/>
        <w:outlineLvl w:val="0"/>
        <w:rPr>
          <w:rFonts w:cs="Arial"/>
          <w:b/>
          <w:bCs/>
          <w:kern w:val="32"/>
          <w:sz w:val="28"/>
          <w:szCs w:val="32"/>
          <w:lang w:eastAsia="en-GB"/>
        </w:rPr>
      </w:pPr>
      <w:r w:rsidRPr="00676F2E">
        <w:rPr>
          <w:rFonts w:cs="Arial"/>
          <w:b/>
          <w:bCs/>
          <w:kern w:val="32"/>
          <w:sz w:val="28"/>
          <w:szCs w:val="32"/>
          <w:lang w:eastAsia="en-GB"/>
        </w:rPr>
        <w:t>Thermal bridging calculations</w:t>
      </w:r>
    </w:p>
    <w:p w14:paraId="6774D593" w14:textId="77777777" w:rsidR="00093FC5" w:rsidRPr="00093FC5" w:rsidRDefault="00676F2E" w:rsidP="002337B4">
      <w:pPr>
        <w:pStyle w:val="NumPara"/>
        <w:rPr>
          <w:lang w:eastAsia="en-GB"/>
        </w:rPr>
      </w:pPr>
      <w:r w:rsidRPr="00676F2E">
        <w:rPr>
          <w:lang w:eastAsia="en-GB"/>
        </w:rPr>
        <w:t>A</w:t>
      </w:r>
      <w:r>
        <w:rPr>
          <w:lang w:eastAsia="en-GB"/>
        </w:rPr>
        <w:t>s part of the Innovate UK Innovation Voucher</w:t>
      </w:r>
      <w:r w:rsidR="006F3567">
        <w:rPr>
          <w:lang w:eastAsia="en-GB"/>
        </w:rPr>
        <w:t xml:space="preserve">, all of the junctions contained within the </w:t>
      </w:r>
      <w:r w:rsidR="00C06B97">
        <w:rPr>
          <w:lang w:eastAsia="en-GB"/>
        </w:rPr>
        <w:t>prototype dwelling</w:t>
      </w:r>
      <w:r w:rsidR="00FB4022">
        <w:rPr>
          <w:lang w:eastAsia="en-GB"/>
        </w:rPr>
        <w:t xml:space="preserve"> were modelled in order to </w:t>
      </w:r>
      <w:r w:rsidRPr="00676F2E">
        <w:rPr>
          <w:lang w:eastAsia="en-GB"/>
        </w:rPr>
        <w:t xml:space="preserve">assess </w:t>
      </w:r>
      <w:r w:rsidR="00FB4022" w:rsidRPr="00676F2E">
        <w:rPr>
          <w:lang w:eastAsia="en-GB"/>
        </w:rPr>
        <w:t xml:space="preserve">and quantify </w:t>
      </w:r>
      <w:r w:rsidRPr="00676F2E">
        <w:rPr>
          <w:lang w:eastAsia="en-GB"/>
        </w:rPr>
        <w:t xml:space="preserve">the thermal bridging and </w:t>
      </w:r>
      <w:r w:rsidR="00FB4022" w:rsidRPr="00676F2E">
        <w:rPr>
          <w:lang w:eastAsia="en-GB"/>
        </w:rPr>
        <w:t xml:space="preserve">determine whether there were any potential condensation risks associated </w:t>
      </w:r>
      <w:r w:rsidR="00C06B97">
        <w:rPr>
          <w:lang w:eastAsia="en-GB"/>
        </w:rPr>
        <w:t xml:space="preserve">with the prototype design. </w:t>
      </w:r>
      <w:r w:rsidR="006F3567">
        <w:rPr>
          <w:lang w:eastAsia="en-GB"/>
        </w:rPr>
        <w:t xml:space="preserve">In total, 16 No. </w:t>
      </w:r>
      <w:r w:rsidR="009F3C02">
        <w:rPr>
          <w:rStyle w:val="Heading2Char"/>
          <w:b w:val="0"/>
          <w:i w:val="0"/>
          <w:sz w:val="20"/>
          <w:szCs w:val="20"/>
        </w:rPr>
        <w:t xml:space="preserve">junctions were modelled. </w:t>
      </w:r>
      <w:r w:rsidR="008646F3" w:rsidRPr="00463A37">
        <w:rPr>
          <w:rStyle w:val="Heading2Char"/>
          <w:b w:val="0"/>
          <w:i w:val="0"/>
          <w:sz w:val="20"/>
          <w:szCs w:val="20"/>
        </w:rPr>
        <w:t xml:space="preserve">The modelling revealed that </w:t>
      </w:r>
      <w:r w:rsidR="00093FC5" w:rsidRPr="00093FC5">
        <w:rPr>
          <w:rStyle w:val="Heading2Char"/>
          <w:b w:val="0"/>
          <w:i w:val="0"/>
          <w:sz w:val="20"/>
          <w:szCs w:val="20"/>
        </w:rPr>
        <w:t xml:space="preserve">the </w:t>
      </w:r>
      <w:r w:rsidR="002337B4" w:rsidRPr="002337B4">
        <w:rPr>
          <w:rStyle w:val="Heading2Char"/>
          <w:b w:val="0"/>
          <w:i w:val="0"/>
          <w:sz w:val="20"/>
          <w:szCs w:val="20"/>
        </w:rPr>
        <w:t xml:space="preserve">linear thermal transmittance </w:t>
      </w:r>
      <w:r w:rsidR="002337B4">
        <w:rPr>
          <w:rStyle w:val="Heading2Char"/>
          <w:b w:val="0"/>
          <w:i w:val="0"/>
          <w:sz w:val="20"/>
          <w:szCs w:val="20"/>
        </w:rPr>
        <w:t>(</w:t>
      </w:r>
      <w:r w:rsidR="00093FC5" w:rsidRPr="00093FC5">
        <w:rPr>
          <w:rStyle w:val="Heading2Char"/>
          <w:b w:val="0"/>
          <w:i w:val="0"/>
          <w:sz w:val="20"/>
          <w:szCs w:val="20"/>
        </w:rPr>
        <w:t>Ψ-values</w:t>
      </w:r>
      <w:r w:rsidR="002337B4">
        <w:rPr>
          <w:rStyle w:val="Heading2Char"/>
          <w:b w:val="0"/>
          <w:i w:val="0"/>
          <w:sz w:val="20"/>
          <w:szCs w:val="20"/>
        </w:rPr>
        <w:t>)</w:t>
      </w:r>
      <w:r w:rsidR="00093FC5" w:rsidRPr="00093FC5">
        <w:rPr>
          <w:rStyle w:val="Heading2Char"/>
          <w:b w:val="0"/>
          <w:i w:val="0"/>
          <w:sz w:val="20"/>
          <w:szCs w:val="20"/>
        </w:rPr>
        <w:t xml:space="preserve"> calculated for </w:t>
      </w:r>
      <w:r w:rsidR="00093FC5">
        <w:rPr>
          <w:rStyle w:val="Heading2Char"/>
          <w:b w:val="0"/>
          <w:i w:val="0"/>
          <w:sz w:val="20"/>
          <w:szCs w:val="20"/>
        </w:rPr>
        <w:t xml:space="preserve">two of the </w:t>
      </w:r>
      <w:r w:rsidR="00FB4022" w:rsidRPr="00463A37">
        <w:rPr>
          <w:rStyle w:val="Heading2Char"/>
          <w:b w:val="0"/>
          <w:i w:val="0"/>
          <w:sz w:val="20"/>
          <w:szCs w:val="20"/>
        </w:rPr>
        <w:t>junctions</w:t>
      </w:r>
      <w:r w:rsidR="00093FC5">
        <w:rPr>
          <w:rStyle w:val="Heading2Char"/>
          <w:b w:val="0"/>
          <w:i w:val="0"/>
          <w:sz w:val="20"/>
          <w:szCs w:val="20"/>
        </w:rPr>
        <w:t xml:space="preserve">, </w:t>
      </w:r>
      <w:r w:rsidR="00093FC5" w:rsidRPr="00093FC5">
        <w:rPr>
          <w:lang w:eastAsia="en-GB"/>
        </w:rPr>
        <w:t>the door threshold junction to the lobby and the lobby wall/floor junction</w:t>
      </w:r>
      <w:r w:rsidR="00093FC5">
        <w:rPr>
          <w:lang w:eastAsia="en-GB"/>
        </w:rPr>
        <w:t xml:space="preserve">, </w:t>
      </w:r>
      <w:r w:rsidR="00093FC5">
        <w:rPr>
          <w:rStyle w:val="Heading2Char"/>
          <w:b w:val="0"/>
          <w:i w:val="0"/>
          <w:sz w:val="20"/>
          <w:szCs w:val="20"/>
        </w:rPr>
        <w:t>were considered to be high</w:t>
      </w:r>
      <w:r w:rsidR="00093FC5" w:rsidRPr="00093FC5">
        <w:t xml:space="preserve"> </w:t>
      </w:r>
      <w:r w:rsidR="00337262">
        <w:rPr>
          <w:rStyle w:val="Heading2Char"/>
          <w:b w:val="0"/>
          <w:i w:val="0"/>
          <w:sz w:val="20"/>
          <w:szCs w:val="20"/>
        </w:rPr>
        <w:t xml:space="preserve">at 0.348 </w:t>
      </w:r>
      <w:r w:rsidR="00337262">
        <w:t>W/</w:t>
      </w:r>
      <w:proofErr w:type="spellStart"/>
      <w:r w:rsidR="00337262">
        <w:t>m</w:t>
      </w:r>
      <w:r w:rsidR="00337262">
        <w:rPr>
          <w:rFonts w:cstheme="minorHAnsi"/>
        </w:rPr>
        <w:t>·</w:t>
      </w:r>
      <w:r w:rsidR="00337262">
        <w:t>K</w:t>
      </w:r>
      <w:proofErr w:type="spellEnd"/>
      <w:r w:rsidR="00093FC5">
        <w:rPr>
          <w:rStyle w:val="Heading2Char"/>
          <w:b w:val="0"/>
          <w:i w:val="0"/>
          <w:sz w:val="20"/>
          <w:szCs w:val="20"/>
        </w:rPr>
        <w:t xml:space="preserve"> and </w:t>
      </w:r>
      <w:r w:rsidR="00337262">
        <w:rPr>
          <w:rStyle w:val="Heading2Char"/>
          <w:b w:val="0"/>
          <w:i w:val="0"/>
          <w:sz w:val="20"/>
          <w:szCs w:val="20"/>
        </w:rPr>
        <w:t xml:space="preserve">0.411 </w:t>
      </w:r>
      <w:r w:rsidR="00337262">
        <w:t>W/</w:t>
      </w:r>
      <w:proofErr w:type="spellStart"/>
      <w:r w:rsidR="00337262">
        <w:t>m</w:t>
      </w:r>
      <w:r w:rsidR="00337262">
        <w:rPr>
          <w:rFonts w:cstheme="minorHAnsi"/>
        </w:rPr>
        <w:t>·</w:t>
      </w:r>
      <w:r w:rsidR="00337262">
        <w:t>K</w:t>
      </w:r>
      <w:proofErr w:type="spellEnd"/>
      <w:r w:rsidR="00093FC5">
        <w:rPr>
          <w:rStyle w:val="Heading2Char"/>
          <w:b w:val="0"/>
          <w:i w:val="0"/>
          <w:sz w:val="20"/>
          <w:szCs w:val="20"/>
        </w:rPr>
        <w:t xml:space="preserve">, </w:t>
      </w:r>
      <w:r w:rsidR="00093FC5" w:rsidRPr="00093FC5">
        <w:rPr>
          <w:rStyle w:val="Heading2Char"/>
          <w:b w:val="0"/>
          <w:i w:val="0"/>
          <w:sz w:val="20"/>
          <w:szCs w:val="20"/>
        </w:rPr>
        <w:t>respectively.</w:t>
      </w:r>
      <w:r w:rsidR="00093FC5" w:rsidRPr="00093FC5">
        <w:rPr>
          <w:lang w:eastAsia="en-GB"/>
        </w:rPr>
        <w:t xml:space="preserve"> The reason for the high Ψ-value for the door th</w:t>
      </w:r>
      <w:r w:rsidR="005A0569">
        <w:rPr>
          <w:lang w:eastAsia="en-GB"/>
        </w:rPr>
        <w:t>reshold junction to the lobby was</w:t>
      </w:r>
      <w:r w:rsidR="00093FC5" w:rsidRPr="00093FC5">
        <w:rPr>
          <w:lang w:eastAsia="en-GB"/>
        </w:rPr>
        <w:t xml:space="preserve"> a consequence of the brush seal that penetrates through the floor insulation, resulting in a discontinuity in the insulation layer at this junction. The reason for the high Ψ-value for the lobby/wal</w:t>
      </w:r>
      <w:r w:rsidR="00337262">
        <w:rPr>
          <w:lang w:eastAsia="en-GB"/>
        </w:rPr>
        <w:t xml:space="preserve">l floor junction (0.411 </w:t>
      </w:r>
      <w:r w:rsidR="00337262">
        <w:t>W/</w:t>
      </w:r>
      <w:proofErr w:type="spellStart"/>
      <w:r w:rsidR="00337262">
        <w:t>m</w:t>
      </w:r>
      <w:r w:rsidR="00337262">
        <w:rPr>
          <w:rFonts w:cstheme="minorHAnsi"/>
        </w:rPr>
        <w:t>·</w:t>
      </w:r>
      <w:r w:rsidR="00337262">
        <w:t>K</w:t>
      </w:r>
      <w:proofErr w:type="spellEnd"/>
      <w:r w:rsidR="005A0569">
        <w:rPr>
          <w:lang w:eastAsia="en-GB"/>
        </w:rPr>
        <w:t>) could</w:t>
      </w:r>
      <w:r w:rsidR="00093FC5" w:rsidRPr="00093FC5">
        <w:rPr>
          <w:lang w:eastAsia="en-GB"/>
        </w:rPr>
        <w:t xml:space="preserve"> be attributed to the position of the brush seal coupled with the fact that the structural steelwork fully penetrates the thermal envelope. </w:t>
      </w:r>
    </w:p>
    <w:p w14:paraId="08325F3E" w14:textId="659C54D1" w:rsidR="00093FC5" w:rsidRDefault="00093FC5" w:rsidP="005A0569">
      <w:pPr>
        <w:pStyle w:val="NumPara"/>
        <w:rPr>
          <w:lang w:eastAsia="en-GB"/>
        </w:rPr>
      </w:pPr>
      <w:r>
        <w:t xml:space="preserve">In addition to excessive thermal bridging being identified in two of the junctions, the modelling also identified an additional two junctions that presented a risk of condensation, as the temperature factor </w:t>
      </w:r>
      <w:r w:rsidR="002D1DB6">
        <w:rPr>
          <w:rStyle w:val="Heading2Char"/>
          <w:rFonts w:cs="Times New Roman"/>
          <w:b w:val="0"/>
          <w:bCs w:val="0"/>
          <w:i w:val="0"/>
          <w:iCs w:val="0"/>
          <w:sz w:val="20"/>
          <w:szCs w:val="20"/>
          <w:lang w:eastAsia="en-GB"/>
        </w:rPr>
        <w:t>(</w:t>
      </w:r>
      <w:proofErr w:type="spellStart"/>
      <w:r w:rsidR="002D1DB6" w:rsidRPr="002337B4">
        <w:rPr>
          <w:rStyle w:val="Heading2Char"/>
          <w:rFonts w:cs="Times New Roman"/>
          <w:b w:val="0"/>
          <w:bCs w:val="0"/>
          <w:i w:val="0"/>
          <w:iCs w:val="0"/>
          <w:sz w:val="20"/>
          <w:szCs w:val="20"/>
          <w:lang w:eastAsia="en-GB"/>
        </w:rPr>
        <w:t>ƒ</w:t>
      </w:r>
      <w:r w:rsidR="002D1DB6" w:rsidRPr="00D53BFA">
        <w:rPr>
          <w:rStyle w:val="Heading2Char"/>
          <w:rFonts w:cs="Times New Roman"/>
          <w:b w:val="0"/>
          <w:bCs w:val="0"/>
          <w:i w:val="0"/>
          <w:iCs w:val="0"/>
          <w:sz w:val="20"/>
          <w:szCs w:val="20"/>
          <w:vertAlign w:val="subscript"/>
          <w:lang w:eastAsia="en-GB"/>
        </w:rPr>
        <w:t>Rsi</w:t>
      </w:r>
      <w:proofErr w:type="spellEnd"/>
      <w:r w:rsidR="002D1DB6">
        <w:rPr>
          <w:rStyle w:val="Heading2Char"/>
          <w:rFonts w:cs="Times New Roman"/>
          <w:b w:val="0"/>
          <w:bCs w:val="0"/>
          <w:i w:val="0"/>
          <w:iCs w:val="0"/>
          <w:sz w:val="20"/>
          <w:szCs w:val="20"/>
          <w:lang w:eastAsia="en-GB"/>
        </w:rPr>
        <w:t>)</w:t>
      </w:r>
      <w:r w:rsidR="00CC1B67">
        <w:t xml:space="preserve"> for these junctions was either </w:t>
      </w:r>
      <w:r>
        <w:t xml:space="preserve">less than </w:t>
      </w:r>
      <w:r w:rsidR="00CC1B67">
        <w:t xml:space="preserve">or equal to </w:t>
      </w:r>
      <w:r w:rsidR="005A0569">
        <w:t xml:space="preserve">the </w:t>
      </w:r>
      <w:r w:rsidR="002D1DB6">
        <w:t>critical</w:t>
      </w:r>
      <w:r w:rsidR="002D1DB6" w:rsidRPr="00093FC5">
        <w:t xml:space="preserve"> </w:t>
      </w:r>
      <w:r w:rsidR="002D1DB6">
        <w:t>temperature factor of (</w:t>
      </w:r>
      <w:proofErr w:type="spellStart"/>
      <w:r w:rsidR="002D1DB6">
        <w:t>ƒ</w:t>
      </w:r>
      <w:r w:rsidR="002D1DB6" w:rsidRPr="002337B4">
        <w:rPr>
          <w:vertAlign w:val="subscript"/>
        </w:rPr>
        <w:t>CRsi</w:t>
      </w:r>
      <w:proofErr w:type="spellEnd"/>
      <w:r w:rsidR="002D1DB6">
        <w:t xml:space="preserve">) </w:t>
      </w:r>
      <w:r w:rsidRPr="00093FC5">
        <w:t xml:space="preserve">0.750 </w:t>
      </w:r>
      <w:r w:rsidR="005A0569">
        <w:t xml:space="preserve">required for Building Regulation compliance </w:t>
      </w:r>
      <w:r w:rsidRPr="00093FC5">
        <w:t>(Ward, 2006).</w:t>
      </w:r>
      <w:r w:rsidR="00CC1B67">
        <w:t xml:space="preserve"> </w:t>
      </w:r>
      <w:r w:rsidR="005A0569">
        <w:t>For t</w:t>
      </w:r>
      <w:r w:rsidR="00CC1B67">
        <w:t>he jamb junction</w:t>
      </w:r>
      <w:r w:rsidR="005A0569">
        <w:t>,</w:t>
      </w:r>
      <w:r w:rsidR="00CC1B67">
        <w:t xml:space="preserve"> </w:t>
      </w:r>
      <w:r w:rsidR="005A0569">
        <w:t xml:space="preserve">an </w:t>
      </w:r>
      <w:r w:rsidR="00FE77B6">
        <w:t xml:space="preserve">internal surface temperature of </w:t>
      </w:r>
      <w:r w:rsidR="005A0569" w:rsidRPr="00093FC5">
        <w:rPr>
          <w:rStyle w:val="Heading2Char"/>
          <w:rFonts w:cs="Times New Roman"/>
          <w:b w:val="0"/>
          <w:bCs w:val="0"/>
          <w:i w:val="0"/>
          <w:iCs w:val="0"/>
          <w:sz w:val="20"/>
          <w:szCs w:val="20"/>
          <w:lang w:eastAsia="en-GB"/>
        </w:rPr>
        <w:t>(</w:t>
      </w:r>
      <w:proofErr w:type="spellStart"/>
      <w:r w:rsidR="005A0569" w:rsidRPr="00093FC5">
        <w:rPr>
          <w:rStyle w:val="Heading2Char"/>
          <w:rFonts w:cs="Times New Roman"/>
          <w:b w:val="0"/>
          <w:bCs w:val="0"/>
          <w:i w:val="0"/>
          <w:iCs w:val="0"/>
          <w:sz w:val="20"/>
          <w:szCs w:val="20"/>
          <w:lang w:eastAsia="en-GB"/>
        </w:rPr>
        <w:t>T</w:t>
      </w:r>
      <w:r w:rsidR="005A0569" w:rsidRPr="002337B4">
        <w:rPr>
          <w:rStyle w:val="Heading2Char"/>
          <w:rFonts w:cs="Times New Roman"/>
          <w:b w:val="0"/>
          <w:bCs w:val="0"/>
          <w:i w:val="0"/>
          <w:iCs w:val="0"/>
          <w:sz w:val="20"/>
          <w:szCs w:val="20"/>
          <w:vertAlign w:val="subscript"/>
          <w:lang w:eastAsia="en-GB"/>
        </w:rPr>
        <w:t>si</w:t>
      </w:r>
      <w:proofErr w:type="spellEnd"/>
      <w:r w:rsidR="005A0569" w:rsidRPr="00093FC5">
        <w:rPr>
          <w:rStyle w:val="Heading2Char"/>
          <w:rFonts w:cs="Times New Roman"/>
          <w:b w:val="0"/>
          <w:bCs w:val="0"/>
          <w:i w:val="0"/>
          <w:iCs w:val="0"/>
          <w:sz w:val="20"/>
          <w:szCs w:val="20"/>
          <w:lang w:eastAsia="en-GB"/>
        </w:rPr>
        <w:t xml:space="preserve">) of 15° </w:t>
      </w:r>
      <w:r w:rsidR="005A0569">
        <w:rPr>
          <w:rStyle w:val="Heading2Char"/>
          <w:rFonts w:cs="Times New Roman"/>
          <w:b w:val="0"/>
          <w:bCs w:val="0"/>
          <w:i w:val="0"/>
          <w:iCs w:val="0"/>
          <w:sz w:val="20"/>
          <w:szCs w:val="20"/>
          <w:lang w:eastAsia="en-GB"/>
        </w:rPr>
        <w:t xml:space="preserve">was calculated </w:t>
      </w:r>
      <w:r w:rsidR="005A0569" w:rsidRPr="00093FC5">
        <w:rPr>
          <w:rStyle w:val="Heading2Char"/>
          <w:rFonts w:cs="Times New Roman"/>
          <w:b w:val="0"/>
          <w:bCs w:val="0"/>
          <w:i w:val="0"/>
          <w:iCs w:val="0"/>
          <w:sz w:val="20"/>
          <w:szCs w:val="20"/>
          <w:lang w:eastAsia="en-GB"/>
        </w:rPr>
        <w:t>und</w:t>
      </w:r>
      <w:r w:rsidR="005A0569">
        <w:rPr>
          <w:rStyle w:val="Heading2Char"/>
          <w:rFonts w:cs="Times New Roman"/>
          <w:b w:val="0"/>
          <w:bCs w:val="0"/>
          <w:i w:val="0"/>
          <w:iCs w:val="0"/>
          <w:sz w:val="20"/>
          <w:szCs w:val="20"/>
          <w:lang w:eastAsia="en-GB"/>
        </w:rPr>
        <w:t xml:space="preserve">er the modelled conditions resulting in a </w:t>
      </w:r>
      <w:proofErr w:type="spellStart"/>
      <w:r w:rsidR="005A0569" w:rsidRPr="002337B4">
        <w:rPr>
          <w:rStyle w:val="Heading2Char"/>
          <w:rFonts w:cs="Times New Roman"/>
          <w:b w:val="0"/>
          <w:bCs w:val="0"/>
          <w:i w:val="0"/>
          <w:iCs w:val="0"/>
          <w:sz w:val="20"/>
          <w:szCs w:val="20"/>
          <w:lang w:eastAsia="en-GB"/>
        </w:rPr>
        <w:t>ƒ</w:t>
      </w:r>
      <w:r w:rsidR="005A0569" w:rsidRPr="00325F08">
        <w:rPr>
          <w:rStyle w:val="Heading2Char"/>
          <w:rFonts w:cs="Times New Roman"/>
          <w:b w:val="0"/>
          <w:bCs w:val="0"/>
          <w:i w:val="0"/>
          <w:iCs w:val="0"/>
          <w:sz w:val="20"/>
          <w:szCs w:val="20"/>
          <w:vertAlign w:val="subscript"/>
          <w:lang w:eastAsia="en-GB"/>
        </w:rPr>
        <w:t>Rsi</w:t>
      </w:r>
      <w:proofErr w:type="spellEnd"/>
      <w:r w:rsidR="002337B4">
        <w:rPr>
          <w:rStyle w:val="Heading2Char"/>
          <w:rFonts w:cs="Times New Roman"/>
          <w:b w:val="0"/>
          <w:bCs w:val="0"/>
          <w:i w:val="0"/>
          <w:iCs w:val="0"/>
          <w:sz w:val="20"/>
          <w:szCs w:val="20"/>
          <w:lang w:eastAsia="en-GB"/>
        </w:rPr>
        <w:t xml:space="preserve"> </w:t>
      </w:r>
      <w:r w:rsidR="005A0569" w:rsidRPr="002337B4">
        <w:rPr>
          <w:rStyle w:val="Heading2Char"/>
          <w:rFonts w:cs="Times New Roman"/>
          <w:b w:val="0"/>
          <w:bCs w:val="0"/>
          <w:i w:val="0"/>
          <w:iCs w:val="0"/>
          <w:sz w:val="20"/>
          <w:szCs w:val="20"/>
          <w:lang w:eastAsia="en-GB"/>
        </w:rPr>
        <w:t>of</w:t>
      </w:r>
      <w:r w:rsidR="005A0569">
        <w:rPr>
          <w:rStyle w:val="Heading2Char"/>
          <w:rFonts w:cs="Times New Roman"/>
          <w:b w:val="0"/>
          <w:bCs w:val="0"/>
          <w:i w:val="0"/>
          <w:iCs w:val="0"/>
          <w:sz w:val="20"/>
          <w:szCs w:val="20"/>
          <w:lang w:eastAsia="en-GB"/>
        </w:rPr>
        <w:t xml:space="preserve"> 0.750. Although the</w:t>
      </w:r>
      <w:r w:rsidR="005A0569" w:rsidRPr="00093FC5">
        <w:rPr>
          <w:rStyle w:val="Heading2Char"/>
          <w:rFonts w:cs="Times New Roman"/>
          <w:b w:val="0"/>
          <w:bCs w:val="0"/>
          <w:i w:val="0"/>
          <w:iCs w:val="0"/>
          <w:sz w:val="20"/>
          <w:szCs w:val="20"/>
          <w:lang w:eastAsia="en-GB"/>
        </w:rPr>
        <w:t xml:space="preserve"> </w:t>
      </w:r>
      <w:proofErr w:type="spellStart"/>
      <w:r w:rsidR="005A0569" w:rsidRPr="00BC18C4">
        <w:rPr>
          <w:rStyle w:val="Heading2Char"/>
          <w:rFonts w:cs="Times New Roman"/>
          <w:b w:val="0"/>
          <w:bCs w:val="0"/>
          <w:iCs w:val="0"/>
          <w:sz w:val="20"/>
          <w:szCs w:val="20"/>
          <w:lang w:eastAsia="en-GB"/>
        </w:rPr>
        <w:t>ƒ</w:t>
      </w:r>
      <w:r w:rsidR="005A0569" w:rsidRPr="002337B4">
        <w:rPr>
          <w:rStyle w:val="Heading2Char"/>
          <w:rFonts w:cs="Times New Roman"/>
          <w:b w:val="0"/>
          <w:bCs w:val="0"/>
          <w:iCs w:val="0"/>
          <w:sz w:val="20"/>
          <w:szCs w:val="20"/>
          <w:vertAlign w:val="subscript"/>
          <w:lang w:eastAsia="en-GB"/>
        </w:rPr>
        <w:t>Rsi</w:t>
      </w:r>
      <w:proofErr w:type="spellEnd"/>
      <w:r w:rsidR="005A0569" w:rsidRPr="00BC18C4">
        <w:rPr>
          <w:rStyle w:val="Heading2Char"/>
          <w:rFonts w:cs="Times New Roman"/>
          <w:b w:val="0"/>
          <w:bCs w:val="0"/>
          <w:iCs w:val="0"/>
          <w:sz w:val="20"/>
          <w:szCs w:val="20"/>
          <w:lang w:eastAsia="en-GB"/>
        </w:rPr>
        <w:t xml:space="preserve"> </w:t>
      </w:r>
      <w:r w:rsidR="005A0569" w:rsidRPr="00BC18C4">
        <w:rPr>
          <w:rStyle w:val="Heading2Char"/>
          <w:rFonts w:cs="Times New Roman"/>
          <w:b w:val="0"/>
          <w:bCs w:val="0"/>
          <w:i w:val="0"/>
          <w:iCs w:val="0"/>
          <w:sz w:val="20"/>
          <w:szCs w:val="20"/>
          <w:lang w:eastAsia="en-GB"/>
        </w:rPr>
        <w:t xml:space="preserve">of </w:t>
      </w:r>
      <w:r w:rsidR="005A0569">
        <w:rPr>
          <w:rStyle w:val="Heading2Char"/>
          <w:rFonts w:cs="Times New Roman"/>
          <w:b w:val="0"/>
          <w:bCs w:val="0"/>
          <w:i w:val="0"/>
          <w:iCs w:val="0"/>
          <w:sz w:val="20"/>
          <w:szCs w:val="20"/>
          <w:lang w:eastAsia="en-GB"/>
        </w:rPr>
        <w:t xml:space="preserve">this </w:t>
      </w:r>
      <w:r w:rsidR="005A0569" w:rsidRPr="00093FC5">
        <w:rPr>
          <w:rStyle w:val="Heading2Char"/>
          <w:rFonts w:cs="Times New Roman"/>
          <w:b w:val="0"/>
          <w:bCs w:val="0"/>
          <w:i w:val="0"/>
          <w:iCs w:val="0"/>
          <w:sz w:val="20"/>
          <w:szCs w:val="20"/>
          <w:lang w:eastAsia="en-GB"/>
        </w:rPr>
        <w:t xml:space="preserve">junction does comply with Part L of the Building Regulations </w:t>
      </w:r>
      <w:r w:rsidR="005A0569">
        <w:rPr>
          <w:rStyle w:val="Heading2Char"/>
          <w:rFonts w:cs="Times New Roman"/>
          <w:b w:val="0"/>
          <w:bCs w:val="0"/>
          <w:i w:val="0"/>
          <w:iCs w:val="0"/>
          <w:sz w:val="20"/>
          <w:szCs w:val="20"/>
          <w:lang w:eastAsia="en-GB"/>
        </w:rPr>
        <w:t>(</w:t>
      </w:r>
      <w:r w:rsidR="005A0569">
        <w:rPr>
          <w:rStyle w:val="Heading2Char"/>
          <w:b w:val="0"/>
          <w:bCs w:val="0"/>
          <w:i w:val="0"/>
          <w:iCs w:val="0"/>
          <w:sz w:val="20"/>
          <w:szCs w:val="20"/>
          <w:lang w:eastAsia="en-GB"/>
        </w:rPr>
        <w:t>≥</w:t>
      </w:r>
      <w:r w:rsidR="005A0569">
        <w:rPr>
          <w:rStyle w:val="Heading2Char"/>
          <w:rFonts w:cs="Times New Roman"/>
          <w:b w:val="0"/>
          <w:bCs w:val="0"/>
          <w:i w:val="0"/>
          <w:iCs w:val="0"/>
          <w:sz w:val="20"/>
          <w:szCs w:val="20"/>
          <w:lang w:eastAsia="en-GB"/>
        </w:rPr>
        <w:t xml:space="preserve"> 0.750), there is no margin for error associated with this junction</w:t>
      </w:r>
      <w:r w:rsidR="005A0569" w:rsidRPr="00093FC5">
        <w:rPr>
          <w:rStyle w:val="Heading2Char"/>
          <w:rFonts w:cs="Times New Roman"/>
          <w:b w:val="0"/>
          <w:bCs w:val="0"/>
          <w:i w:val="0"/>
          <w:iCs w:val="0"/>
          <w:sz w:val="20"/>
          <w:szCs w:val="20"/>
          <w:lang w:eastAsia="en-GB"/>
        </w:rPr>
        <w:t>.</w:t>
      </w:r>
      <w:r w:rsidR="005A0569">
        <w:rPr>
          <w:rStyle w:val="Heading2Char"/>
          <w:rFonts w:cs="Times New Roman"/>
          <w:b w:val="0"/>
          <w:bCs w:val="0"/>
          <w:i w:val="0"/>
          <w:iCs w:val="0"/>
          <w:sz w:val="20"/>
          <w:szCs w:val="20"/>
          <w:lang w:eastAsia="en-GB"/>
        </w:rPr>
        <w:t xml:space="preserve"> For the </w:t>
      </w:r>
      <w:r>
        <w:t xml:space="preserve">services penetration through the floor </w:t>
      </w:r>
      <w:r w:rsidR="005A0569">
        <w:t xml:space="preserve">junction, </w:t>
      </w:r>
      <w:r w:rsidRPr="005A0569">
        <w:rPr>
          <w:rStyle w:val="Heading2Char"/>
          <w:rFonts w:cs="Times New Roman"/>
          <w:b w:val="0"/>
          <w:bCs w:val="0"/>
          <w:i w:val="0"/>
          <w:iCs w:val="0"/>
          <w:sz w:val="20"/>
          <w:szCs w:val="20"/>
          <w:lang w:eastAsia="en-GB"/>
        </w:rPr>
        <w:t xml:space="preserve">a </w:t>
      </w:r>
      <w:proofErr w:type="spellStart"/>
      <w:r w:rsidRPr="005A0569">
        <w:rPr>
          <w:rStyle w:val="Heading2Char"/>
          <w:rFonts w:cs="Times New Roman"/>
          <w:b w:val="0"/>
          <w:bCs w:val="0"/>
          <w:i w:val="0"/>
          <w:iCs w:val="0"/>
          <w:sz w:val="20"/>
          <w:szCs w:val="20"/>
          <w:lang w:eastAsia="en-GB"/>
        </w:rPr>
        <w:t>T</w:t>
      </w:r>
      <w:r w:rsidRPr="002337B4">
        <w:rPr>
          <w:rStyle w:val="Heading2Char"/>
          <w:rFonts w:cs="Times New Roman"/>
          <w:b w:val="0"/>
          <w:bCs w:val="0"/>
          <w:i w:val="0"/>
          <w:iCs w:val="0"/>
          <w:sz w:val="20"/>
          <w:szCs w:val="20"/>
          <w:vertAlign w:val="subscript"/>
          <w:lang w:eastAsia="en-GB"/>
        </w:rPr>
        <w:t>si</w:t>
      </w:r>
      <w:proofErr w:type="spellEnd"/>
      <w:r w:rsidRPr="005A0569">
        <w:rPr>
          <w:rStyle w:val="Heading2Char"/>
          <w:rFonts w:cs="Times New Roman"/>
          <w:b w:val="0"/>
          <w:bCs w:val="0"/>
          <w:i w:val="0"/>
          <w:iCs w:val="0"/>
          <w:sz w:val="20"/>
          <w:szCs w:val="20"/>
          <w:lang w:eastAsia="en-GB"/>
        </w:rPr>
        <w:t xml:space="preserve"> of 13.43° </w:t>
      </w:r>
      <w:r w:rsidR="005A0569" w:rsidRPr="005A0569">
        <w:rPr>
          <w:rStyle w:val="Heading2Char"/>
          <w:rFonts w:cs="Times New Roman"/>
          <w:b w:val="0"/>
          <w:bCs w:val="0"/>
          <w:i w:val="0"/>
          <w:iCs w:val="0"/>
          <w:sz w:val="20"/>
          <w:szCs w:val="20"/>
          <w:lang w:eastAsia="en-GB"/>
        </w:rPr>
        <w:t xml:space="preserve">was calculated </w:t>
      </w:r>
      <w:r w:rsidRPr="005A0569">
        <w:rPr>
          <w:rStyle w:val="Heading2Char"/>
          <w:rFonts w:cs="Times New Roman"/>
          <w:b w:val="0"/>
          <w:bCs w:val="0"/>
          <w:i w:val="0"/>
          <w:iCs w:val="0"/>
          <w:sz w:val="20"/>
          <w:szCs w:val="20"/>
          <w:lang w:eastAsia="en-GB"/>
        </w:rPr>
        <w:t xml:space="preserve">under </w:t>
      </w:r>
      <w:r w:rsidR="005A0569" w:rsidRPr="005A0569">
        <w:rPr>
          <w:rStyle w:val="Heading2Char"/>
          <w:rFonts w:cs="Times New Roman"/>
          <w:b w:val="0"/>
          <w:bCs w:val="0"/>
          <w:i w:val="0"/>
          <w:iCs w:val="0"/>
          <w:sz w:val="20"/>
          <w:szCs w:val="20"/>
          <w:lang w:eastAsia="en-GB"/>
        </w:rPr>
        <w:t xml:space="preserve">the </w:t>
      </w:r>
      <w:r w:rsidRPr="005A0569">
        <w:rPr>
          <w:rStyle w:val="Heading2Char"/>
          <w:rFonts w:cs="Times New Roman"/>
          <w:b w:val="0"/>
          <w:bCs w:val="0"/>
          <w:i w:val="0"/>
          <w:iCs w:val="0"/>
          <w:sz w:val="20"/>
          <w:szCs w:val="20"/>
          <w:lang w:eastAsia="en-GB"/>
        </w:rPr>
        <w:t xml:space="preserve">modelled conditions </w:t>
      </w:r>
      <w:r w:rsidR="005A0569" w:rsidRPr="005A0569">
        <w:rPr>
          <w:rStyle w:val="Heading2Char"/>
          <w:rFonts w:cs="Times New Roman"/>
          <w:b w:val="0"/>
          <w:bCs w:val="0"/>
          <w:i w:val="0"/>
          <w:iCs w:val="0"/>
          <w:sz w:val="20"/>
          <w:szCs w:val="20"/>
          <w:lang w:eastAsia="en-GB"/>
        </w:rPr>
        <w:t xml:space="preserve">resulting in </w:t>
      </w:r>
      <w:r w:rsidRPr="005A0569">
        <w:rPr>
          <w:rStyle w:val="Heading2Char"/>
          <w:rFonts w:cs="Times New Roman"/>
          <w:b w:val="0"/>
          <w:bCs w:val="0"/>
          <w:i w:val="0"/>
          <w:iCs w:val="0"/>
          <w:sz w:val="20"/>
          <w:szCs w:val="20"/>
          <w:lang w:eastAsia="en-GB"/>
        </w:rPr>
        <w:t xml:space="preserve">a </w:t>
      </w:r>
      <w:proofErr w:type="spellStart"/>
      <w:r w:rsidRPr="005A0569">
        <w:rPr>
          <w:rStyle w:val="Heading2Char"/>
          <w:rFonts w:cs="Times New Roman"/>
          <w:b w:val="0"/>
          <w:bCs w:val="0"/>
          <w:i w:val="0"/>
          <w:iCs w:val="0"/>
          <w:sz w:val="20"/>
          <w:szCs w:val="20"/>
          <w:lang w:eastAsia="en-GB"/>
        </w:rPr>
        <w:t>ƒ</w:t>
      </w:r>
      <w:r w:rsidRPr="002337B4">
        <w:rPr>
          <w:rStyle w:val="Heading2Char"/>
          <w:rFonts w:cs="Times New Roman"/>
          <w:b w:val="0"/>
          <w:bCs w:val="0"/>
          <w:i w:val="0"/>
          <w:iCs w:val="0"/>
          <w:sz w:val="20"/>
          <w:szCs w:val="20"/>
          <w:vertAlign w:val="subscript"/>
          <w:lang w:eastAsia="en-GB"/>
        </w:rPr>
        <w:t>Rsi</w:t>
      </w:r>
      <w:proofErr w:type="spellEnd"/>
      <w:r w:rsidRPr="005A0569">
        <w:rPr>
          <w:rStyle w:val="Heading2Char"/>
          <w:rFonts w:cs="Times New Roman"/>
          <w:b w:val="0"/>
          <w:bCs w:val="0"/>
          <w:i w:val="0"/>
          <w:iCs w:val="0"/>
          <w:sz w:val="20"/>
          <w:szCs w:val="20"/>
          <w:lang w:eastAsia="en-GB"/>
        </w:rPr>
        <w:t xml:space="preserve"> of 0.672 to the stainless steel part of the spigot. This </w:t>
      </w:r>
      <w:r w:rsidR="005A0569" w:rsidRPr="005A0569">
        <w:rPr>
          <w:rStyle w:val="Heading2Char"/>
          <w:rFonts w:cs="Times New Roman"/>
          <w:b w:val="0"/>
          <w:bCs w:val="0"/>
          <w:i w:val="0"/>
          <w:iCs w:val="0"/>
          <w:sz w:val="20"/>
          <w:szCs w:val="20"/>
          <w:lang w:eastAsia="en-GB"/>
        </w:rPr>
        <w:t xml:space="preserve">figure is clearly below the </w:t>
      </w:r>
      <w:proofErr w:type="spellStart"/>
      <w:r w:rsidR="005A0569" w:rsidRPr="005A0569">
        <w:rPr>
          <w:rStyle w:val="Heading2Char"/>
          <w:rFonts w:cs="Times New Roman"/>
          <w:b w:val="0"/>
          <w:bCs w:val="0"/>
          <w:i w:val="0"/>
          <w:iCs w:val="0"/>
          <w:sz w:val="20"/>
          <w:szCs w:val="20"/>
          <w:lang w:eastAsia="en-GB"/>
        </w:rPr>
        <w:t>ƒ</w:t>
      </w:r>
      <w:r w:rsidR="005A0569" w:rsidRPr="002337B4">
        <w:rPr>
          <w:rStyle w:val="Heading2Char"/>
          <w:rFonts w:cs="Times New Roman"/>
          <w:b w:val="0"/>
          <w:bCs w:val="0"/>
          <w:i w:val="0"/>
          <w:iCs w:val="0"/>
          <w:sz w:val="20"/>
          <w:szCs w:val="20"/>
          <w:vertAlign w:val="subscript"/>
          <w:lang w:eastAsia="en-GB"/>
        </w:rPr>
        <w:t>CRsi</w:t>
      </w:r>
      <w:proofErr w:type="spellEnd"/>
      <w:r w:rsidR="005A0569" w:rsidRPr="005A0569">
        <w:rPr>
          <w:rStyle w:val="Heading2Char"/>
          <w:rFonts w:cs="Times New Roman"/>
          <w:b w:val="0"/>
          <w:bCs w:val="0"/>
          <w:i w:val="0"/>
          <w:iCs w:val="0"/>
          <w:sz w:val="20"/>
          <w:szCs w:val="20"/>
          <w:lang w:eastAsia="en-GB"/>
        </w:rPr>
        <w:t xml:space="preserve"> the compliance figure of </w:t>
      </w:r>
      <w:r w:rsidR="005A0569" w:rsidRPr="005A0569">
        <w:rPr>
          <w:rStyle w:val="Heading2Char"/>
          <w:b w:val="0"/>
          <w:bCs w:val="0"/>
          <w:i w:val="0"/>
          <w:iCs w:val="0"/>
          <w:sz w:val="20"/>
          <w:szCs w:val="20"/>
          <w:lang w:eastAsia="en-GB"/>
        </w:rPr>
        <w:t>≥</w:t>
      </w:r>
      <w:r w:rsidR="005A0569">
        <w:rPr>
          <w:rStyle w:val="Heading2Char"/>
          <w:rFonts w:cs="Times New Roman"/>
          <w:b w:val="0"/>
          <w:bCs w:val="0"/>
          <w:i w:val="0"/>
          <w:iCs w:val="0"/>
          <w:sz w:val="20"/>
          <w:szCs w:val="20"/>
          <w:lang w:eastAsia="en-GB"/>
        </w:rPr>
        <w:t>0.750 (Ward, 2006) and presents</w:t>
      </w:r>
      <w:r w:rsidRPr="005A0569">
        <w:rPr>
          <w:rStyle w:val="Heading2Char"/>
          <w:rFonts w:cs="Times New Roman"/>
          <w:b w:val="0"/>
          <w:bCs w:val="0"/>
          <w:i w:val="0"/>
          <w:iCs w:val="0"/>
          <w:sz w:val="20"/>
          <w:szCs w:val="20"/>
          <w:lang w:eastAsia="en-GB"/>
        </w:rPr>
        <w:t xml:space="preserve"> a risk of surface condensation. </w:t>
      </w:r>
    </w:p>
    <w:p w14:paraId="0F7C8426" w14:textId="6A4AB67B" w:rsidR="00093FC5" w:rsidRDefault="00AC6467" w:rsidP="002337B4">
      <w:pPr>
        <w:pStyle w:val="NumPara"/>
        <w:rPr>
          <w:lang w:eastAsia="en-GB"/>
        </w:rPr>
      </w:pPr>
      <w:r>
        <w:t>As part of the YIF Small Innovation Project</w:t>
      </w:r>
      <w:r w:rsidR="005A0569">
        <w:t>,</w:t>
      </w:r>
      <w:r>
        <w:t xml:space="preserve"> it was decided that the four junctions identified as being prob</w:t>
      </w:r>
      <w:r w:rsidR="005A0569">
        <w:t>lematic within the Innovate UK I</w:t>
      </w:r>
      <w:r>
        <w:t xml:space="preserve">nnovation Voucher project would be </w:t>
      </w:r>
      <w:r w:rsidR="00BE4644">
        <w:t xml:space="preserve">amended and then remodelled </w:t>
      </w:r>
      <w:r w:rsidR="00FB4022" w:rsidRPr="00FB4022">
        <w:rPr>
          <w:lang w:eastAsia="en-GB"/>
        </w:rPr>
        <w:t xml:space="preserve">to ascertain the </w:t>
      </w:r>
      <w:r w:rsidR="00BE4644">
        <w:rPr>
          <w:lang w:eastAsia="en-GB"/>
        </w:rPr>
        <w:t xml:space="preserve">improvement in their </w:t>
      </w:r>
      <w:r w:rsidR="002337B4">
        <w:rPr>
          <w:lang w:eastAsia="en-GB"/>
        </w:rPr>
        <w:t>Ψ-value</w:t>
      </w:r>
      <w:r w:rsidR="00FB4022" w:rsidRPr="00FB4022">
        <w:rPr>
          <w:lang w:eastAsia="en-GB"/>
        </w:rPr>
        <w:t xml:space="preserve"> </w:t>
      </w:r>
      <w:r w:rsidR="002337B4">
        <w:rPr>
          <w:lang w:eastAsia="en-GB"/>
        </w:rPr>
        <w:t xml:space="preserve">and </w:t>
      </w:r>
      <w:proofErr w:type="spellStart"/>
      <w:r w:rsidR="00FB4022" w:rsidRPr="00FB4022">
        <w:rPr>
          <w:lang w:eastAsia="en-GB"/>
        </w:rPr>
        <w:t>ƒ</w:t>
      </w:r>
      <w:r w:rsidR="00FB4022" w:rsidRPr="002337B4">
        <w:rPr>
          <w:vertAlign w:val="subscript"/>
          <w:lang w:eastAsia="en-GB"/>
        </w:rPr>
        <w:t>Rsi</w:t>
      </w:r>
      <w:proofErr w:type="spellEnd"/>
      <w:r w:rsidR="00BE4644">
        <w:rPr>
          <w:lang w:eastAsia="en-GB"/>
        </w:rPr>
        <w:t xml:space="preserve">. The junctions that were remodelled were as follows: </w:t>
      </w:r>
      <w:r w:rsidR="00BE4644" w:rsidRPr="00BE4644">
        <w:t>the lobby threshold at the door</w:t>
      </w:r>
      <w:r w:rsidR="00463A37">
        <w:t xml:space="preserve"> (see </w:t>
      </w:r>
      <w:r w:rsidR="00463A37">
        <w:fldChar w:fldCharType="begin"/>
      </w:r>
      <w:r w:rsidR="00463A37">
        <w:instrText xml:space="preserve"> REF _Ref421647192 \h </w:instrText>
      </w:r>
      <w:r w:rsidR="00463A37">
        <w:fldChar w:fldCharType="separate"/>
      </w:r>
      <w:r w:rsidR="00463A37">
        <w:t xml:space="preserve">Figure </w:t>
      </w:r>
      <w:r w:rsidR="00463A37">
        <w:rPr>
          <w:noProof/>
        </w:rPr>
        <w:t>3</w:t>
      </w:r>
      <w:r w:rsidR="00463A37">
        <w:fldChar w:fldCharType="end"/>
      </w:r>
      <w:r w:rsidR="00463A37">
        <w:t>)</w:t>
      </w:r>
      <w:r w:rsidR="00BE4644" w:rsidRPr="00BE4644">
        <w:t xml:space="preserve">, the jamb </w:t>
      </w:r>
      <w:r w:rsidR="002D1DB6">
        <w:t xml:space="preserve">with the edge of the glazing unit squared off, </w:t>
      </w:r>
      <w:proofErr w:type="gramStart"/>
      <w:r w:rsidR="00BE4644" w:rsidRPr="00BE4644">
        <w:t>the</w:t>
      </w:r>
      <w:proofErr w:type="gramEnd"/>
      <w:r w:rsidR="00BE4644" w:rsidRPr="00BE4644">
        <w:t xml:space="preserve"> lobby floor/external wall junction</w:t>
      </w:r>
      <w:r w:rsidR="00463A37">
        <w:t xml:space="preserve"> (see </w:t>
      </w:r>
      <w:r w:rsidR="00463A37">
        <w:fldChar w:fldCharType="begin"/>
      </w:r>
      <w:r w:rsidR="00463A37">
        <w:instrText xml:space="preserve"> REF _Ref421647205 \h </w:instrText>
      </w:r>
      <w:r w:rsidR="00463A37">
        <w:fldChar w:fldCharType="separate"/>
      </w:r>
      <w:r w:rsidR="00463A37">
        <w:t xml:space="preserve">Figure </w:t>
      </w:r>
      <w:r w:rsidR="00463A37">
        <w:rPr>
          <w:noProof/>
        </w:rPr>
        <w:t>4</w:t>
      </w:r>
      <w:r w:rsidR="00463A37">
        <w:fldChar w:fldCharType="end"/>
      </w:r>
      <w:r w:rsidR="00463A37">
        <w:t>)</w:t>
      </w:r>
      <w:r w:rsidR="002D1DB6">
        <w:t>, and the service penetration with the stainless steel of the spigot changed to a high density plastic</w:t>
      </w:r>
      <w:r w:rsidR="00BE4644">
        <w:t>.</w:t>
      </w:r>
    </w:p>
    <w:p w14:paraId="36E6693E" w14:textId="77777777" w:rsidR="00276186" w:rsidRDefault="00276186" w:rsidP="00276186">
      <w:pPr>
        <w:pStyle w:val="NumPara"/>
        <w:numPr>
          <w:ilvl w:val="0"/>
          <w:numId w:val="0"/>
        </w:numPr>
        <w:ind w:left="567" w:hanging="567"/>
        <w:jc w:val="center"/>
      </w:pPr>
      <w:r>
        <w:rPr>
          <w:noProof/>
          <w:lang w:eastAsia="en-GB"/>
        </w:rPr>
        <w:lastRenderedPageBreak/>
        <w:drawing>
          <wp:inline distT="0" distB="0" distL="0" distR="0" wp14:anchorId="0C3C3821" wp14:editId="7D421331">
            <wp:extent cx="4816800" cy="2880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6800" cy="2880000"/>
                    </a:xfrm>
                    <a:prstGeom prst="rect">
                      <a:avLst/>
                    </a:prstGeom>
                  </pic:spPr>
                </pic:pic>
              </a:graphicData>
            </a:graphic>
          </wp:inline>
        </w:drawing>
      </w:r>
    </w:p>
    <w:p w14:paraId="40603548" w14:textId="77777777" w:rsidR="00276186" w:rsidRDefault="00276186" w:rsidP="00463A37">
      <w:pPr>
        <w:pStyle w:val="Caption"/>
        <w:jc w:val="center"/>
      </w:pPr>
      <w:bookmarkStart w:id="7" w:name="_Ref421647192"/>
      <w:r>
        <w:t xml:space="preserve">Figure </w:t>
      </w:r>
      <w:r w:rsidR="00FA6C6B">
        <w:fldChar w:fldCharType="begin"/>
      </w:r>
      <w:r w:rsidR="00FA6C6B">
        <w:instrText xml:space="preserve"> SEQ Figure \* ARABIC </w:instrText>
      </w:r>
      <w:r w:rsidR="00FA6C6B">
        <w:fldChar w:fldCharType="separate"/>
      </w:r>
      <w:r w:rsidR="002712F1">
        <w:rPr>
          <w:noProof/>
        </w:rPr>
        <w:t>3</w:t>
      </w:r>
      <w:r w:rsidR="00FA6C6B">
        <w:rPr>
          <w:noProof/>
        </w:rPr>
        <w:fldChar w:fldCharType="end"/>
      </w:r>
      <w:bookmarkEnd w:id="7"/>
      <w:r>
        <w:t xml:space="preserve"> Amended lobby threshold at the door junction</w:t>
      </w:r>
      <w:r w:rsidR="00624863">
        <w:t xml:space="preserve"> (Source: Walker Associates, 2015)</w:t>
      </w:r>
      <w:r>
        <w:t>.</w:t>
      </w:r>
    </w:p>
    <w:p w14:paraId="1343F533" w14:textId="77777777" w:rsidR="00463A37" w:rsidRPr="00463A37" w:rsidRDefault="00463A37" w:rsidP="00463A37"/>
    <w:p w14:paraId="31225C14" w14:textId="77777777" w:rsidR="00463A37" w:rsidRDefault="00463A37" w:rsidP="00276186">
      <w:pPr>
        <w:pStyle w:val="Caption"/>
        <w:jc w:val="center"/>
      </w:pPr>
      <w:r>
        <w:rPr>
          <w:noProof/>
          <w:lang w:eastAsia="en-GB"/>
        </w:rPr>
        <w:drawing>
          <wp:inline distT="0" distB="0" distL="0" distR="0" wp14:anchorId="6AE72A65" wp14:editId="41525E9A">
            <wp:extent cx="5266800" cy="28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66800" cy="2880000"/>
                    </a:xfrm>
                    <a:prstGeom prst="rect">
                      <a:avLst/>
                    </a:prstGeom>
                  </pic:spPr>
                </pic:pic>
              </a:graphicData>
            </a:graphic>
          </wp:inline>
        </w:drawing>
      </w:r>
    </w:p>
    <w:p w14:paraId="0E3327BC" w14:textId="77777777" w:rsidR="00276186" w:rsidRDefault="00276186" w:rsidP="00276186">
      <w:pPr>
        <w:pStyle w:val="Caption"/>
        <w:jc w:val="center"/>
      </w:pPr>
      <w:r>
        <w:t xml:space="preserve">Figure </w:t>
      </w:r>
      <w:r w:rsidR="00FA6C6B">
        <w:fldChar w:fldCharType="begin"/>
      </w:r>
      <w:r w:rsidR="00FA6C6B">
        <w:instrText xml:space="preserve"> SEQ Figure \* ARABIC </w:instrText>
      </w:r>
      <w:r w:rsidR="00FA6C6B">
        <w:fldChar w:fldCharType="separate"/>
      </w:r>
      <w:r w:rsidR="002712F1">
        <w:rPr>
          <w:noProof/>
        </w:rPr>
        <w:t>4</w:t>
      </w:r>
      <w:r w:rsidR="00FA6C6B">
        <w:rPr>
          <w:noProof/>
        </w:rPr>
        <w:fldChar w:fldCharType="end"/>
      </w:r>
      <w:r w:rsidRPr="00276186">
        <w:t xml:space="preserve"> </w:t>
      </w:r>
      <w:r>
        <w:t>Amended lobby floor/external wall junction</w:t>
      </w:r>
      <w:r w:rsidR="00624863">
        <w:t xml:space="preserve"> (Walker Associates, 2015).</w:t>
      </w:r>
    </w:p>
    <w:p w14:paraId="5B88212D" w14:textId="77777777" w:rsidR="00276186" w:rsidRPr="00276186" w:rsidRDefault="00276186" w:rsidP="00276186"/>
    <w:p w14:paraId="106D98F0" w14:textId="77777777" w:rsidR="00676F2E" w:rsidRDefault="00676F2E" w:rsidP="00676F2E">
      <w:pPr>
        <w:pStyle w:val="Heading2"/>
      </w:pPr>
      <w:bookmarkStart w:id="8" w:name="_Toc422493075"/>
      <w:r>
        <w:t>Test method</w:t>
      </w:r>
      <w:bookmarkEnd w:id="8"/>
    </w:p>
    <w:p w14:paraId="5790DDA4" w14:textId="77777777" w:rsidR="00676F2E" w:rsidRDefault="00676F2E" w:rsidP="00676F2E">
      <w:pPr>
        <w:pStyle w:val="NumPara"/>
      </w:pPr>
      <w:r>
        <w:t xml:space="preserve">In order to undertake the thermal bridging calculations, a numerical modelling technique known as thermal modelling was employed. All of the individual thermal bridges associated with each junction type within the prototype dwelling were explicitly thermally modelled using the </w:t>
      </w:r>
      <w:proofErr w:type="spellStart"/>
      <w:r>
        <w:t>Physibel</w:t>
      </w:r>
      <w:proofErr w:type="spellEnd"/>
      <w:r>
        <w:t xml:space="preserve"> TRISCO version 12.0w software program (</w:t>
      </w:r>
      <w:proofErr w:type="spellStart"/>
      <w:r>
        <w:t>Physibel</w:t>
      </w:r>
      <w:proofErr w:type="spellEnd"/>
      <w:r>
        <w:t xml:space="preserve">, 2010). When undertaking the modelling, the conventions given in BR 497 (Ward &amp; Sanders, 2007) were followed throughout. The equivalent thermal conductivities for all air spaces and voids were calculated in accordance with BS EN ISO 6946 (British Standards Institution (BSI), 2007). Material conductivities were sourced from manufacturers’ literature where possible based on the project specification. In instances where these could not be obtained, suitable values were sourced from BS EN 12524 (BSI, 2000) or from BR 443 (Anderson, 2006). The geometry of the thermally modelled junctions was based on the content of the design drawings provided to the </w:t>
      </w:r>
      <w:proofErr w:type="spellStart"/>
      <w:r>
        <w:t>CeBE</w:t>
      </w:r>
      <w:proofErr w:type="spellEnd"/>
      <w:r>
        <w:t xml:space="preserve"> Group by Walker Associates.</w:t>
      </w:r>
    </w:p>
    <w:p w14:paraId="6B93CE18" w14:textId="77777777" w:rsidR="00676F2E" w:rsidRDefault="00676F2E" w:rsidP="00676F2E">
      <w:pPr>
        <w:pStyle w:val="Heading2"/>
      </w:pPr>
      <w:bookmarkStart w:id="9" w:name="_Toc422493076"/>
      <w:r>
        <w:lastRenderedPageBreak/>
        <w:t>Limitations</w:t>
      </w:r>
      <w:bookmarkEnd w:id="9"/>
    </w:p>
    <w:p w14:paraId="2A3B7B7D" w14:textId="35EA53EA" w:rsidR="00676F2E" w:rsidRDefault="00920ED1" w:rsidP="00676F2E">
      <w:pPr>
        <w:pStyle w:val="NumPara"/>
      </w:pPr>
      <w:r w:rsidRPr="00BB0D01">
        <w:t xml:space="preserve">The complex geometry of the spherical envelope had to be simplified to enable thermal modelling of the junctions. The rectilinear nature of the thermal modelling software meant that the number of nodes </w:t>
      </w:r>
      <w:r>
        <w:t xml:space="preserve">that would be </w:t>
      </w:r>
      <w:r w:rsidRPr="00BB0D01">
        <w:t xml:space="preserve">created </w:t>
      </w:r>
      <w:r w:rsidR="003F52EE">
        <w:t xml:space="preserve">in the model </w:t>
      </w:r>
      <w:r w:rsidRPr="00BB0D01">
        <w:t xml:space="preserve">when </w:t>
      </w:r>
      <w:r w:rsidR="003F52EE">
        <w:t xml:space="preserve">attempting to </w:t>
      </w:r>
      <w:r w:rsidRPr="00BB0D01">
        <w:t xml:space="preserve">represent the curved </w:t>
      </w:r>
      <w:r w:rsidR="003F52EE">
        <w:t xml:space="preserve">nature of the building </w:t>
      </w:r>
      <w:r>
        <w:t>envelope</w:t>
      </w:r>
      <w:r w:rsidRPr="00BB0D01">
        <w:t xml:space="preserve"> </w:t>
      </w:r>
      <w:r>
        <w:t xml:space="preserve">would </w:t>
      </w:r>
      <w:r w:rsidRPr="00BB0D01">
        <w:t xml:space="preserve">exceed the </w:t>
      </w:r>
      <w:r>
        <w:t xml:space="preserve">software’s </w:t>
      </w:r>
      <w:r w:rsidRPr="00BB0D01">
        <w:t xml:space="preserve">processing </w:t>
      </w:r>
      <w:r>
        <w:t xml:space="preserve">capability.  </w:t>
      </w:r>
      <w:r w:rsidR="003F52EE">
        <w:t>Consequently, t</w:t>
      </w:r>
      <w:r>
        <w:t xml:space="preserve">he simplified envelope was formed in the thermal models with each of the flanking elements to the junction represented in a single plane (flattened).  In order to calculate results that are representative of the thermal bridging inherent to the design, the angle of intersection between the plane elements to the simplified envelope matched the average intersection angles </w:t>
      </w:r>
      <w:r w:rsidR="003F52EE">
        <w:t>with</w:t>
      </w:r>
      <w:r>
        <w:t xml:space="preserve"> the curved envelope.  </w:t>
      </w:r>
      <w:r w:rsidRPr="00BB0D01">
        <w:t xml:space="preserve">This </w:t>
      </w:r>
      <w:r>
        <w:t xml:space="preserve">approach </w:t>
      </w:r>
      <w:r w:rsidRPr="00BB0D01">
        <w:t xml:space="preserve">is considered to </w:t>
      </w:r>
      <w:r>
        <w:t xml:space="preserve">have minimal impact on the </w:t>
      </w:r>
      <w:r w:rsidRPr="00BB0D01">
        <w:t xml:space="preserve">accuracy of the results because the additional length of </w:t>
      </w:r>
      <w:r>
        <w:t xml:space="preserve">flanking elements that would be </w:t>
      </w:r>
      <w:r w:rsidRPr="00BB0D01">
        <w:t>generated by the curve</w:t>
      </w:r>
      <w:r>
        <w:t>d envelope</w:t>
      </w:r>
      <w:r w:rsidRPr="00BB0D01">
        <w:t xml:space="preserve"> </w:t>
      </w:r>
      <w:r>
        <w:t xml:space="preserve">would be </w:t>
      </w:r>
      <w:r w:rsidRPr="00BB0D01">
        <w:t>very small at the junctions.</w:t>
      </w:r>
    </w:p>
    <w:p w14:paraId="46FD2381" w14:textId="77777777" w:rsidR="00676F2E" w:rsidRDefault="00676F2E" w:rsidP="00676F2E">
      <w:pPr>
        <w:pStyle w:val="NumPara"/>
      </w:pPr>
      <w:r>
        <w:t>The proposed design shows secondary glazing to the window and roof window openings. In order to model this arrangement, two adiabatic boundaries were incorporated into the thermal models to represent the two glazing units.</w:t>
      </w:r>
    </w:p>
    <w:p w14:paraId="7847F56F" w14:textId="77777777" w:rsidR="00676F2E" w:rsidRDefault="00676F2E" w:rsidP="00676F2E">
      <w:pPr>
        <w:pStyle w:val="Heading2"/>
      </w:pPr>
      <w:bookmarkStart w:id="10" w:name="_Toc422493077"/>
      <w:r>
        <w:t>Results</w:t>
      </w:r>
      <w:bookmarkEnd w:id="10"/>
    </w:p>
    <w:p w14:paraId="7B9FA0E7" w14:textId="2370D374" w:rsidR="00FB4022" w:rsidRDefault="00FB4022" w:rsidP="00634B61">
      <w:pPr>
        <w:pStyle w:val="NumPara"/>
      </w:pPr>
      <w:r w:rsidRPr="004E3D7D">
        <w:t>The results of the thermal bridging calcula</w:t>
      </w:r>
      <w:r>
        <w:t xml:space="preserve">tions are presented </w:t>
      </w:r>
      <w:r w:rsidRPr="004E3D7D">
        <w:t xml:space="preserve">for each </w:t>
      </w:r>
      <w:r w:rsidR="009F3C02">
        <w:t xml:space="preserve">of the </w:t>
      </w:r>
      <w:r w:rsidR="00920ED1">
        <w:t xml:space="preserve">four </w:t>
      </w:r>
      <w:r w:rsidR="009F3C02">
        <w:t xml:space="preserve">amended </w:t>
      </w:r>
      <w:r w:rsidR="00BE4644">
        <w:t>junction detail</w:t>
      </w:r>
      <w:r w:rsidR="009F3C02">
        <w:t>s</w:t>
      </w:r>
      <w:r w:rsidR="00BE4644">
        <w:t xml:space="preserve"> in Appendix A. </w:t>
      </w:r>
      <w:r w:rsidRPr="004E3D7D">
        <w:t xml:space="preserve">A summary of the </w:t>
      </w:r>
      <w:r w:rsidR="00634B61">
        <w:t xml:space="preserve">results are </w:t>
      </w:r>
      <w:r w:rsidR="009F3C02">
        <w:t xml:space="preserve">also </w:t>
      </w:r>
      <w:r w:rsidR="00634B61">
        <w:t xml:space="preserve">presented in </w:t>
      </w:r>
      <w:r w:rsidR="00463A37">
        <w:fldChar w:fldCharType="begin"/>
      </w:r>
      <w:r w:rsidR="00463A37">
        <w:instrText xml:space="preserve"> REF _Ref421647242 \h </w:instrText>
      </w:r>
      <w:r w:rsidR="00463A37">
        <w:fldChar w:fldCharType="separate"/>
      </w:r>
      <w:r w:rsidR="009F3C02">
        <w:t xml:space="preserve">Table </w:t>
      </w:r>
      <w:r w:rsidR="009F3C02">
        <w:rPr>
          <w:noProof/>
        </w:rPr>
        <w:t>2</w:t>
      </w:r>
      <w:r w:rsidR="00463A37">
        <w:fldChar w:fldCharType="end"/>
      </w:r>
      <w:r w:rsidR="00463A37">
        <w:t xml:space="preserve"> </w:t>
      </w:r>
      <w:r w:rsidRPr="004E3D7D">
        <w:t>for ease of reference</w:t>
      </w:r>
      <w:r w:rsidR="00856CF5">
        <w:t xml:space="preserve">. The results obtained for the original prototype junctions are also contained within </w:t>
      </w:r>
      <w:r w:rsidR="00856CF5">
        <w:fldChar w:fldCharType="begin"/>
      </w:r>
      <w:r w:rsidR="00856CF5">
        <w:instrText xml:space="preserve"> REF _Ref421647242 \h </w:instrText>
      </w:r>
      <w:r w:rsidR="00856CF5">
        <w:fldChar w:fldCharType="separate"/>
      </w:r>
      <w:r w:rsidR="00856CF5">
        <w:t xml:space="preserve">Table </w:t>
      </w:r>
      <w:r w:rsidR="00856CF5">
        <w:rPr>
          <w:noProof/>
        </w:rPr>
        <w:t>2</w:t>
      </w:r>
      <w:r w:rsidR="00856CF5">
        <w:fldChar w:fldCharType="end"/>
      </w:r>
      <w:r w:rsidR="00856CF5">
        <w:t xml:space="preserve"> for comparative purposes</w:t>
      </w:r>
      <w:r w:rsidRPr="004E3D7D">
        <w:t>.</w:t>
      </w:r>
      <w:r w:rsidR="00BE4644">
        <w:t xml:space="preserve"> </w:t>
      </w:r>
      <w:r>
        <w:t xml:space="preserve">The columns headed </w:t>
      </w:r>
      <w:r w:rsidRPr="00BE4644">
        <w:rPr>
          <w:rFonts w:ascii="Cambria Math" w:hAnsi="Cambria Math" w:cstheme="minorHAnsi"/>
        </w:rPr>
        <w:t>Ψ</w:t>
      </w:r>
      <w:r>
        <w:t xml:space="preserve"> and </w:t>
      </w:r>
      <w:proofErr w:type="spellStart"/>
      <w:r w:rsidRPr="00BE4644">
        <w:rPr>
          <w:rFonts w:ascii="Cambria Math" w:hAnsi="Cambria Math" w:cstheme="minorHAnsi"/>
        </w:rPr>
        <w:t>ƒ</w:t>
      </w:r>
      <w:r w:rsidRPr="008D1D4D">
        <w:rPr>
          <w:rFonts w:cs="Arial"/>
          <w:vertAlign w:val="subscript"/>
        </w:rPr>
        <w:t>Rsi</w:t>
      </w:r>
      <w:proofErr w:type="spellEnd"/>
      <w:r>
        <w:t xml:space="preserve"> are the val</w:t>
      </w:r>
      <w:r w:rsidR="00634B61">
        <w:t xml:space="preserve">ues calculated for the </w:t>
      </w:r>
      <w:r w:rsidR="009F3C02">
        <w:t xml:space="preserve">amended </w:t>
      </w:r>
      <w:r w:rsidR="00634B61">
        <w:t>design</w:t>
      </w:r>
      <w:r w:rsidR="009F3C02">
        <w:t>s</w:t>
      </w:r>
      <w:r w:rsidR="00634B61">
        <w:t xml:space="preserve">. </w:t>
      </w:r>
      <w:r>
        <w:t xml:space="preserve">The values in the column headed ADD </w:t>
      </w:r>
      <w:r w:rsidRPr="00BE4644">
        <w:rPr>
          <w:rFonts w:ascii="Cambria Math" w:hAnsi="Cambria Math" w:cstheme="minorHAnsi"/>
        </w:rPr>
        <w:t>Ψ</w:t>
      </w:r>
      <w:r>
        <w:t xml:space="preserve"> represent the Approved Design Detail (Approved) values identified in Appendix K of SAP 2012 (Department of Energy and</w:t>
      </w:r>
      <w:r w:rsidR="00634B61">
        <w:t xml:space="preserve"> Climate Change (DECC), 2013). </w:t>
      </w:r>
      <w:r>
        <w:t xml:space="preserve">The values in the column headed Default </w:t>
      </w:r>
      <w:r w:rsidRPr="00BE4644">
        <w:rPr>
          <w:rFonts w:ascii="Cambria Math" w:hAnsi="Cambria Math" w:cstheme="minorHAnsi"/>
        </w:rPr>
        <w:t>Ψ</w:t>
      </w:r>
      <w:r>
        <w:t xml:space="preserve"> represent the Building Regulations Default values identified in Appendix K of SAP 2012 (</w:t>
      </w:r>
      <w:r w:rsidRPr="00BE4644">
        <w:rPr>
          <w:i/>
        </w:rPr>
        <w:t>ibid</w:t>
      </w:r>
      <w:r>
        <w:t>).</w:t>
      </w:r>
    </w:p>
    <w:p w14:paraId="35ECA83E" w14:textId="77777777" w:rsidR="00FB4022" w:rsidRDefault="00FB4022" w:rsidP="00634B61">
      <w:pPr>
        <w:pStyle w:val="NumPara"/>
        <w:numPr>
          <w:ilvl w:val="0"/>
          <w:numId w:val="0"/>
        </w:numPr>
        <w:ind w:left="567"/>
      </w:pPr>
    </w:p>
    <w:tbl>
      <w:tblPr>
        <w:tblStyle w:val="TableGrid"/>
        <w:tblW w:w="0" w:type="auto"/>
        <w:tblLayout w:type="fixed"/>
        <w:tblLook w:val="04A0" w:firstRow="1" w:lastRow="0" w:firstColumn="1" w:lastColumn="0" w:noHBand="0" w:noVBand="1"/>
      </w:tblPr>
      <w:tblGrid>
        <w:gridCol w:w="4045"/>
        <w:gridCol w:w="1039"/>
        <w:gridCol w:w="1039"/>
        <w:gridCol w:w="1040"/>
        <w:gridCol w:w="1039"/>
        <w:gridCol w:w="1040"/>
      </w:tblGrid>
      <w:tr w:rsidR="00FB4022" w:rsidRPr="005C429E" w14:paraId="38BAD98F" w14:textId="77777777" w:rsidTr="00127287">
        <w:trPr>
          <w:trHeight w:val="360"/>
        </w:trPr>
        <w:tc>
          <w:tcPr>
            <w:tcW w:w="4045" w:type="dxa"/>
            <w:noWrap/>
            <w:vAlign w:val="center"/>
            <w:hideMark/>
          </w:tcPr>
          <w:p w14:paraId="52FF22C5" w14:textId="77777777" w:rsidR="00FB4022" w:rsidRPr="005C429E" w:rsidRDefault="00FB4022" w:rsidP="00127287">
            <w:pPr>
              <w:jc w:val="center"/>
              <w:rPr>
                <w:b/>
                <w:bCs/>
              </w:rPr>
            </w:pPr>
            <w:r w:rsidRPr="005C429E">
              <w:rPr>
                <w:b/>
                <w:bCs/>
              </w:rPr>
              <w:t>Junction:</w:t>
            </w:r>
          </w:p>
        </w:tc>
        <w:tc>
          <w:tcPr>
            <w:tcW w:w="1039" w:type="dxa"/>
            <w:noWrap/>
            <w:vAlign w:val="center"/>
            <w:hideMark/>
          </w:tcPr>
          <w:p w14:paraId="20E5CE03" w14:textId="77777777" w:rsidR="00FB4022" w:rsidRPr="005C429E" w:rsidRDefault="00FB4022" w:rsidP="00127287">
            <w:pPr>
              <w:jc w:val="center"/>
              <w:rPr>
                <w:b/>
                <w:bCs/>
              </w:rPr>
            </w:pPr>
            <w:r w:rsidRPr="005C429E">
              <w:rPr>
                <w:b/>
                <w:bCs/>
              </w:rPr>
              <w:t>Ref:</w:t>
            </w:r>
          </w:p>
        </w:tc>
        <w:tc>
          <w:tcPr>
            <w:tcW w:w="1039" w:type="dxa"/>
            <w:noWrap/>
            <w:vAlign w:val="center"/>
            <w:hideMark/>
          </w:tcPr>
          <w:p w14:paraId="2B1D18E4" w14:textId="77777777" w:rsidR="00FB4022" w:rsidRPr="005C429E" w:rsidRDefault="00FB4022" w:rsidP="00127287">
            <w:pPr>
              <w:jc w:val="center"/>
              <w:rPr>
                <w:b/>
                <w:bCs/>
              </w:rPr>
            </w:pPr>
            <w:r w:rsidRPr="005C429E">
              <w:rPr>
                <w:rFonts w:ascii="Cambria Math" w:hAnsi="Cambria Math"/>
                <w:b/>
                <w:bCs/>
              </w:rPr>
              <w:t>Ψ</w:t>
            </w:r>
            <w:r w:rsidRPr="005C429E">
              <w:rPr>
                <w:b/>
                <w:bCs/>
              </w:rPr>
              <w:t>:</w:t>
            </w:r>
          </w:p>
        </w:tc>
        <w:tc>
          <w:tcPr>
            <w:tcW w:w="1040" w:type="dxa"/>
            <w:noWrap/>
            <w:vAlign w:val="center"/>
            <w:hideMark/>
          </w:tcPr>
          <w:p w14:paraId="1650A777" w14:textId="77777777" w:rsidR="00FB4022" w:rsidRPr="005C429E" w:rsidRDefault="00FB4022" w:rsidP="00127287">
            <w:pPr>
              <w:jc w:val="center"/>
              <w:rPr>
                <w:b/>
                <w:bCs/>
              </w:rPr>
            </w:pPr>
            <w:proofErr w:type="spellStart"/>
            <w:r w:rsidRPr="005C429E">
              <w:rPr>
                <w:rFonts w:ascii="Cambria Math" w:hAnsi="Cambria Math"/>
                <w:b/>
                <w:bCs/>
              </w:rPr>
              <w:t>ƒ</w:t>
            </w:r>
            <w:r w:rsidRPr="008D1D4D">
              <w:rPr>
                <w:rFonts w:cs="Arial"/>
                <w:b/>
                <w:bCs/>
                <w:vertAlign w:val="subscript"/>
              </w:rPr>
              <w:t>Rsi</w:t>
            </w:r>
            <w:proofErr w:type="spellEnd"/>
            <w:r w:rsidRPr="005C429E">
              <w:rPr>
                <w:b/>
                <w:bCs/>
              </w:rPr>
              <w:t>:</w:t>
            </w:r>
          </w:p>
        </w:tc>
        <w:tc>
          <w:tcPr>
            <w:tcW w:w="1039" w:type="dxa"/>
            <w:noWrap/>
            <w:vAlign w:val="center"/>
            <w:hideMark/>
          </w:tcPr>
          <w:p w14:paraId="2F354265" w14:textId="77777777" w:rsidR="00FB4022" w:rsidRPr="005C429E" w:rsidRDefault="00FB4022" w:rsidP="00127287">
            <w:pPr>
              <w:jc w:val="center"/>
              <w:rPr>
                <w:b/>
                <w:bCs/>
              </w:rPr>
            </w:pPr>
            <w:r w:rsidRPr="005C429E">
              <w:rPr>
                <w:b/>
                <w:bCs/>
              </w:rPr>
              <w:t xml:space="preserve">ADD </w:t>
            </w:r>
            <w:r w:rsidRPr="005C429E">
              <w:rPr>
                <w:rFonts w:ascii="Cambria Math" w:hAnsi="Cambria Math"/>
                <w:b/>
                <w:bCs/>
              </w:rPr>
              <w:t>Ψ</w:t>
            </w:r>
            <w:r w:rsidRPr="005C429E">
              <w:rPr>
                <w:b/>
                <w:bCs/>
              </w:rPr>
              <w:t>:</w:t>
            </w:r>
          </w:p>
        </w:tc>
        <w:tc>
          <w:tcPr>
            <w:tcW w:w="1040" w:type="dxa"/>
            <w:noWrap/>
            <w:vAlign w:val="center"/>
            <w:hideMark/>
          </w:tcPr>
          <w:p w14:paraId="2940DF14" w14:textId="77777777" w:rsidR="00FB4022" w:rsidRPr="005C429E" w:rsidRDefault="00FB4022" w:rsidP="00127287">
            <w:pPr>
              <w:jc w:val="center"/>
              <w:rPr>
                <w:b/>
                <w:bCs/>
              </w:rPr>
            </w:pPr>
            <w:r w:rsidRPr="005C429E">
              <w:rPr>
                <w:b/>
                <w:bCs/>
              </w:rPr>
              <w:t xml:space="preserve">Default </w:t>
            </w:r>
            <w:r w:rsidRPr="005C429E">
              <w:rPr>
                <w:rFonts w:ascii="Cambria Math" w:hAnsi="Cambria Math"/>
                <w:b/>
                <w:bCs/>
              </w:rPr>
              <w:t>Ψ</w:t>
            </w:r>
            <w:r w:rsidRPr="005C429E">
              <w:rPr>
                <w:b/>
                <w:bCs/>
              </w:rPr>
              <w:t>:</w:t>
            </w:r>
          </w:p>
        </w:tc>
      </w:tr>
      <w:tr w:rsidR="00FB4022" w:rsidRPr="005C429E" w14:paraId="1D88C0CF" w14:textId="77777777" w:rsidTr="00127287">
        <w:trPr>
          <w:trHeight w:val="300"/>
        </w:trPr>
        <w:tc>
          <w:tcPr>
            <w:tcW w:w="4045" w:type="dxa"/>
            <w:noWrap/>
            <w:vAlign w:val="center"/>
            <w:hideMark/>
          </w:tcPr>
          <w:p w14:paraId="73390DE0" w14:textId="77777777" w:rsidR="00FB4022" w:rsidRPr="005C429E" w:rsidRDefault="00FB4022" w:rsidP="00127287">
            <w:r w:rsidRPr="005C429E">
              <w:t>Lobby Threshold at Door (Improved)</w:t>
            </w:r>
          </w:p>
        </w:tc>
        <w:tc>
          <w:tcPr>
            <w:tcW w:w="1039" w:type="dxa"/>
            <w:noWrap/>
            <w:vAlign w:val="center"/>
            <w:hideMark/>
          </w:tcPr>
          <w:p w14:paraId="6ED63CCA" w14:textId="77777777" w:rsidR="00FB4022" w:rsidRPr="005C429E" w:rsidRDefault="00FB4022" w:rsidP="00127287">
            <w:pPr>
              <w:jc w:val="center"/>
            </w:pPr>
            <w:r w:rsidRPr="005C429E">
              <w:t>TB/21</w:t>
            </w:r>
          </w:p>
        </w:tc>
        <w:tc>
          <w:tcPr>
            <w:tcW w:w="1039" w:type="dxa"/>
            <w:noWrap/>
            <w:vAlign w:val="center"/>
            <w:hideMark/>
          </w:tcPr>
          <w:p w14:paraId="2BE6F94F" w14:textId="77777777" w:rsidR="00FB4022" w:rsidRPr="005C429E" w:rsidRDefault="00FB4022" w:rsidP="00127287">
            <w:pPr>
              <w:jc w:val="center"/>
            </w:pPr>
            <w:r w:rsidRPr="005C429E">
              <w:t>0.310</w:t>
            </w:r>
          </w:p>
        </w:tc>
        <w:tc>
          <w:tcPr>
            <w:tcW w:w="1040" w:type="dxa"/>
            <w:noWrap/>
            <w:vAlign w:val="center"/>
            <w:hideMark/>
          </w:tcPr>
          <w:p w14:paraId="56F72324" w14:textId="77777777" w:rsidR="00FB4022" w:rsidRPr="005C429E" w:rsidRDefault="00FB4022" w:rsidP="00127287">
            <w:pPr>
              <w:jc w:val="center"/>
            </w:pPr>
            <w:r w:rsidRPr="005C429E">
              <w:t>0.834</w:t>
            </w:r>
          </w:p>
        </w:tc>
        <w:tc>
          <w:tcPr>
            <w:tcW w:w="1039" w:type="dxa"/>
            <w:noWrap/>
            <w:vAlign w:val="center"/>
            <w:hideMark/>
          </w:tcPr>
          <w:p w14:paraId="620BF4F1" w14:textId="77777777" w:rsidR="00FB4022" w:rsidRPr="005C429E" w:rsidRDefault="00FB4022" w:rsidP="00127287">
            <w:pPr>
              <w:jc w:val="center"/>
            </w:pPr>
            <w:r>
              <w:t>NA</w:t>
            </w:r>
          </w:p>
        </w:tc>
        <w:tc>
          <w:tcPr>
            <w:tcW w:w="1040" w:type="dxa"/>
            <w:noWrap/>
            <w:vAlign w:val="center"/>
            <w:hideMark/>
          </w:tcPr>
          <w:p w14:paraId="7FC0ABB8" w14:textId="77777777" w:rsidR="00FB4022" w:rsidRPr="005C429E" w:rsidRDefault="00FB4022" w:rsidP="00127287">
            <w:pPr>
              <w:jc w:val="center"/>
            </w:pPr>
            <w:r>
              <w:t>NA</w:t>
            </w:r>
          </w:p>
        </w:tc>
      </w:tr>
      <w:tr w:rsidR="00856CF5" w:rsidRPr="005C429E" w14:paraId="2A288E3E" w14:textId="77777777" w:rsidTr="00127287">
        <w:trPr>
          <w:trHeight w:val="300"/>
        </w:trPr>
        <w:tc>
          <w:tcPr>
            <w:tcW w:w="4045" w:type="dxa"/>
            <w:noWrap/>
            <w:vAlign w:val="center"/>
          </w:tcPr>
          <w:p w14:paraId="22598E8E" w14:textId="7C5B3F3A" w:rsidR="00856CF5" w:rsidRPr="005C429E" w:rsidRDefault="00856CF5" w:rsidP="00006344">
            <w:r>
              <w:t>Lobby Threshold at Door (</w:t>
            </w:r>
            <w:r w:rsidR="00006344">
              <w:t>Original</w:t>
            </w:r>
            <w:r w:rsidRPr="00856CF5">
              <w:t>)</w:t>
            </w:r>
          </w:p>
        </w:tc>
        <w:tc>
          <w:tcPr>
            <w:tcW w:w="1039" w:type="dxa"/>
            <w:noWrap/>
            <w:vAlign w:val="center"/>
          </w:tcPr>
          <w:p w14:paraId="60BEB0C1" w14:textId="77777777" w:rsidR="00856CF5" w:rsidRPr="004E3D7D" w:rsidRDefault="00856CF5" w:rsidP="00856CF5">
            <w:pPr>
              <w:jc w:val="center"/>
            </w:pPr>
            <w:r w:rsidRPr="004E3D7D">
              <w:t>TB/13</w:t>
            </w:r>
          </w:p>
        </w:tc>
        <w:tc>
          <w:tcPr>
            <w:tcW w:w="1039" w:type="dxa"/>
            <w:noWrap/>
            <w:vAlign w:val="center"/>
          </w:tcPr>
          <w:p w14:paraId="0E8FCDC8" w14:textId="77777777" w:rsidR="00856CF5" w:rsidRPr="004E3D7D" w:rsidRDefault="00856CF5" w:rsidP="00856CF5">
            <w:pPr>
              <w:jc w:val="center"/>
            </w:pPr>
            <w:r w:rsidRPr="004E3D7D">
              <w:t>0.348</w:t>
            </w:r>
          </w:p>
        </w:tc>
        <w:tc>
          <w:tcPr>
            <w:tcW w:w="1040" w:type="dxa"/>
            <w:noWrap/>
            <w:vAlign w:val="center"/>
          </w:tcPr>
          <w:p w14:paraId="3DD63A30" w14:textId="77777777" w:rsidR="00856CF5" w:rsidRPr="004E3D7D" w:rsidRDefault="00856CF5" w:rsidP="00856CF5">
            <w:pPr>
              <w:jc w:val="center"/>
            </w:pPr>
            <w:r w:rsidRPr="004E3D7D">
              <w:t>0.809</w:t>
            </w:r>
          </w:p>
        </w:tc>
        <w:tc>
          <w:tcPr>
            <w:tcW w:w="1039" w:type="dxa"/>
            <w:noWrap/>
            <w:vAlign w:val="center"/>
          </w:tcPr>
          <w:p w14:paraId="5E8316AE" w14:textId="77777777" w:rsidR="00856CF5" w:rsidRDefault="00856CF5" w:rsidP="00856CF5">
            <w:pPr>
              <w:jc w:val="center"/>
            </w:pPr>
            <w:r w:rsidRPr="00E34AB8">
              <w:t>NA</w:t>
            </w:r>
          </w:p>
        </w:tc>
        <w:tc>
          <w:tcPr>
            <w:tcW w:w="1040" w:type="dxa"/>
            <w:noWrap/>
            <w:vAlign w:val="center"/>
          </w:tcPr>
          <w:p w14:paraId="660A09D8" w14:textId="77777777" w:rsidR="00856CF5" w:rsidRDefault="00856CF5" w:rsidP="00856CF5">
            <w:pPr>
              <w:jc w:val="center"/>
            </w:pPr>
            <w:r w:rsidRPr="00A9444A">
              <w:t>NA</w:t>
            </w:r>
          </w:p>
        </w:tc>
      </w:tr>
      <w:tr w:rsidR="00856CF5" w:rsidRPr="005C429E" w14:paraId="66E555E0" w14:textId="77777777" w:rsidTr="00127287">
        <w:trPr>
          <w:trHeight w:val="300"/>
        </w:trPr>
        <w:tc>
          <w:tcPr>
            <w:tcW w:w="4045" w:type="dxa"/>
            <w:noWrap/>
            <w:vAlign w:val="center"/>
            <w:hideMark/>
          </w:tcPr>
          <w:p w14:paraId="70E5B424" w14:textId="77777777" w:rsidR="00856CF5" w:rsidRPr="005C429E" w:rsidRDefault="00856CF5" w:rsidP="00856CF5">
            <w:r w:rsidRPr="005C429E">
              <w:t>Jamb (Improved)</w:t>
            </w:r>
          </w:p>
        </w:tc>
        <w:tc>
          <w:tcPr>
            <w:tcW w:w="1039" w:type="dxa"/>
            <w:noWrap/>
            <w:vAlign w:val="center"/>
            <w:hideMark/>
          </w:tcPr>
          <w:p w14:paraId="373CBE31" w14:textId="77777777" w:rsidR="00856CF5" w:rsidRPr="005C429E" w:rsidRDefault="00856CF5" w:rsidP="00856CF5">
            <w:pPr>
              <w:jc w:val="center"/>
            </w:pPr>
            <w:r w:rsidRPr="005C429E">
              <w:t>TB/22</w:t>
            </w:r>
          </w:p>
        </w:tc>
        <w:tc>
          <w:tcPr>
            <w:tcW w:w="1039" w:type="dxa"/>
            <w:noWrap/>
            <w:vAlign w:val="center"/>
            <w:hideMark/>
          </w:tcPr>
          <w:p w14:paraId="3059340B" w14:textId="77777777" w:rsidR="00856CF5" w:rsidRPr="005C429E" w:rsidRDefault="00856CF5" w:rsidP="00856CF5">
            <w:pPr>
              <w:jc w:val="center"/>
            </w:pPr>
            <w:r w:rsidRPr="005C429E">
              <w:t>0.032</w:t>
            </w:r>
          </w:p>
        </w:tc>
        <w:tc>
          <w:tcPr>
            <w:tcW w:w="1040" w:type="dxa"/>
            <w:noWrap/>
            <w:vAlign w:val="center"/>
            <w:hideMark/>
          </w:tcPr>
          <w:p w14:paraId="692E6675" w14:textId="77777777" w:rsidR="00856CF5" w:rsidRPr="005C429E" w:rsidRDefault="00856CF5" w:rsidP="00856CF5">
            <w:pPr>
              <w:jc w:val="center"/>
            </w:pPr>
            <w:r w:rsidRPr="005C429E">
              <w:t>0.858</w:t>
            </w:r>
          </w:p>
        </w:tc>
        <w:tc>
          <w:tcPr>
            <w:tcW w:w="1039" w:type="dxa"/>
            <w:noWrap/>
            <w:vAlign w:val="center"/>
            <w:hideMark/>
          </w:tcPr>
          <w:p w14:paraId="341D75E4" w14:textId="77777777" w:rsidR="00856CF5" w:rsidRPr="005C429E" w:rsidRDefault="00856CF5" w:rsidP="00856CF5">
            <w:pPr>
              <w:jc w:val="center"/>
            </w:pPr>
            <w:r w:rsidRPr="005C429E">
              <w:t>0.050</w:t>
            </w:r>
          </w:p>
        </w:tc>
        <w:tc>
          <w:tcPr>
            <w:tcW w:w="1040" w:type="dxa"/>
            <w:noWrap/>
            <w:vAlign w:val="center"/>
            <w:hideMark/>
          </w:tcPr>
          <w:p w14:paraId="69406811" w14:textId="77777777" w:rsidR="00856CF5" w:rsidRPr="005C429E" w:rsidRDefault="00856CF5" w:rsidP="00856CF5">
            <w:pPr>
              <w:jc w:val="center"/>
            </w:pPr>
            <w:r w:rsidRPr="005C429E">
              <w:t>0.100</w:t>
            </w:r>
          </w:p>
        </w:tc>
      </w:tr>
      <w:tr w:rsidR="00856CF5" w:rsidRPr="005C429E" w14:paraId="26838AD4" w14:textId="77777777" w:rsidTr="00127287">
        <w:trPr>
          <w:trHeight w:val="300"/>
        </w:trPr>
        <w:tc>
          <w:tcPr>
            <w:tcW w:w="4045" w:type="dxa"/>
            <w:noWrap/>
            <w:vAlign w:val="center"/>
          </w:tcPr>
          <w:p w14:paraId="071C5C54" w14:textId="29F08F6D" w:rsidR="00856CF5" w:rsidRPr="005C429E" w:rsidRDefault="00856CF5" w:rsidP="00006344">
            <w:r>
              <w:t>Jamb (</w:t>
            </w:r>
            <w:r w:rsidR="00006344">
              <w:t>Original</w:t>
            </w:r>
            <w:r w:rsidRPr="00856CF5">
              <w:t>)</w:t>
            </w:r>
          </w:p>
        </w:tc>
        <w:tc>
          <w:tcPr>
            <w:tcW w:w="1039" w:type="dxa"/>
            <w:noWrap/>
            <w:vAlign w:val="center"/>
          </w:tcPr>
          <w:p w14:paraId="660EAFD8" w14:textId="77777777" w:rsidR="00856CF5" w:rsidRPr="004E3D7D" w:rsidRDefault="00856CF5" w:rsidP="00856CF5">
            <w:pPr>
              <w:jc w:val="center"/>
            </w:pPr>
            <w:r w:rsidRPr="004E3D7D">
              <w:t>TB/02</w:t>
            </w:r>
          </w:p>
        </w:tc>
        <w:tc>
          <w:tcPr>
            <w:tcW w:w="1039" w:type="dxa"/>
            <w:noWrap/>
            <w:vAlign w:val="center"/>
          </w:tcPr>
          <w:p w14:paraId="5C7CED8C" w14:textId="77777777" w:rsidR="00856CF5" w:rsidRPr="004E3D7D" w:rsidRDefault="00856CF5" w:rsidP="00856CF5">
            <w:pPr>
              <w:jc w:val="center"/>
            </w:pPr>
            <w:r w:rsidRPr="004E3D7D">
              <w:t>0.038</w:t>
            </w:r>
          </w:p>
        </w:tc>
        <w:tc>
          <w:tcPr>
            <w:tcW w:w="1040" w:type="dxa"/>
            <w:noWrap/>
            <w:vAlign w:val="center"/>
          </w:tcPr>
          <w:p w14:paraId="3FB20C45" w14:textId="77777777" w:rsidR="00856CF5" w:rsidRPr="004E3D7D" w:rsidRDefault="00856CF5" w:rsidP="00856CF5">
            <w:pPr>
              <w:jc w:val="center"/>
            </w:pPr>
            <w:r w:rsidRPr="004E3D7D">
              <w:t>0.750</w:t>
            </w:r>
          </w:p>
        </w:tc>
        <w:tc>
          <w:tcPr>
            <w:tcW w:w="1039" w:type="dxa"/>
            <w:noWrap/>
            <w:vAlign w:val="center"/>
          </w:tcPr>
          <w:p w14:paraId="2C8D88F0" w14:textId="77777777" w:rsidR="00856CF5" w:rsidRPr="004E3D7D" w:rsidRDefault="00856CF5" w:rsidP="00856CF5">
            <w:pPr>
              <w:jc w:val="center"/>
            </w:pPr>
            <w:r w:rsidRPr="004E3D7D">
              <w:t>0.050</w:t>
            </w:r>
          </w:p>
        </w:tc>
        <w:tc>
          <w:tcPr>
            <w:tcW w:w="1040" w:type="dxa"/>
            <w:noWrap/>
            <w:vAlign w:val="center"/>
          </w:tcPr>
          <w:p w14:paraId="4CCB18CF" w14:textId="77777777" w:rsidR="00856CF5" w:rsidRPr="004E3D7D" w:rsidRDefault="00856CF5" w:rsidP="00856CF5">
            <w:pPr>
              <w:jc w:val="center"/>
            </w:pPr>
            <w:r w:rsidRPr="004E3D7D">
              <w:t>0.100</w:t>
            </w:r>
          </w:p>
        </w:tc>
      </w:tr>
      <w:tr w:rsidR="00856CF5" w:rsidRPr="005C429E" w14:paraId="725C8CC2" w14:textId="77777777" w:rsidTr="00127287">
        <w:trPr>
          <w:trHeight w:val="300"/>
        </w:trPr>
        <w:tc>
          <w:tcPr>
            <w:tcW w:w="4045" w:type="dxa"/>
            <w:noWrap/>
            <w:vAlign w:val="center"/>
            <w:hideMark/>
          </w:tcPr>
          <w:p w14:paraId="1F71A163" w14:textId="77777777" w:rsidR="00856CF5" w:rsidRPr="005C429E" w:rsidRDefault="00856CF5" w:rsidP="00856CF5">
            <w:r w:rsidRPr="005C429E">
              <w:t>Lobby Floor/External Wall (Improved)</w:t>
            </w:r>
          </w:p>
        </w:tc>
        <w:tc>
          <w:tcPr>
            <w:tcW w:w="1039" w:type="dxa"/>
            <w:noWrap/>
            <w:vAlign w:val="center"/>
            <w:hideMark/>
          </w:tcPr>
          <w:p w14:paraId="6549198C" w14:textId="77777777" w:rsidR="00856CF5" w:rsidRPr="005C429E" w:rsidRDefault="00856CF5" w:rsidP="00856CF5">
            <w:pPr>
              <w:jc w:val="center"/>
            </w:pPr>
            <w:r w:rsidRPr="005C429E">
              <w:t>TB/23</w:t>
            </w:r>
          </w:p>
        </w:tc>
        <w:tc>
          <w:tcPr>
            <w:tcW w:w="1039" w:type="dxa"/>
            <w:noWrap/>
            <w:vAlign w:val="center"/>
            <w:hideMark/>
          </w:tcPr>
          <w:p w14:paraId="4065EDBF" w14:textId="77777777" w:rsidR="00856CF5" w:rsidRPr="005C429E" w:rsidRDefault="00856CF5" w:rsidP="00856CF5">
            <w:pPr>
              <w:jc w:val="center"/>
            </w:pPr>
            <w:r w:rsidRPr="005C429E">
              <w:t>0.265</w:t>
            </w:r>
          </w:p>
        </w:tc>
        <w:tc>
          <w:tcPr>
            <w:tcW w:w="1040" w:type="dxa"/>
            <w:noWrap/>
            <w:vAlign w:val="center"/>
            <w:hideMark/>
          </w:tcPr>
          <w:p w14:paraId="215E82B8" w14:textId="77777777" w:rsidR="00856CF5" w:rsidRPr="005C429E" w:rsidRDefault="00856CF5" w:rsidP="00856CF5">
            <w:pPr>
              <w:jc w:val="center"/>
            </w:pPr>
            <w:r w:rsidRPr="005C429E">
              <w:t>0.908</w:t>
            </w:r>
          </w:p>
        </w:tc>
        <w:tc>
          <w:tcPr>
            <w:tcW w:w="1039" w:type="dxa"/>
            <w:noWrap/>
            <w:vAlign w:val="center"/>
            <w:hideMark/>
          </w:tcPr>
          <w:p w14:paraId="41C98783" w14:textId="77777777" w:rsidR="00856CF5" w:rsidRPr="005C429E" w:rsidRDefault="00856CF5" w:rsidP="00856CF5">
            <w:pPr>
              <w:jc w:val="center"/>
            </w:pPr>
            <w:r w:rsidRPr="005C429E">
              <w:t>0.070</w:t>
            </w:r>
          </w:p>
        </w:tc>
        <w:tc>
          <w:tcPr>
            <w:tcW w:w="1040" w:type="dxa"/>
            <w:noWrap/>
            <w:vAlign w:val="center"/>
            <w:hideMark/>
          </w:tcPr>
          <w:p w14:paraId="6B608F0B" w14:textId="77777777" w:rsidR="00856CF5" w:rsidRPr="005C429E" w:rsidRDefault="00856CF5" w:rsidP="00856CF5">
            <w:pPr>
              <w:jc w:val="center"/>
            </w:pPr>
            <w:r w:rsidRPr="005C429E">
              <w:t>0.140</w:t>
            </w:r>
          </w:p>
        </w:tc>
      </w:tr>
      <w:tr w:rsidR="00856CF5" w:rsidRPr="005C429E" w14:paraId="2AA61D28" w14:textId="77777777" w:rsidTr="00127287">
        <w:trPr>
          <w:trHeight w:val="300"/>
        </w:trPr>
        <w:tc>
          <w:tcPr>
            <w:tcW w:w="4045" w:type="dxa"/>
            <w:noWrap/>
            <w:vAlign w:val="center"/>
          </w:tcPr>
          <w:p w14:paraId="6390E0BE" w14:textId="7F59348F" w:rsidR="00856CF5" w:rsidRPr="005C429E" w:rsidRDefault="00856CF5" w:rsidP="00006344">
            <w:r>
              <w:t>Lobby Floor/External Wall (</w:t>
            </w:r>
            <w:r w:rsidR="00006344">
              <w:t>Original</w:t>
            </w:r>
            <w:r w:rsidRPr="00856CF5">
              <w:t>)</w:t>
            </w:r>
          </w:p>
        </w:tc>
        <w:tc>
          <w:tcPr>
            <w:tcW w:w="1039" w:type="dxa"/>
            <w:noWrap/>
            <w:vAlign w:val="center"/>
          </w:tcPr>
          <w:p w14:paraId="480AB303" w14:textId="77777777" w:rsidR="00856CF5" w:rsidRPr="004E3D7D" w:rsidRDefault="00856CF5" w:rsidP="00856CF5">
            <w:pPr>
              <w:jc w:val="center"/>
            </w:pPr>
            <w:r w:rsidRPr="004E3D7D">
              <w:t>TB/16</w:t>
            </w:r>
          </w:p>
        </w:tc>
        <w:tc>
          <w:tcPr>
            <w:tcW w:w="1039" w:type="dxa"/>
            <w:noWrap/>
            <w:vAlign w:val="center"/>
          </w:tcPr>
          <w:p w14:paraId="5D8259B2" w14:textId="77777777" w:rsidR="00856CF5" w:rsidRPr="004E3D7D" w:rsidRDefault="00856CF5" w:rsidP="00856CF5">
            <w:pPr>
              <w:jc w:val="center"/>
            </w:pPr>
            <w:r w:rsidRPr="004E3D7D">
              <w:t>0.411</w:t>
            </w:r>
          </w:p>
        </w:tc>
        <w:tc>
          <w:tcPr>
            <w:tcW w:w="1040" w:type="dxa"/>
            <w:noWrap/>
            <w:vAlign w:val="center"/>
          </w:tcPr>
          <w:p w14:paraId="6CB7F92C" w14:textId="77777777" w:rsidR="00856CF5" w:rsidRPr="004E3D7D" w:rsidRDefault="00856CF5" w:rsidP="00856CF5">
            <w:pPr>
              <w:jc w:val="center"/>
            </w:pPr>
            <w:r w:rsidRPr="004E3D7D">
              <w:t>0.842</w:t>
            </w:r>
          </w:p>
        </w:tc>
        <w:tc>
          <w:tcPr>
            <w:tcW w:w="1039" w:type="dxa"/>
            <w:noWrap/>
            <w:vAlign w:val="center"/>
          </w:tcPr>
          <w:p w14:paraId="68DF0252" w14:textId="77777777" w:rsidR="00856CF5" w:rsidRDefault="00856CF5" w:rsidP="00856CF5">
            <w:pPr>
              <w:jc w:val="center"/>
            </w:pPr>
            <w:r w:rsidRPr="0006516B">
              <w:t>NA</w:t>
            </w:r>
          </w:p>
        </w:tc>
        <w:tc>
          <w:tcPr>
            <w:tcW w:w="1040" w:type="dxa"/>
            <w:noWrap/>
            <w:vAlign w:val="center"/>
          </w:tcPr>
          <w:p w14:paraId="4E68EF03" w14:textId="77777777" w:rsidR="00856CF5" w:rsidRDefault="00856CF5" w:rsidP="00856CF5">
            <w:pPr>
              <w:jc w:val="center"/>
            </w:pPr>
            <w:r w:rsidRPr="0006516B">
              <w:t>NA</w:t>
            </w:r>
          </w:p>
        </w:tc>
      </w:tr>
      <w:tr w:rsidR="00006344" w:rsidRPr="005C429E" w14:paraId="0DF6AAC9" w14:textId="77777777" w:rsidTr="003F52EE">
        <w:trPr>
          <w:trHeight w:val="300"/>
        </w:trPr>
        <w:tc>
          <w:tcPr>
            <w:tcW w:w="4045" w:type="dxa"/>
            <w:noWrap/>
            <w:vAlign w:val="center"/>
          </w:tcPr>
          <w:p w14:paraId="41B963EB" w14:textId="77777777" w:rsidR="00006344" w:rsidRDefault="00006344" w:rsidP="00856CF5">
            <w:r>
              <w:t>Services Penetration (Improved)</w:t>
            </w:r>
          </w:p>
        </w:tc>
        <w:tc>
          <w:tcPr>
            <w:tcW w:w="1039" w:type="dxa"/>
            <w:noWrap/>
            <w:vAlign w:val="center"/>
          </w:tcPr>
          <w:p w14:paraId="003B06CA" w14:textId="77777777" w:rsidR="00006344" w:rsidRPr="004E3D7D" w:rsidRDefault="00006344" w:rsidP="00856CF5">
            <w:pPr>
              <w:jc w:val="center"/>
            </w:pPr>
            <w:r>
              <w:t>TB/24</w:t>
            </w:r>
          </w:p>
        </w:tc>
        <w:tc>
          <w:tcPr>
            <w:tcW w:w="1039" w:type="dxa"/>
            <w:noWrap/>
            <w:vAlign w:val="center"/>
          </w:tcPr>
          <w:p w14:paraId="738033BE" w14:textId="77777777" w:rsidR="00006344" w:rsidRPr="004E3D7D" w:rsidRDefault="00006344" w:rsidP="00856CF5">
            <w:pPr>
              <w:jc w:val="center"/>
            </w:pPr>
            <w:r>
              <w:t>0.007</w:t>
            </w:r>
          </w:p>
        </w:tc>
        <w:tc>
          <w:tcPr>
            <w:tcW w:w="1040" w:type="dxa"/>
            <w:noWrap/>
            <w:vAlign w:val="center"/>
          </w:tcPr>
          <w:p w14:paraId="184E015B" w14:textId="77777777" w:rsidR="00006344" w:rsidRPr="004E3D7D" w:rsidRDefault="00006344" w:rsidP="00856CF5">
            <w:pPr>
              <w:jc w:val="center"/>
            </w:pPr>
            <w:r>
              <w:t>0.960</w:t>
            </w:r>
          </w:p>
        </w:tc>
        <w:tc>
          <w:tcPr>
            <w:tcW w:w="1039" w:type="dxa"/>
            <w:noWrap/>
          </w:tcPr>
          <w:p w14:paraId="0396AF31" w14:textId="77777777" w:rsidR="00006344" w:rsidRPr="0006516B" w:rsidRDefault="00006344" w:rsidP="00856CF5">
            <w:pPr>
              <w:jc w:val="center"/>
            </w:pPr>
            <w:r w:rsidRPr="00E43D0A">
              <w:t>NA</w:t>
            </w:r>
          </w:p>
        </w:tc>
        <w:tc>
          <w:tcPr>
            <w:tcW w:w="1040" w:type="dxa"/>
            <w:noWrap/>
          </w:tcPr>
          <w:p w14:paraId="46CBA7F1" w14:textId="77777777" w:rsidR="00006344" w:rsidRPr="0006516B" w:rsidRDefault="00006344" w:rsidP="00856CF5">
            <w:pPr>
              <w:jc w:val="center"/>
            </w:pPr>
            <w:r w:rsidRPr="00E43D0A">
              <w:t>NA</w:t>
            </w:r>
          </w:p>
        </w:tc>
      </w:tr>
      <w:tr w:rsidR="00006344" w:rsidRPr="005C429E" w14:paraId="28240300" w14:textId="77777777" w:rsidTr="003F52EE">
        <w:trPr>
          <w:trHeight w:val="300"/>
        </w:trPr>
        <w:tc>
          <w:tcPr>
            <w:tcW w:w="4045" w:type="dxa"/>
            <w:noWrap/>
            <w:vAlign w:val="center"/>
          </w:tcPr>
          <w:p w14:paraId="4B029984" w14:textId="77777777" w:rsidR="00006344" w:rsidRDefault="00006344" w:rsidP="00006344">
            <w:r>
              <w:t>Services Penetration (Original)</w:t>
            </w:r>
          </w:p>
        </w:tc>
        <w:tc>
          <w:tcPr>
            <w:tcW w:w="1039" w:type="dxa"/>
            <w:noWrap/>
            <w:vAlign w:val="center"/>
          </w:tcPr>
          <w:p w14:paraId="3DC83525" w14:textId="77777777" w:rsidR="00006344" w:rsidRPr="004E3D7D" w:rsidRDefault="00006344" w:rsidP="00856CF5">
            <w:pPr>
              <w:jc w:val="center"/>
            </w:pPr>
            <w:r>
              <w:t>TB/08</w:t>
            </w:r>
          </w:p>
        </w:tc>
        <w:tc>
          <w:tcPr>
            <w:tcW w:w="1039" w:type="dxa"/>
            <w:noWrap/>
            <w:vAlign w:val="center"/>
          </w:tcPr>
          <w:p w14:paraId="44AB9E43" w14:textId="77777777" w:rsidR="00006344" w:rsidRPr="004E3D7D" w:rsidRDefault="00006344" w:rsidP="00856CF5">
            <w:pPr>
              <w:jc w:val="center"/>
            </w:pPr>
            <w:r>
              <w:t>0.091</w:t>
            </w:r>
          </w:p>
        </w:tc>
        <w:tc>
          <w:tcPr>
            <w:tcW w:w="1040" w:type="dxa"/>
            <w:noWrap/>
            <w:vAlign w:val="center"/>
          </w:tcPr>
          <w:p w14:paraId="06E357AB" w14:textId="77777777" w:rsidR="00006344" w:rsidRPr="004E3D7D" w:rsidRDefault="00006344" w:rsidP="00856CF5">
            <w:pPr>
              <w:jc w:val="center"/>
            </w:pPr>
            <w:r>
              <w:t>0.672</w:t>
            </w:r>
          </w:p>
        </w:tc>
        <w:tc>
          <w:tcPr>
            <w:tcW w:w="1039" w:type="dxa"/>
            <w:noWrap/>
          </w:tcPr>
          <w:p w14:paraId="5AA7011A" w14:textId="77777777" w:rsidR="00006344" w:rsidRPr="0006516B" w:rsidRDefault="00006344" w:rsidP="00856CF5">
            <w:pPr>
              <w:jc w:val="center"/>
            </w:pPr>
            <w:r w:rsidRPr="00E43D0A">
              <w:t>NA</w:t>
            </w:r>
          </w:p>
        </w:tc>
        <w:tc>
          <w:tcPr>
            <w:tcW w:w="1040" w:type="dxa"/>
            <w:noWrap/>
          </w:tcPr>
          <w:p w14:paraId="53E2354F" w14:textId="77777777" w:rsidR="00006344" w:rsidRPr="0006516B" w:rsidRDefault="00006344" w:rsidP="00856CF5">
            <w:pPr>
              <w:jc w:val="center"/>
            </w:pPr>
            <w:r w:rsidRPr="00E43D0A">
              <w:t>NA</w:t>
            </w:r>
          </w:p>
        </w:tc>
      </w:tr>
    </w:tbl>
    <w:p w14:paraId="0893CEAD" w14:textId="77777777" w:rsidR="00FB4022" w:rsidRPr="005C429E" w:rsidRDefault="00634B61" w:rsidP="00634B61">
      <w:pPr>
        <w:pStyle w:val="Caption"/>
        <w:jc w:val="center"/>
      </w:pPr>
      <w:bookmarkStart w:id="11" w:name="_Ref421647242"/>
      <w:bookmarkStart w:id="12" w:name="_Ref421646309"/>
      <w:r>
        <w:t xml:space="preserve">Table </w:t>
      </w:r>
      <w:r w:rsidR="00FA6C6B">
        <w:fldChar w:fldCharType="begin"/>
      </w:r>
      <w:r w:rsidR="00FA6C6B">
        <w:instrText xml:space="preserve"> SEQ Table \* ARABIC </w:instrText>
      </w:r>
      <w:r w:rsidR="00FA6C6B">
        <w:fldChar w:fldCharType="separate"/>
      </w:r>
      <w:r w:rsidR="00210048">
        <w:rPr>
          <w:noProof/>
        </w:rPr>
        <w:t>2</w:t>
      </w:r>
      <w:r w:rsidR="00FA6C6B">
        <w:rPr>
          <w:noProof/>
        </w:rPr>
        <w:fldChar w:fldCharType="end"/>
      </w:r>
      <w:bookmarkEnd w:id="11"/>
      <w:r>
        <w:t xml:space="preserve"> Summary of thermal bridging calculations.</w:t>
      </w:r>
      <w:bookmarkEnd w:id="12"/>
    </w:p>
    <w:p w14:paraId="296C74C0" w14:textId="77777777" w:rsidR="00FB4022" w:rsidRDefault="00FB4022" w:rsidP="00634B61">
      <w:pPr>
        <w:pStyle w:val="NumPara"/>
        <w:numPr>
          <w:ilvl w:val="0"/>
          <w:numId w:val="0"/>
        </w:numPr>
        <w:ind w:left="567"/>
      </w:pPr>
    </w:p>
    <w:p w14:paraId="40C7C28A" w14:textId="77777777" w:rsidR="00FB4022" w:rsidRDefault="00FB4022" w:rsidP="00BD3A88">
      <w:pPr>
        <w:pStyle w:val="NumPara"/>
      </w:pPr>
      <w:r>
        <w:t>The</w:t>
      </w:r>
      <w:r w:rsidR="00CF6FF9">
        <w:t xml:space="preserve"> modelling results indicate that </w:t>
      </w:r>
      <w:r w:rsidR="00EB489E">
        <w:t xml:space="preserve">although </w:t>
      </w:r>
      <w:r w:rsidR="00CF6FF9">
        <w:t>the</w:t>
      </w:r>
      <w:r>
        <w:t xml:space="preserve"> </w:t>
      </w:r>
      <w:r w:rsidRPr="00563A4C">
        <w:rPr>
          <w:rFonts w:ascii="Cambria Math" w:hAnsi="Cambria Math" w:cstheme="minorHAnsi"/>
        </w:rPr>
        <w:t>Ψ</w:t>
      </w:r>
      <w:r>
        <w:t>-value of the Lobby Thresh</w:t>
      </w:r>
      <w:r w:rsidR="00EB489E">
        <w:t xml:space="preserve">old at Door (Improved) has reduced marginally from the original design value of </w:t>
      </w:r>
      <w:r w:rsidR="00CF6FF9">
        <w:t xml:space="preserve">0.348 </w:t>
      </w:r>
      <w:r w:rsidR="00337262">
        <w:t>W/</w:t>
      </w:r>
      <w:proofErr w:type="spellStart"/>
      <w:r w:rsidR="00337262">
        <w:t>m</w:t>
      </w:r>
      <w:r w:rsidR="00337262">
        <w:rPr>
          <w:rFonts w:cstheme="minorHAnsi"/>
        </w:rPr>
        <w:t>·</w:t>
      </w:r>
      <w:r w:rsidR="00337262">
        <w:t>K</w:t>
      </w:r>
      <w:proofErr w:type="spellEnd"/>
      <w:r w:rsidR="00EB489E">
        <w:t xml:space="preserve">, it </w:t>
      </w:r>
      <w:r>
        <w:t xml:space="preserve">is </w:t>
      </w:r>
      <w:r w:rsidR="009F3C02">
        <w:t xml:space="preserve">still </w:t>
      </w:r>
      <w:r>
        <w:t xml:space="preserve">considered to be high </w:t>
      </w:r>
      <w:r w:rsidR="00EB489E">
        <w:t>at 0.310</w:t>
      </w:r>
      <w:r w:rsidR="00337262">
        <w:t xml:space="preserve"> W/</w:t>
      </w:r>
      <w:proofErr w:type="spellStart"/>
      <w:r w:rsidR="00337262">
        <w:t>m</w:t>
      </w:r>
      <w:r w:rsidR="00337262">
        <w:rPr>
          <w:rFonts w:cstheme="minorHAnsi"/>
        </w:rPr>
        <w:t>·</w:t>
      </w:r>
      <w:r w:rsidR="00337262">
        <w:t>K</w:t>
      </w:r>
      <w:proofErr w:type="spellEnd"/>
      <w:r w:rsidR="00EB489E">
        <w:t xml:space="preserve">. This is result of </w:t>
      </w:r>
      <w:r>
        <w:t>the steel plate structural decking to both the lob</w:t>
      </w:r>
      <w:r w:rsidR="00EB489E">
        <w:t xml:space="preserve">by floor and the landing deck. </w:t>
      </w:r>
      <w:r>
        <w:t>Despite the steel plates being surrounded by insulation, the steel plates can be seen in the temperature distribution of thermal bridging calculation TB/21 to be condu</w:t>
      </w:r>
      <w:r w:rsidR="00EB489E">
        <w:t xml:space="preserve">cting heat along their length. </w:t>
      </w:r>
      <w:r>
        <w:t>This indicates that heat is being lost to both the unheated lobby</w:t>
      </w:r>
      <w:r w:rsidR="00EB489E">
        <w:t xml:space="preserve"> and the external environment. </w:t>
      </w:r>
      <w:r>
        <w:t>There are two options identified for further reducing the extent of thermal bridging at the Lobby Threshol</w:t>
      </w:r>
      <w:r w:rsidR="00EB489E">
        <w:t xml:space="preserve">d at Door (Improved) junction. </w:t>
      </w:r>
      <w:r>
        <w:t>Firstly, the steel plates could be thermally broken at the threshold line</w:t>
      </w:r>
      <w:r w:rsidR="00EB489E">
        <w:t>,</w:t>
      </w:r>
      <w:r>
        <w:t xml:space="preserve"> but this would be difficult to achieve because of the structural requirements of the steel plate and the limited construction depth of</w:t>
      </w:r>
      <w:r w:rsidR="00EB489E">
        <w:t xml:space="preserve"> the lobby floor/landing deck. </w:t>
      </w:r>
      <w:r>
        <w:t>Alternatively, the structural concept could be changed to remove the need for the steel plates in the junction design.</w:t>
      </w:r>
      <w:r w:rsidR="00EB489E">
        <w:t xml:space="preserve"> </w:t>
      </w:r>
      <w:r>
        <w:t xml:space="preserve">The calculated </w:t>
      </w:r>
      <w:proofErr w:type="spellStart"/>
      <w:r w:rsidRPr="00BD3A88">
        <w:rPr>
          <w:rFonts w:ascii="Cambria Math" w:hAnsi="Cambria Math" w:cstheme="minorHAnsi"/>
        </w:rPr>
        <w:t>ƒ</w:t>
      </w:r>
      <w:r w:rsidRPr="008D1D4D">
        <w:rPr>
          <w:rFonts w:cs="Arial"/>
          <w:vertAlign w:val="subscript"/>
        </w:rPr>
        <w:t>Rsi</w:t>
      </w:r>
      <w:proofErr w:type="spellEnd"/>
      <w:r w:rsidRPr="00BD3A88">
        <w:rPr>
          <w:rFonts w:ascii="Cambria Math" w:hAnsi="Cambria Math"/>
        </w:rPr>
        <w:t xml:space="preserve"> </w:t>
      </w:r>
      <w:r w:rsidRPr="00BD3A88">
        <w:rPr>
          <w:rFonts w:cs="Arial"/>
        </w:rPr>
        <w:t xml:space="preserve">of 0.834 </w:t>
      </w:r>
      <w:r w:rsidR="00EB489E" w:rsidRPr="00BD3A88">
        <w:rPr>
          <w:rFonts w:cs="Arial"/>
        </w:rPr>
        <w:t xml:space="preserve">for this junction has increased slightly from the original design </w:t>
      </w:r>
      <w:r w:rsidR="006F6845">
        <w:rPr>
          <w:rFonts w:cs="Arial"/>
        </w:rPr>
        <w:t>(</w:t>
      </w:r>
      <w:r w:rsidR="00337262">
        <w:rPr>
          <w:rFonts w:cs="Arial"/>
        </w:rPr>
        <w:t>0.809</w:t>
      </w:r>
      <w:r w:rsidR="006F6845">
        <w:rPr>
          <w:rFonts w:cs="Arial"/>
        </w:rPr>
        <w:t xml:space="preserve">) </w:t>
      </w:r>
      <w:r w:rsidR="00EB489E" w:rsidRPr="00BD3A88">
        <w:rPr>
          <w:rFonts w:cs="Arial"/>
        </w:rPr>
        <w:t xml:space="preserve">and </w:t>
      </w:r>
      <w:r w:rsidRPr="00BD3A88">
        <w:rPr>
          <w:rFonts w:cs="Arial"/>
        </w:rPr>
        <w:t xml:space="preserve">exceeds the </w:t>
      </w:r>
      <w:r>
        <w:t>critical temperature factor (</w:t>
      </w:r>
      <w:proofErr w:type="spellStart"/>
      <w:r w:rsidRPr="00BD3A88">
        <w:rPr>
          <w:rFonts w:ascii="Cambria Math" w:hAnsi="Cambria Math" w:cstheme="minorHAnsi"/>
        </w:rPr>
        <w:t>ƒ</w:t>
      </w:r>
      <w:r w:rsidRPr="008D1D4D">
        <w:rPr>
          <w:rFonts w:cs="Arial"/>
          <w:vertAlign w:val="subscript"/>
        </w:rPr>
        <w:t>CRsi</w:t>
      </w:r>
      <w:proofErr w:type="spellEnd"/>
      <w:r>
        <w:t>)</w:t>
      </w:r>
      <w:r w:rsidRPr="003B6CD1">
        <w:t xml:space="preserve"> </w:t>
      </w:r>
      <w:r w:rsidR="00EB489E">
        <w:t xml:space="preserve">of 0.750 (Ward, 2006). </w:t>
      </w:r>
      <w:r>
        <w:t>Therefore, the Lobby Threshold at Door (Improved) junction does not present a risk of surface condensation or mould growth.</w:t>
      </w:r>
    </w:p>
    <w:p w14:paraId="484AB74E" w14:textId="77777777" w:rsidR="008D1D4D" w:rsidRDefault="008D1D4D" w:rsidP="008D1D4D">
      <w:pPr>
        <w:pStyle w:val="NumPara"/>
      </w:pPr>
      <w:r>
        <w:lastRenderedPageBreak/>
        <w:t xml:space="preserve">For the Jamb (Improved) junction, the modelling results indicate that the </w:t>
      </w:r>
      <w:r w:rsidRPr="00EB489E">
        <w:t xml:space="preserve">Ψ-value </w:t>
      </w:r>
      <w:r>
        <w:t>of this junction has improved slightly from the original design of 0.038 W/</w:t>
      </w:r>
      <w:proofErr w:type="spellStart"/>
      <w:r>
        <w:t>m</w:t>
      </w:r>
      <w:r>
        <w:rPr>
          <w:rFonts w:cstheme="minorHAnsi"/>
        </w:rPr>
        <w:t>·</w:t>
      </w:r>
      <w:r>
        <w:t>K</w:t>
      </w:r>
      <w:proofErr w:type="spellEnd"/>
      <w:r>
        <w:t xml:space="preserve"> to 0.032 W/</w:t>
      </w:r>
      <w:proofErr w:type="spellStart"/>
      <w:r>
        <w:t>m</w:t>
      </w:r>
      <w:r>
        <w:rPr>
          <w:rFonts w:cstheme="minorHAnsi"/>
        </w:rPr>
        <w:t>·</w:t>
      </w:r>
      <w:r>
        <w:t>K</w:t>
      </w:r>
      <w:proofErr w:type="spellEnd"/>
      <w:r>
        <w:t xml:space="preserve"> It also improves on the Approved </w:t>
      </w:r>
      <w:r w:rsidRPr="00D9025B">
        <w:rPr>
          <w:rFonts w:ascii="Cambria Math" w:hAnsi="Cambria Math" w:cstheme="minorHAnsi"/>
        </w:rPr>
        <w:t>Ψ</w:t>
      </w:r>
      <w:r>
        <w:t>-value by 0.018 W/</w:t>
      </w:r>
      <w:proofErr w:type="spellStart"/>
      <w:r>
        <w:t>mK</w:t>
      </w:r>
      <w:proofErr w:type="spellEnd"/>
      <w:r>
        <w:t xml:space="preserve"> (36%) and the Default</w:t>
      </w:r>
      <w:r w:rsidRPr="00D9025B">
        <w:rPr>
          <w:rFonts w:ascii="Cambria Math" w:hAnsi="Cambria Math" w:cstheme="minorHAnsi"/>
        </w:rPr>
        <w:t xml:space="preserve"> Ψ</w:t>
      </w:r>
      <w:r>
        <w:t>-value by 0.068 W/</w:t>
      </w:r>
      <w:proofErr w:type="spellStart"/>
      <w:r>
        <w:t>m</w:t>
      </w:r>
      <w:r w:rsidRPr="00D9025B">
        <w:rPr>
          <w:rFonts w:cstheme="minorHAnsi"/>
        </w:rPr>
        <w:t>·</w:t>
      </w:r>
      <w:r>
        <w:t>K</w:t>
      </w:r>
      <w:proofErr w:type="spellEnd"/>
      <w:r>
        <w:t xml:space="preserve"> (68%). The junction design created an internal surface temperature (</w:t>
      </w:r>
      <w:proofErr w:type="spellStart"/>
      <w:r>
        <w:t>T</w:t>
      </w:r>
      <w:r w:rsidRPr="00D9025B">
        <w:rPr>
          <w:vertAlign w:val="subscript"/>
        </w:rPr>
        <w:t>si</w:t>
      </w:r>
      <w:proofErr w:type="spellEnd"/>
      <w:r>
        <w:t>) of 17.15</w:t>
      </w:r>
      <w:r w:rsidRPr="00D9025B">
        <w:rPr>
          <w:rFonts w:ascii="Calibri" w:hAnsi="Calibri" w:cs="Calibri"/>
        </w:rPr>
        <w:t>°</w:t>
      </w:r>
      <w:r>
        <w:t xml:space="preserve">C under the modelled conditions. This resulted in a </w:t>
      </w:r>
      <w:proofErr w:type="spellStart"/>
      <w:r w:rsidRPr="00D9025B">
        <w:rPr>
          <w:rFonts w:ascii="Cambria Math" w:hAnsi="Cambria Math" w:cstheme="minorHAnsi"/>
        </w:rPr>
        <w:t>ƒ</w:t>
      </w:r>
      <w:r w:rsidRPr="008D1D4D">
        <w:rPr>
          <w:rFonts w:cs="Arial"/>
          <w:vertAlign w:val="subscript"/>
        </w:rPr>
        <w:t>Rsi</w:t>
      </w:r>
      <w:proofErr w:type="spellEnd"/>
      <w:r>
        <w:t xml:space="preserve"> of 0.858 that greatly exceeds the </w:t>
      </w:r>
      <w:proofErr w:type="spellStart"/>
      <w:r w:rsidRPr="00D9025B">
        <w:rPr>
          <w:rFonts w:ascii="Cambria Math" w:hAnsi="Cambria Math" w:cstheme="minorHAnsi"/>
        </w:rPr>
        <w:t>ƒ</w:t>
      </w:r>
      <w:r w:rsidRPr="008D1D4D">
        <w:rPr>
          <w:rFonts w:cs="Arial"/>
          <w:vertAlign w:val="subscript"/>
        </w:rPr>
        <w:t>CRsi</w:t>
      </w:r>
      <w:proofErr w:type="spellEnd"/>
      <w:r>
        <w:rPr>
          <w:rFonts w:ascii="Cambria Math" w:hAnsi="Cambria Math"/>
        </w:rPr>
        <w:t xml:space="preserve"> </w:t>
      </w:r>
      <w:r>
        <w:rPr>
          <w:rFonts w:cs="Arial"/>
        </w:rPr>
        <w:t xml:space="preserve">and the </w:t>
      </w:r>
      <w:proofErr w:type="spellStart"/>
      <w:r>
        <w:rPr>
          <w:rFonts w:cs="Arial"/>
        </w:rPr>
        <w:t>ƒ</w:t>
      </w:r>
      <w:r w:rsidRPr="008D1D4D">
        <w:rPr>
          <w:rFonts w:cs="Arial"/>
          <w:vertAlign w:val="subscript"/>
        </w:rPr>
        <w:t>Rsi</w:t>
      </w:r>
      <w:proofErr w:type="spellEnd"/>
      <w:r>
        <w:rPr>
          <w:rFonts w:cs="Arial"/>
        </w:rPr>
        <w:t xml:space="preserve"> calculated for the original jamb junction</w:t>
      </w:r>
      <w:r>
        <w:t>. The results indicate that the junction design does not present a risk of surface condensation or mould growth.</w:t>
      </w:r>
    </w:p>
    <w:p w14:paraId="4A7F0B56" w14:textId="18E07A91" w:rsidR="00093FC5" w:rsidRDefault="008D1D4D" w:rsidP="008D1D4D">
      <w:pPr>
        <w:pStyle w:val="NumPara"/>
      </w:pPr>
      <w:r>
        <w:t xml:space="preserve">It can also be seen from Table 2 that the </w:t>
      </w:r>
      <w:r w:rsidRPr="00337262">
        <w:t xml:space="preserve">Ψ-value </w:t>
      </w:r>
      <w:r>
        <w:t xml:space="preserve">of the </w:t>
      </w:r>
      <w:proofErr w:type="spellStart"/>
      <w:r>
        <w:t>LobbyFloor</w:t>
      </w:r>
      <w:proofErr w:type="spellEnd"/>
      <w:r>
        <w:t xml:space="preserve">/External Wall (Improved) junction has improved slightly </w:t>
      </w:r>
      <w:r w:rsidR="00EB489E" w:rsidRPr="00EB489E">
        <w:t>from th</w:t>
      </w:r>
      <w:r w:rsidR="00EB489E">
        <w:t>e original design value of 0.411</w:t>
      </w:r>
      <w:r w:rsidR="00337262">
        <w:t xml:space="preserve"> W/</w:t>
      </w:r>
      <w:proofErr w:type="spellStart"/>
      <w:r w:rsidR="00337262">
        <w:t>m</w:t>
      </w:r>
      <w:r w:rsidR="00337262" w:rsidRPr="008D1D4D">
        <w:rPr>
          <w:rFonts w:cstheme="minorHAnsi"/>
        </w:rPr>
        <w:t>·</w:t>
      </w:r>
      <w:r w:rsidR="00337262">
        <w:t>K</w:t>
      </w:r>
      <w:proofErr w:type="spellEnd"/>
      <w:r w:rsidR="00DA30FC">
        <w:t xml:space="preserve"> to 0.265</w:t>
      </w:r>
      <w:r w:rsidR="00337262">
        <w:t xml:space="preserve"> W/</w:t>
      </w:r>
      <w:proofErr w:type="spellStart"/>
      <w:r w:rsidR="00337262">
        <w:t>m</w:t>
      </w:r>
      <w:r w:rsidR="00337262" w:rsidRPr="008D1D4D">
        <w:rPr>
          <w:rFonts w:cstheme="minorHAnsi"/>
        </w:rPr>
        <w:t>·</w:t>
      </w:r>
      <w:r w:rsidR="00337262">
        <w:t>K</w:t>
      </w:r>
      <w:proofErr w:type="spellEnd"/>
      <w:r w:rsidR="00BD3A88">
        <w:t xml:space="preserve">. However, the figure of </w:t>
      </w:r>
      <w:r w:rsidR="00EB489E">
        <w:t>0.265</w:t>
      </w:r>
      <w:r w:rsidR="00337262">
        <w:t xml:space="preserve"> W/</w:t>
      </w:r>
      <w:proofErr w:type="spellStart"/>
      <w:r w:rsidR="00337262">
        <w:t>m</w:t>
      </w:r>
      <w:r w:rsidR="00337262" w:rsidRPr="008D1D4D">
        <w:rPr>
          <w:rFonts w:cstheme="minorHAnsi"/>
        </w:rPr>
        <w:t>·</w:t>
      </w:r>
      <w:r w:rsidR="00337262">
        <w:t>K</w:t>
      </w:r>
      <w:proofErr w:type="spellEnd"/>
      <w:r w:rsidR="00BD3A88">
        <w:t xml:space="preserve"> is still considered to be high and is some </w:t>
      </w:r>
      <w:r w:rsidR="0002117D">
        <w:t>0.195 W/</w:t>
      </w:r>
      <w:proofErr w:type="spellStart"/>
      <w:r w:rsidR="0002117D">
        <w:t>m</w:t>
      </w:r>
      <w:r w:rsidR="0002117D" w:rsidRPr="008D1D4D">
        <w:rPr>
          <w:rFonts w:cstheme="minorHAnsi"/>
        </w:rPr>
        <w:t>·</w:t>
      </w:r>
      <w:r w:rsidR="0002117D">
        <w:t>K</w:t>
      </w:r>
      <w:proofErr w:type="spellEnd"/>
      <w:r w:rsidR="0002117D">
        <w:t xml:space="preserve"> (278.6%) higher than the Approved </w:t>
      </w:r>
      <w:r w:rsidR="0002117D" w:rsidRPr="008D1D4D">
        <w:rPr>
          <w:rFonts w:ascii="Cambria Math" w:hAnsi="Cambria Math" w:cstheme="minorHAnsi"/>
        </w:rPr>
        <w:t>Ψ</w:t>
      </w:r>
      <w:r w:rsidR="0002117D">
        <w:t>-value and 0.125 W/</w:t>
      </w:r>
      <w:proofErr w:type="spellStart"/>
      <w:r w:rsidR="0002117D">
        <w:t>m</w:t>
      </w:r>
      <w:r w:rsidR="0002117D" w:rsidRPr="008D1D4D">
        <w:rPr>
          <w:rFonts w:cstheme="minorHAnsi"/>
        </w:rPr>
        <w:t>·</w:t>
      </w:r>
      <w:r w:rsidR="0002117D">
        <w:t>K</w:t>
      </w:r>
      <w:proofErr w:type="spellEnd"/>
      <w:r w:rsidR="0002117D">
        <w:t xml:space="preserve"> (89.3%) higher than the Default </w:t>
      </w:r>
      <w:r w:rsidR="0002117D" w:rsidRPr="008D1D4D">
        <w:rPr>
          <w:rFonts w:ascii="Cambria Math" w:hAnsi="Cambria Math" w:cstheme="minorHAnsi"/>
        </w:rPr>
        <w:t>Ψ</w:t>
      </w:r>
      <w:r w:rsidR="0002117D">
        <w:t>-value. This is considered to be a result of the steel plate decking to the landing deck.  It can be seen in the temperature distribution of the thermal bridging calculation TB/23 that the steel plate is conducting heat along its length. The density and orientation of the heat flow lines shown in the temperature distribution indicate that the steel plate is acting as a substantial constructional thermal bridge. The options for reducing the extent of thermal bridging at this junction are similar to those identified for the Lobby Threshold at Door (Improved) junction. Firstly, the steel plate to the landing deck could be thermally broken at the junction. However, this would be difficult to achieve.  Alternatively, the structural concept could be revised</w:t>
      </w:r>
      <w:r w:rsidR="006F6845">
        <w:t xml:space="preserve"> to eliminate the steel plate. The calculated </w:t>
      </w:r>
      <w:proofErr w:type="spellStart"/>
      <w:r w:rsidR="006F6845" w:rsidRPr="008D1D4D">
        <w:rPr>
          <w:rFonts w:ascii="Cambria Math" w:hAnsi="Cambria Math" w:cstheme="minorHAnsi"/>
        </w:rPr>
        <w:t>ƒ</w:t>
      </w:r>
      <w:r w:rsidR="006F6845" w:rsidRPr="008D1D4D">
        <w:rPr>
          <w:rFonts w:cs="Arial"/>
          <w:vertAlign w:val="subscript"/>
        </w:rPr>
        <w:t>Rsi</w:t>
      </w:r>
      <w:proofErr w:type="spellEnd"/>
      <w:r w:rsidR="006F6845" w:rsidRPr="008D1D4D">
        <w:rPr>
          <w:rFonts w:ascii="Cambria Math" w:hAnsi="Cambria Math"/>
        </w:rPr>
        <w:t xml:space="preserve"> </w:t>
      </w:r>
      <w:r w:rsidR="006F6845" w:rsidRPr="008D1D4D">
        <w:rPr>
          <w:rFonts w:cs="Arial"/>
        </w:rPr>
        <w:t xml:space="preserve">of 0.908 for this junction has increased slightly from the original design </w:t>
      </w:r>
      <w:r w:rsidR="00337262" w:rsidRPr="008D1D4D">
        <w:rPr>
          <w:rFonts w:cs="Arial"/>
        </w:rPr>
        <w:t>(0.842</w:t>
      </w:r>
      <w:r w:rsidR="006F6845" w:rsidRPr="008D1D4D">
        <w:rPr>
          <w:rFonts w:cs="Arial"/>
        </w:rPr>
        <w:t xml:space="preserve">) and exceeds the </w:t>
      </w:r>
      <w:r w:rsidR="006F6845">
        <w:t>critical temperature factor (</w:t>
      </w:r>
      <w:proofErr w:type="spellStart"/>
      <w:r w:rsidR="006F6845" w:rsidRPr="008D1D4D">
        <w:rPr>
          <w:rFonts w:cs="Arial"/>
        </w:rPr>
        <w:t>ƒ</w:t>
      </w:r>
      <w:r w:rsidR="006F6845" w:rsidRPr="008D1D4D">
        <w:rPr>
          <w:rFonts w:cs="Arial"/>
          <w:vertAlign w:val="subscript"/>
        </w:rPr>
        <w:t>CRsi</w:t>
      </w:r>
      <w:proofErr w:type="spellEnd"/>
      <w:r w:rsidR="006F6845">
        <w:t>)</w:t>
      </w:r>
      <w:r w:rsidR="006F6845" w:rsidRPr="003B6CD1">
        <w:t xml:space="preserve"> </w:t>
      </w:r>
      <w:r w:rsidR="006F6845">
        <w:t xml:space="preserve">of 0.750 (Ward, 2006). Therefore, the </w:t>
      </w:r>
      <w:r w:rsidR="006F6845" w:rsidRPr="006F6845">
        <w:t>Lobby Floor/E</w:t>
      </w:r>
      <w:r w:rsidR="006F6845">
        <w:t>xternal Wall (Improved) junction does not present a risk of surface condensation or mould growth.</w:t>
      </w:r>
    </w:p>
    <w:p w14:paraId="462AA2B6" w14:textId="7DAE085A" w:rsidR="00006344" w:rsidRDefault="008D1D4D" w:rsidP="00D9025B">
      <w:pPr>
        <w:pStyle w:val="NumPara"/>
      </w:pPr>
      <w:r>
        <w:t>Finally, c</w:t>
      </w:r>
      <w:r w:rsidR="00006344">
        <w:t xml:space="preserve">hanging the stainless steel parts of the spigot to the services penetration junction can be seen to greatly improve the </w:t>
      </w:r>
      <w:r w:rsidR="00006344">
        <w:rPr>
          <w:rFonts w:cs="Arial"/>
        </w:rPr>
        <w:t>Ψ</w:t>
      </w:r>
      <w:r w:rsidR="00006344">
        <w:t>-value and eliminate the risk of surface condensation.</w:t>
      </w:r>
      <w:r w:rsidR="00285CC5">
        <w:t xml:space="preserve"> It can be seen in Table 2 that the revised design reduces the </w:t>
      </w:r>
      <w:r w:rsidR="00285CC5">
        <w:rPr>
          <w:rFonts w:cs="Arial"/>
        </w:rPr>
        <w:t>Ψ</w:t>
      </w:r>
      <w:r w:rsidR="00285CC5">
        <w:t>-value by 0.084 W/</w:t>
      </w:r>
      <w:proofErr w:type="spellStart"/>
      <w:r w:rsidR="00285CC5">
        <w:t>m</w:t>
      </w:r>
      <w:r w:rsidR="00285CC5">
        <w:rPr>
          <w:rFonts w:cs="Arial"/>
        </w:rPr>
        <w:t>·</w:t>
      </w:r>
      <w:r w:rsidR="00285CC5">
        <w:t>K</w:t>
      </w:r>
      <w:proofErr w:type="spellEnd"/>
      <w:r w:rsidR="00285CC5">
        <w:t xml:space="preserve"> (92.3%).  The calculated </w:t>
      </w:r>
      <w:proofErr w:type="spellStart"/>
      <w:r w:rsidR="00285CC5">
        <w:rPr>
          <w:rFonts w:cs="Arial"/>
        </w:rPr>
        <w:t>ƒ</w:t>
      </w:r>
      <w:r w:rsidR="00285CC5" w:rsidRPr="008D1D4D">
        <w:rPr>
          <w:vertAlign w:val="subscript"/>
        </w:rPr>
        <w:t>Rsi</w:t>
      </w:r>
      <w:proofErr w:type="spellEnd"/>
      <w:r w:rsidR="00285CC5">
        <w:t xml:space="preserve"> of 0.960 for the improved junction has increased substantially from the </w:t>
      </w:r>
      <w:proofErr w:type="spellStart"/>
      <w:r w:rsidR="00285CC5">
        <w:rPr>
          <w:rFonts w:cs="Arial"/>
        </w:rPr>
        <w:t>ƒ</w:t>
      </w:r>
      <w:r w:rsidR="00285CC5" w:rsidRPr="008D1D4D">
        <w:rPr>
          <w:vertAlign w:val="subscript"/>
        </w:rPr>
        <w:t>Rsi</w:t>
      </w:r>
      <w:proofErr w:type="spellEnd"/>
      <w:r w:rsidR="00285CC5">
        <w:t xml:space="preserve"> of 0.672 calculated for the original junction design.</w:t>
      </w:r>
    </w:p>
    <w:p w14:paraId="6CB0F6CF" w14:textId="77777777" w:rsidR="006767F2" w:rsidRPr="00676F2E" w:rsidRDefault="006767F2" w:rsidP="006767F2">
      <w:pPr>
        <w:pStyle w:val="Heading1"/>
        <w:rPr>
          <w:lang w:eastAsia="en-GB"/>
        </w:rPr>
      </w:pPr>
      <w:bookmarkStart w:id="13" w:name="_Toc422493078"/>
      <w:r>
        <w:rPr>
          <w:lang w:eastAsia="en-GB"/>
        </w:rPr>
        <w:t>Dynamic thermal simulations</w:t>
      </w:r>
      <w:bookmarkEnd w:id="13"/>
    </w:p>
    <w:p w14:paraId="5BF9431B" w14:textId="689CA7B7" w:rsidR="0088616A" w:rsidRPr="0088616A" w:rsidRDefault="00C865F0" w:rsidP="00F91AAD">
      <w:pPr>
        <w:pStyle w:val="NumPara"/>
      </w:pPr>
      <w:r w:rsidRPr="00C865F0">
        <w:t>As part of the Innovate UK Innovation Voucher,</w:t>
      </w:r>
      <w:r w:rsidR="004D3A91">
        <w:t xml:space="preserve"> two </w:t>
      </w:r>
      <w:r w:rsidR="00907C52">
        <w:t xml:space="preserve">baseline </w:t>
      </w:r>
      <w:r w:rsidR="004D3A91">
        <w:t>dynamic thermal simulations</w:t>
      </w:r>
      <w:r w:rsidR="005B5710">
        <w:t xml:space="preserve"> (DTS)</w:t>
      </w:r>
      <w:r w:rsidR="004D3A91">
        <w:t xml:space="preserve"> were undertaken on the prototype dwelli</w:t>
      </w:r>
      <w:r w:rsidR="00102D7D">
        <w:t>ng</w:t>
      </w:r>
      <w:r w:rsidR="00B44B27">
        <w:t xml:space="preserve"> (Scenarios 1.1 and 1.2)</w:t>
      </w:r>
      <w:r w:rsidR="00102D7D">
        <w:t>. Both of t</w:t>
      </w:r>
      <w:r w:rsidR="004D3A91">
        <w:t xml:space="preserve">hese simulations assumed that all of the space and domestic hot water heating for dwelling was provided by a gas-fired condensing </w:t>
      </w:r>
      <w:r w:rsidR="00152DAC">
        <w:t xml:space="preserve">combination </w:t>
      </w:r>
      <w:r w:rsidR="004D3A91">
        <w:t xml:space="preserve">boiler </w:t>
      </w:r>
      <w:r w:rsidR="007E7F29">
        <w:t>and that the dwelling was mechanically ventilated using an MVHR system.</w:t>
      </w:r>
      <w:r w:rsidR="00102D7D">
        <w:t xml:space="preserve"> In one of the simulations, a ‘normal’ 9am to 5pm working week day occupancy regime has been assumed </w:t>
      </w:r>
      <w:r w:rsidR="00B44B27">
        <w:t xml:space="preserve">(Scenario 1.1) </w:t>
      </w:r>
      <w:r w:rsidR="00102D7D">
        <w:t>whilst on the other simulation a home working week day occupancy regime has been assumed</w:t>
      </w:r>
      <w:r w:rsidR="00B44B27">
        <w:t xml:space="preserve"> (Scenario 1.2)</w:t>
      </w:r>
      <w:r w:rsidR="00102D7D">
        <w:t>.</w:t>
      </w:r>
      <w:r w:rsidR="00907C52">
        <w:t xml:space="preserve"> In </w:t>
      </w:r>
      <w:r w:rsidR="0088616A">
        <w:t xml:space="preserve">addition, in </w:t>
      </w:r>
      <w:r w:rsidR="00907C52">
        <w:t xml:space="preserve">both simulations, </w:t>
      </w:r>
      <w:r w:rsidR="0088616A">
        <w:t xml:space="preserve">the building was rotated by 30° increments </w:t>
      </w:r>
      <w:r w:rsidR="0088616A" w:rsidRPr="0088616A">
        <w:t>to establish if there are any energy benefits or penalties associated with rotating the building.</w:t>
      </w:r>
      <w:r w:rsidR="0088616A">
        <w:t xml:space="preserve"> The findings </w:t>
      </w:r>
      <w:r w:rsidR="00F91AAD">
        <w:t xml:space="preserve">for the Innovate UK Innovation Voucher </w:t>
      </w:r>
      <w:r w:rsidR="0088616A">
        <w:t xml:space="preserve">suggested that negligible </w:t>
      </w:r>
      <w:r w:rsidR="00F91AAD">
        <w:t xml:space="preserve">energy </w:t>
      </w:r>
      <w:r w:rsidR="0088616A">
        <w:t>benefit was to be gained by rotating the building</w:t>
      </w:r>
      <w:r w:rsidR="00A93ED4">
        <w:t xml:space="preserve">. </w:t>
      </w:r>
      <w:r w:rsidR="00F91AAD">
        <w:t>The findings also suggested that the dwelling was likely to experience overheating, particularly in those spaces with the longest periods of occupancy (lounge, study and kitchen).</w:t>
      </w:r>
      <w:r w:rsidR="00F91AAD" w:rsidRPr="00F91AAD">
        <w:t xml:space="preserve">This finding has influenced the investigation of scenarios where additional cooling has been introduced.   </w:t>
      </w:r>
    </w:p>
    <w:p w14:paraId="04904FD5" w14:textId="197CABAC" w:rsidR="00907C52" w:rsidRDefault="00AD2A1E" w:rsidP="00AD2A1E">
      <w:pPr>
        <w:pStyle w:val="NumPara"/>
      </w:pPr>
      <w:r>
        <w:t>For the YIF Small Innovation pro</w:t>
      </w:r>
      <w:r w:rsidR="0088616A">
        <w:t>ject, a number of additional scenarios</w:t>
      </w:r>
      <w:r>
        <w:t xml:space="preserve"> have been modelled. These scenarios were </w:t>
      </w:r>
      <w:r w:rsidR="00D31C85">
        <w:t xml:space="preserve">designed to </w:t>
      </w:r>
      <w:r>
        <w:t xml:space="preserve">investigate the implications of installing an alternative heating system within the prototype dwelling (a heat pump) and to investigate the implications of introducing a number of </w:t>
      </w:r>
      <w:r w:rsidRPr="00AD2A1E">
        <w:t>different measures</w:t>
      </w:r>
      <w:r>
        <w:t xml:space="preserve"> into the prototype dwelling in order </w:t>
      </w:r>
      <w:r w:rsidRPr="00AD2A1E">
        <w:t xml:space="preserve">to mitigate </w:t>
      </w:r>
      <w:r>
        <w:t xml:space="preserve">against </w:t>
      </w:r>
      <w:r w:rsidRPr="00AD2A1E">
        <w:t>overheating.</w:t>
      </w:r>
      <w:r>
        <w:t xml:space="preserve"> </w:t>
      </w:r>
      <w:r w:rsidR="00D31C85">
        <w:t xml:space="preserve">All of these </w:t>
      </w:r>
      <w:r>
        <w:t xml:space="preserve">additional </w:t>
      </w:r>
      <w:r w:rsidR="00D31C85">
        <w:t>simulations use the CIBSE Test Reference Year (TRY) simulation weather files</w:t>
      </w:r>
      <w:r w:rsidR="00A93ED4">
        <w:t xml:space="preserve"> and </w:t>
      </w:r>
      <w:r>
        <w:t>have been undertaken at</w:t>
      </w:r>
      <w:r w:rsidR="00A93ED4">
        <w:t xml:space="preserve"> 30</w:t>
      </w:r>
      <w:r w:rsidR="00A93ED4" w:rsidRPr="00AD2A1E">
        <w:rPr>
          <w:rFonts w:cs="Arial"/>
        </w:rPr>
        <w:t>°</w:t>
      </w:r>
      <w:r w:rsidR="00A93ED4">
        <w:t xml:space="preserve"> </w:t>
      </w:r>
      <w:r>
        <w:t xml:space="preserve">increments </w:t>
      </w:r>
      <w:r w:rsidR="00A93ED4">
        <w:t xml:space="preserve">to help validate the findings from the complementary Innovate UK </w:t>
      </w:r>
      <w:r w:rsidR="00802C1D">
        <w:t xml:space="preserve">Innovation Voucher </w:t>
      </w:r>
      <w:r w:rsidR="00A93ED4">
        <w:t>report</w:t>
      </w:r>
      <w:r w:rsidR="00802C1D">
        <w:t xml:space="preserve"> (see Johnston, Brooke-Peat and Parker, 2015)</w:t>
      </w:r>
      <w:r w:rsidR="00D31C85">
        <w:t>.</w:t>
      </w:r>
      <w:r w:rsidR="00D31C85" w:rsidRPr="0062707B">
        <w:t xml:space="preserve"> </w:t>
      </w:r>
      <w:r w:rsidR="0088616A">
        <w:t>The</w:t>
      </w:r>
      <w:r w:rsidR="00802C1D">
        <w:t xml:space="preserve"> sce</w:t>
      </w:r>
      <w:r w:rsidR="00A93ED4">
        <w:t>n</w:t>
      </w:r>
      <w:r w:rsidR="00802C1D">
        <w:t>a</w:t>
      </w:r>
      <w:r w:rsidR="00A93ED4">
        <w:t>rios</w:t>
      </w:r>
      <w:r w:rsidR="0088616A">
        <w:t xml:space="preserve"> </w:t>
      </w:r>
      <w:r w:rsidR="00802C1D">
        <w:t xml:space="preserve">modelled as part of this project </w:t>
      </w:r>
      <w:r w:rsidR="0088616A">
        <w:t>were as follows:</w:t>
      </w:r>
    </w:p>
    <w:p w14:paraId="2C1E9D39" w14:textId="37BC6A21" w:rsidR="00AE3AD5" w:rsidRDefault="00B44B27" w:rsidP="00AE3AD5">
      <w:pPr>
        <w:numPr>
          <w:ilvl w:val="1"/>
          <w:numId w:val="1"/>
        </w:numPr>
        <w:tabs>
          <w:tab w:val="num" w:pos="786"/>
        </w:tabs>
        <w:spacing w:before="60" w:after="60"/>
      </w:pPr>
      <w:r>
        <w:t xml:space="preserve">Scenario 2.1 – As </w:t>
      </w:r>
      <w:r w:rsidR="00152DAC">
        <w:t>Scenario 1.1</w:t>
      </w:r>
      <w:r w:rsidR="00D929D7">
        <w:t>,</w:t>
      </w:r>
      <w:r w:rsidR="00152DAC">
        <w:t xml:space="preserve"> but with an </w:t>
      </w:r>
      <w:r>
        <w:t xml:space="preserve">electric heat pump </w:t>
      </w:r>
      <w:r w:rsidR="00802C1D">
        <w:t xml:space="preserve">installed </w:t>
      </w:r>
      <w:r w:rsidR="00D929D7">
        <w:t xml:space="preserve">(as per the original SAP assessment provided by the client) </w:t>
      </w:r>
      <w:r w:rsidR="00152DAC">
        <w:t>instead of a gas-fired condensing combination boiler</w:t>
      </w:r>
      <w:r w:rsidR="00D929D7">
        <w:t>.</w:t>
      </w:r>
      <w:r w:rsidR="00552B40">
        <w:t xml:space="preserve"> </w:t>
      </w:r>
      <w:r w:rsidR="00D31C85">
        <w:t xml:space="preserve">This is referred to in the results and conclusion sections as 2.1 SAP HP TRY (SAP inputs with Heat Pump and TRY weather file). </w:t>
      </w:r>
    </w:p>
    <w:p w14:paraId="2D824EC1" w14:textId="5240443C" w:rsidR="00152DAC" w:rsidRDefault="00B44B27" w:rsidP="00152DAC">
      <w:pPr>
        <w:numPr>
          <w:ilvl w:val="1"/>
          <w:numId w:val="1"/>
        </w:numPr>
        <w:spacing w:before="60" w:after="60"/>
      </w:pPr>
      <w:r>
        <w:t xml:space="preserve">Scenario 2.2 – </w:t>
      </w:r>
      <w:r w:rsidR="00152DAC">
        <w:t>As Scenario 1.2</w:t>
      </w:r>
      <w:r w:rsidR="00D929D7">
        <w:t>,</w:t>
      </w:r>
      <w:r w:rsidR="00152DAC" w:rsidRPr="00152DAC">
        <w:t xml:space="preserve"> but with an electric heat pump instead of a gas-fired condensing combination boiler.</w:t>
      </w:r>
      <w:r w:rsidR="006F75C9">
        <w:t xml:space="preserve"> This is referred to as 2.2 SAP HP HW TRY (SAP inputs with Heat Pump, a Home Working schedule and TRY weather file).</w:t>
      </w:r>
    </w:p>
    <w:p w14:paraId="7B13FAAE" w14:textId="1DD046CA" w:rsidR="00152DAC" w:rsidRDefault="00B44B27" w:rsidP="00152DAC">
      <w:pPr>
        <w:numPr>
          <w:ilvl w:val="1"/>
          <w:numId w:val="1"/>
        </w:numPr>
        <w:spacing w:before="60" w:after="60"/>
      </w:pPr>
      <w:r>
        <w:lastRenderedPageBreak/>
        <w:t xml:space="preserve">Scenario 3.1 – </w:t>
      </w:r>
      <w:r w:rsidR="00AE3AD5">
        <w:t xml:space="preserve">As </w:t>
      </w:r>
      <w:r w:rsidR="00152DAC">
        <w:t>Scenario 1.1</w:t>
      </w:r>
      <w:r w:rsidR="00D929D7">
        <w:t>,</w:t>
      </w:r>
      <w:r w:rsidR="00152DAC">
        <w:t xml:space="preserve"> </w:t>
      </w:r>
      <w:r>
        <w:t>b</w:t>
      </w:r>
      <w:r w:rsidR="00152DAC">
        <w:t>ut</w:t>
      </w:r>
      <w:r>
        <w:t xml:space="preserve"> with additional mechanical ventilation to combat potential overheating.</w:t>
      </w:r>
      <w:r w:rsidR="006F75C9">
        <w:t xml:space="preserve"> This is referred to as 3.1 SAP HP + MV TRY (SAP inputs with Heat Pump additional Mechanical Ventilation and TRY weather file).</w:t>
      </w:r>
    </w:p>
    <w:p w14:paraId="4884EABC" w14:textId="4CBB788C" w:rsidR="00152DAC" w:rsidRDefault="00B44B27" w:rsidP="00152DAC">
      <w:pPr>
        <w:numPr>
          <w:ilvl w:val="1"/>
          <w:numId w:val="1"/>
        </w:numPr>
        <w:spacing w:before="60" w:after="60"/>
      </w:pPr>
      <w:r>
        <w:t xml:space="preserve">Scenario 3.2 – </w:t>
      </w:r>
      <w:r w:rsidR="00AE3AD5">
        <w:t xml:space="preserve">As </w:t>
      </w:r>
      <w:r w:rsidR="00152DAC">
        <w:t>Scenario 1.1</w:t>
      </w:r>
      <w:r w:rsidR="00D929D7">
        <w:t>,</w:t>
      </w:r>
      <w:r w:rsidR="00152DAC">
        <w:t xml:space="preserve"> but with the addition of air conditioning</w:t>
      </w:r>
      <w:r>
        <w:t>.</w:t>
      </w:r>
      <w:r w:rsidR="006F75C9">
        <w:t xml:space="preserve"> This is referred to as 3.2 SAP HP + MV TRY (SAP inputs with Heat Pump, additional Mechanical Ventilation and TRY weather file).</w:t>
      </w:r>
    </w:p>
    <w:p w14:paraId="2E2DFC26" w14:textId="5D1B2FDA" w:rsidR="0062707B" w:rsidRDefault="00B44B27" w:rsidP="0062707B">
      <w:pPr>
        <w:numPr>
          <w:ilvl w:val="1"/>
          <w:numId w:val="1"/>
        </w:numPr>
        <w:spacing w:before="60" w:after="60"/>
      </w:pPr>
      <w:r>
        <w:t xml:space="preserve">Scenario 3.3 – </w:t>
      </w:r>
      <w:r w:rsidR="00AE3AD5">
        <w:t xml:space="preserve">As </w:t>
      </w:r>
      <w:r w:rsidR="00152DAC">
        <w:t>Scenario 1.1</w:t>
      </w:r>
      <w:r w:rsidR="00D929D7">
        <w:t>,</w:t>
      </w:r>
      <w:r w:rsidR="00152DAC">
        <w:t xml:space="preserve"> but with </w:t>
      </w:r>
      <w:r w:rsidR="00D929D7">
        <w:t xml:space="preserve">the use of </w:t>
      </w:r>
      <w:r>
        <w:t>natural ventilation</w:t>
      </w:r>
      <w:r w:rsidR="00152DAC">
        <w:t xml:space="preserve"> </w:t>
      </w:r>
      <w:r w:rsidR="005B5710">
        <w:t>in addition to the</w:t>
      </w:r>
      <w:r w:rsidR="00152DAC">
        <w:t xml:space="preserve"> MVHR system.</w:t>
      </w:r>
      <w:r w:rsidR="006F75C9">
        <w:t xml:space="preserve"> This is referred to as 3.3 SAP HP + </w:t>
      </w:r>
      <w:r w:rsidR="002952F2">
        <w:t>N</w:t>
      </w:r>
      <w:r w:rsidR="006F75C9">
        <w:t>V TRY (SAP inputs with Heat Pump</w:t>
      </w:r>
      <w:r w:rsidR="002952F2">
        <w:t>, Natur</w:t>
      </w:r>
      <w:r w:rsidR="006F75C9">
        <w:t>al Ventilation and TRY weather file).</w:t>
      </w:r>
    </w:p>
    <w:p w14:paraId="352F0D14" w14:textId="680E1367" w:rsidR="002952F2" w:rsidRDefault="002952F2" w:rsidP="0062707B">
      <w:pPr>
        <w:numPr>
          <w:ilvl w:val="1"/>
          <w:numId w:val="1"/>
        </w:numPr>
        <w:spacing w:before="60" w:after="60"/>
      </w:pPr>
      <w:r>
        <w:t>Scenario 4.1 – As Scenario 1.1</w:t>
      </w:r>
      <w:r w:rsidR="00D929D7">
        <w:t xml:space="preserve">, but locating the dwelling in </w:t>
      </w:r>
      <w:r>
        <w:t>different geographical locations throughout the UK. This is referred to as 4.1 SAP geo 180 TRY (SAP inputs in different geographical locations, orientated to 180</w:t>
      </w:r>
      <w:r>
        <w:rPr>
          <w:rFonts w:cs="Arial"/>
        </w:rPr>
        <w:t>°</w:t>
      </w:r>
      <w:r>
        <w:t xml:space="preserve"> using a TRY weather file).</w:t>
      </w:r>
    </w:p>
    <w:p w14:paraId="691598D9" w14:textId="255A6BC1" w:rsidR="002952F2" w:rsidRDefault="002952F2" w:rsidP="0062707B">
      <w:pPr>
        <w:numPr>
          <w:ilvl w:val="1"/>
          <w:numId w:val="1"/>
        </w:numPr>
        <w:spacing w:before="60" w:after="60"/>
      </w:pPr>
      <w:r>
        <w:t>Scenario 4.2 – As Scenario 3.1</w:t>
      </w:r>
      <w:r w:rsidR="00D929D7">
        <w:t>,</w:t>
      </w:r>
      <w:r>
        <w:t xml:space="preserve"> but in different geographical locations throughout the UK. This is referred to as 4.2 SAP NV geo 180 TRY (SAP inputs in different geographical locations, orientated to 180</w:t>
      </w:r>
      <w:r>
        <w:rPr>
          <w:rFonts w:cs="Arial"/>
        </w:rPr>
        <w:t>°, with Natural Ventilation</w:t>
      </w:r>
      <w:r>
        <w:t xml:space="preserve"> using a TRY weather file).</w:t>
      </w:r>
    </w:p>
    <w:p w14:paraId="7C959BD6" w14:textId="35B65030" w:rsidR="002952F2" w:rsidRDefault="00AD2A1E" w:rsidP="002952F2">
      <w:pPr>
        <w:pStyle w:val="NumPara"/>
      </w:pPr>
      <w:r>
        <w:t xml:space="preserve">In addition to the above scenarios, </w:t>
      </w:r>
      <w:r w:rsidR="002952F2">
        <w:t>Scenario 2.1 and the naturally ventilat</w:t>
      </w:r>
      <w:r w:rsidR="00A93ED4">
        <w:t>ed</w:t>
      </w:r>
      <w:r w:rsidR="002952F2">
        <w:t xml:space="preserve"> version of th</w:t>
      </w:r>
      <w:r>
        <w:t>is scenario (S</w:t>
      </w:r>
      <w:r w:rsidR="002952F2">
        <w:t>cenario 3.3</w:t>
      </w:r>
      <w:r>
        <w:t>)</w:t>
      </w:r>
      <w:r w:rsidR="002952F2">
        <w:t xml:space="preserve"> have been modelled for the</w:t>
      </w:r>
      <w:r w:rsidR="001425E0">
        <w:t xml:space="preserve"> </w:t>
      </w:r>
      <w:r w:rsidR="002952F2">
        <w:t xml:space="preserve">14 different CIBSE weather file locations </w:t>
      </w:r>
      <w:r>
        <w:t xml:space="preserve">that are available </w:t>
      </w:r>
      <w:r w:rsidR="002952F2">
        <w:t>in the UK for both heating demand and overheating. The 14 CIBSE locations are: Plymouth, Southampton, London, Swindon, Cardiff, Norwich, Birmingham, Nottingham, Manchester, Leeds, Newcastle, Belfast</w:t>
      </w:r>
      <w:r w:rsidR="00A0527E">
        <w:t>, Glasgow and Edinburgh.</w:t>
      </w:r>
    </w:p>
    <w:p w14:paraId="12886D3C" w14:textId="499DD8AA" w:rsidR="002952F2" w:rsidRDefault="00AD2A1E" w:rsidP="002952F2">
      <w:pPr>
        <w:pStyle w:val="NumPara"/>
      </w:pPr>
      <w:r>
        <w:t>O</w:t>
      </w:r>
      <w:r w:rsidR="00152DAC">
        <w:t>verheating analysis has also been undertaken for</w:t>
      </w:r>
      <w:r w:rsidR="00B44B27">
        <w:t xml:space="preserve"> </w:t>
      </w:r>
      <w:r w:rsidR="005B5710">
        <w:t xml:space="preserve">all scenarios </w:t>
      </w:r>
      <w:r w:rsidR="00152DAC">
        <w:t xml:space="preserve">using the </w:t>
      </w:r>
      <w:r w:rsidR="00B44B27">
        <w:t xml:space="preserve">CIBSE Design Summer Year (DSY) </w:t>
      </w:r>
      <w:r w:rsidR="005B5710">
        <w:t xml:space="preserve">simulation weather files. </w:t>
      </w:r>
      <w:r w:rsidR="002952F2">
        <w:t>These were as follows:</w:t>
      </w:r>
    </w:p>
    <w:p w14:paraId="16D36074" w14:textId="23FF72D2" w:rsidR="002952F2" w:rsidRDefault="000023DC" w:rsidP="002952F2">
      <w:pPr>
        <w:numPr>
          <w:ilvl w:val="1"/>
          <w:numId w:val="1"/>
        </w:numPr>
        <w:tabs>
          <w:tab w:val="num" w:pos="786"/>
        </w:tabs>
        <w:spacing w:before="60" w:after="60"/>
      </w:pPr>
      <w:r>
        <w:t xml:space="preserve"> </w:t>
      </w:r>
      <w:r w:rsidR="002952F2">
        <w:t xml:space="preserve">Scenario 2.11 – As Scenario </w:t>
      </w:r>
      <w:r w:rsidR="00A0527E">
        <w:t>2</w:t>
      </w:r>
      <w:r w:rsidR="002952F2">
        <w:t>.1</w:t>
      </w:r>
      <w:r>
        <w:t>,</w:t>
      </w:r>
      <w:r w:rsidR="002952F2">
        <w:t xml:space="preserve"> but </w:t>
      </w:r>
      <w:r w:rsidR="00A0527E">
        <w:t>using a DSY simulation weather file</w:t>
      </w:r>
      <w:r w:rsidR="002952F2">
        <w:t xml:space="preserve">. This is referred to in the results and conclusion sections as 2.11 SAP HP DSY (SAP inputs with Heat Pump and DSY weather file). </w:t>
      </w:r>
    </w:p>
    <w:p w14:paraId="46280AD2" w14:textId="19E49864" w:rsidR="002952F2" w:rsidRDefault="002952F2" w:rsidP="002952F2">
      <w:pPr>
        <w:numPr>
          <w:ilvl w:val="1"/>
          <w:numId w:val="1"/>
        </w:numPr>
        <w:spacing w:before="60" w:after="60"/>
      </w:pPr>
      <w:r>
        <w:t xml:space="preserve">Scenario 2.21 – As Scenario </w:t>
      </w:r>
      <w:r w:rsidR="00A0527E">
        <w:t>2.2</w:t>
      </w:r>
      <w:r w:rsidR="000023DC">
        <w:t>,</w:t>
      </w:r>
      <w:r w:rsidR="00A0527E">
        <w:t xml:space="preserve"> but using a DSY simulation weather file</w:t>
      </w:r>
      <w:r w:rsidRPr="00152DAC">
        <w:t>.</w:t>
      </w:r>
      <w:r>
        <w:t xml:space="preserve"> This is referred to as 2.21 SAP HP HW DSY (SAP inputs with Heat Pump, a Home Working schedule and DSY weather file).</w:t>
      </w:r>
    </w:p>
    <w:p w14:paraId="0933FB7A" w14:textId="71B6ED59" w:rsidR="002952F2" w:rsidRDefault="002952F2" w:rsidP="002952F2">
      <w:pPr>
        <w:numPr>
          <w:ilvl w:val="1"/>
          <w:numId w:val="1"/>
        </w:numPr>
        <w:spacing w:before="60" w:after="60"/>
      </w:pPr>
      <w:r>
        <w:t xml:space="preserve">Scenario 3.11 – As Scenario </w:t>
      </w:r>
      <w:r w:rsidR="00A0527E">
        <w:t>3.1</w:t>
      </w:r>
      <w:r w:rsidR="000023DC">
        <w:t>,</w:t>
      </w:r>
      <w:r w:rsidR="00A0527E">
        <w:t xml:space="preserve"> but using a DSY simulation weather file</w:t>
      </w:r>
      <w:r>
        <w:t>. This is referred to as 3.11 SAP HP + MV DSY (SAP inputs with Heat Pump additional Mechanical Ventilation and DSY weather file).</w:t>
      </w:r>
    </w:p>
    <w:p w14:paraId="2A431AFD" w14:textId="11BC51F1" w:rsidR="002952F2" w:rsidRDefault="002952F2" w:rsidP="002952F2">
      <w:pPr>
        <w:numPr>
          <w:ilvl w:val="1"/>
          <w:numId w:val="1"/>
        </w:numPr>
        <w:spacing w:before="60" w:after="60"/>
      </w:pPr>
      <w:r>
        <w:t>Scenario 3.2</w:t>
      </w:r>
      <w:r w:rsidR="00A0527E">
        <w:t>1</w:t>
      </w:r>
      <w:r>
        <w:t xml:space="preserve"> – As Scenario </w:t>
      </w:r>
      <w:r w:rsidR="00A0527E">
        <w:t>3.2</w:t>
      </w:r>
      <w:r w:rsidR="000023DC">
        <w:t>,</w:t>
      </w:r>
      <w:r w:rsidR="00A0527E">
        <w:t xml:space="preserve"> but using a DSY simulation weather file</w:t>
      </w:r>
      <w:r>
        <w:t>. This is referred to as 3.2</w:t>
      </w:r>
      <w:r w:rsidR="00A0527E">
        <w:t>1</w:t>
      </w:r>
      <w:r>
        <w:t xml:space="preserve"> SAP HP + MV </w:t>
      </w:r>
      <w:r w:rsidR="00A0527E">
        <w:t>DS</w:t>
      </w:r>
      <w:r>
        <w:t xml:space="preserve">Y (SAP inputs with Heat Pump, additional Mechanical Ventilation and </w:t>
      </w:r>
      <w:r w:rsidR="00A0527E">
        <w:t>DS</w:t>
      </w:r>
      <w:r>
        <w:t>Y weather file).</w:t>
      </w:r>
    </w:p>
    <w:p w14:paraId="6B6F2111" w14:textId="00A03F87" w:rsidR="002952F2" w:rsidRDefault="002952F2" w:rsidP="002952F2">
      <w:pPr>
        <w:numPr>
          <w:ilvl w:val="1"/>
          <w:numId w:val="1"/>
        </w:numPr>
        <w:spacing w:before="60" w:after="60"/>
      </w:pPr>
      <w:r>
        <w:t>Scenario 3.3</w:t>
      </w:r>
      <w:r w:rsidR="00A0527E">
        <w:t>1</w:t>
      </w:r>
      <w:r>
        <w:t xml:space="preserve"> – As Scenario </w:t>
      </w:r>
      <w:r w:rsidR="00A0527E">
        <w:t>3.3</w:t>
      </w:r>
      <w:r w:rsidR="000023DC">
        <w:t>,</w:t>
      </w:r>
      <w:r w:rsidR="00A0527E">
        <w:t xml:space="preserve"> but using a DSY simulation weather file</w:t>
      </w:r>
      <w:r>
        <w:t>. This is referred to as 3.3</w:t>
      </w:r>
      <w:r w:rsidR="00A0527E">
        <w:t>1</w:t>
      </w:r>
      <w:r>
        <w:t xml:space="preserve"> SAP HP + NV </w:t>
      </w:r>
      <w:r w:rsidR="00A0527E">
        <w:t>DS</w:t>
      </w:r>
      <w:r>
        <w:t xml:space="preserve">Y (SAP inputs with Heat Pump, Natural Ventilation and </w:t>
      </w:r>
      <w:r w:rsidR="00A0527E">
        <w:t>DS</w:t>
      </w:r>
      <w:r>
        <w:t>Y weather file).</w:t>
      </w:r>
    </w:p>
    <w:p w14:paraId="166EF7FF" w14:textId="77777777" w:rsidR="000023DC" w:rsidRDefault="002952F2" w:rsidP="000023DC">
      <w:pPr>
        <w:numPr>
          <w:ilvl w:val="1"/>
          <w:numId w:val="1"/>
        </w:numPr>
        <w:spacing w:before="60" w:after="60"/>
      </w:pPr>
      <w:r>
        <w:t>Scenario 4.1</w:t>
      </w:r>
      <w:r w:rsidR="00A0527E">
        <w:t>1</w:t>
      </w:r>
      <w:r>
        <w:t xml:space="preserve"> – As Scenario </w:t>
      </w:r>
      <w:r w:rsidR="00A0527E">
        <w:t>4.1</w:t>
      </w:r>
      <w:r w:rsidR="000023DC">
        <w:t>,</w:t>
      </w:r>
      <w:r w:rsidR="00A0527E">
        <w:t xml:space="preserve"> but using a DSY simulation weather file</w:t>
      </w:r>
      <w:r>
        <w:t>. This is referred to as 4.1</w:t>
      </w:r>
      <w:r w:rsidR="00A0527E">
        <w:t>1</w:t>
      </w:r>
      <w:r>
        <w:t xml:space="preserve"> SAP geo 180 </w:t>
      </w:r>
      <w:r w:rsidR="00A0527E">
        <w:t>DS</w:t>
      </w:r>
      <w:r>
        <w:t>Y (SAP inputs in different geographical locations, orientated to 180</w:t>
      </w:r>
      <w:r>
        <w:rPr>
          <w:rFonts w:cs="Arial"/>
        </w:rPr>
        <w:t>°</w:t>
      </w:r>
      <w:r>
        <w:t xml:space="preserve"> using a </w:t>
      </w:r>
      <w:r w:rsidR="00A0527E">
        <w:t>DS</w:t>
      </w:r>
      <w:r>
        <w:t>Y weather file).</w:t>
      </w:r>
    </w:p>
    <w:p w14:paraId="412A56F3" w14:textId="5492E5F1" w:rsidR="002952F2" w:rsidRDefault="002952F2" w:rsidP="000023DC">
      <w:pPr>
        <w:numPr>
          <w:ilvl w:val="1"/>
          <w:numId w:val="1"/>
        </w:numPr>
        <w:spacing w:before="60" w:after="60"/>
      </w:pPr>
      <w:r>
        <w:t>Scenario 4.2</w:t>
      </w:r>
      <w:r w:rsidR="00A0527E">
        <w:t>1</w:t>
      </w:r>
      <w:r>
        <w:t xml:space="preserve"> – As Scenario </w:t>
      </w:r>
      <w:r w:rsidR="00A0527E">
        <w:t>4.2</w:t>
      </w:r>
      <w:r w:rsidR="000023DC">
        <w:t>,</w:t>
      </w:r>
      <w:r w:rsidR="00A0527E">
        <w:t xml:space="preserve"> but using a DSY simulation weather file</w:t>
      </w:r>
      <w:r>
        <w:t xml:space="preserve">. This is referred to as 4.2 SAP NV geo 180 </w:t>
      </w:r>
      <w:r w:rsidR="00A0527E">
        <w:t>DS</w:t>
      </w:r>
      <w:r>
        <w:t>Y (SAP inputs in different geographical locations, orientated to 180</w:t>
      </w:r>
      <w:r w:rsidRPr="000023DC">
        <w:rPr>
          <w:rFonts w:cs="Arial"/>
        </w:rPr>
        <w:t>°, with Natural Ventilation</w:t>
      </w:r>
      <w:r>
        <w:t xml:space="preserve"> using a </w:t>
      </w:r>
      <w:r w:rsidR="00A0527E">
        <w:t>DS</w:t>
      </w:r>
      <w:r>
        <w:t>Y weather file).</w:t>
      </w:r>
    </w:p>
    <w:p w14:paraId="63E41262" w14:textId="02CFE907" w:rsidR="006767F2" w:rsidRDefault="0062707B" w:rsidP="005B5710">
      <w:pPr>
        <w:pStyle w:val="NumPara"/>
      </w:pPr>
      <w:r>
        <w:t xml:space="preserve">The energy consumption required under Scenario </w:t>
      </w:r>
      <w:r w:rsidR="00A0527E">
        <w:t>2</w:t>
      </w:r>
      <w:r>
        <w:t>.1 has also been analysed to determine the amount of PV’s and the size of wind turbine that would be required to be installed in m</w:t>
      </w:r>
      <w:r w:rsidRPr="000023DC">
        <w:rPr>
          <w:vertAlign w:val="superscript"/>
        </w:rPr>
        <w:t>2</w:t>
      </w:r>
      <w:r>
        <w:t xml:space="preserve"> to enable the dwelling to have net zero energy use.</w:t>
      </w:r>
    </w:p>
    <w:p w14:paraId="3FA235FC" w14:textId="77777777" w:rsidR="006767F2" w:rsidRDefault="006767F2" w:rsidP="006767F2">
      <w:pPr>
        <w:pStyle w:val="Heading2"/>
      </w:pPr>
      <w:bookmarkStart w:id="14" w:name="_Toc422493079"/>
      <w:r>
        <w:t>Test method</w:t>
      </w:r>
      <w:bookmarkEnd w:id="14"/>
    </w:p>
    <w:p w14:paraId="69504013" w14:textId="5E0EF1E7" w:rsidR="000023DC" w:rsidRDefault="000023DC" w:rsidP="000023DC">
      <w:pPr>
        <w:pStyle w:val="NumPara"/>
      </w:pPr>
      <w:r>
        <w:t>The dynamic thermal simulations (DTS) have been undertaken using Integrated Environmental Solutions (IES) Virtual Environment (VE) software version 2014.2.1.0 (IES, 2014). This software is approved for regulatory compliance energy calculations for non-domestic buildings. Simulations can be produced at hourly time-steps covering 8,760 hours of operation (all 365 days of the year). The IES software is validated for use against various global standards, the most prominent of these being the Chartered Institute of Building Services Engineers (CIBSE) “TM33: Tests for Software Accreditation &amp; Verification” in the UK and the American Society of Heating, Refrigeration and Air Conditioning Engineers (ASHRAE) “Standard 140-2007: Standard method of test for the evaluation of building energy analysis computer programs” (CIBSE, 2006a; ASHRAE, 2007).</w:t>
      </w:r>
    </w:p>
    <w:p w14:paraId="5260C58F" w14:textId="77777777" w:rsidR="000023DC" w:rsidRDefault="000023DC" w:rsidP="000023DC">
      <w:pPr>
        <w:pStyle w:val="NumPara"/>
      </w:pPr>
      <w:r>
        <w:lastRenderedPageBreak/>
        <w:t xml:space="preserve">The model geometry is based upon the drawings provided by the client shown in </w:t>
      </w:r>
      <w:r w:rsidRPr="000023DC">
        <w:fldChar w:fldCharType="begin"/>
      </w:r>
      <w:r w:rsidRPr="000023DC">
        <w:instrText xml:space="preserve"> REF _Ref421545092 \h  \* MERGEFORMAT </w:instrText>
      </w:r>
      <w:r w:rsidRPr="000023DC">
        <w:fldChar w:fldCharType="separate"/>
      </w:r>
      <w:r w:rsidRPr="000023DC">
        <w:rPr>
          <w:bCs/>
        </w:rPr>
        <w:t xml:space="preserve">Figure </w:t>
      </w:r>
      <w:r w:rsidRPr="000023DC">
        <w:rPr>
          <w:bCs/>
          <w:noProof/>
        </w:rPr>
        <w:t>1</w:t>
      </w:r>
      <w:r w:rsidRPr="000023DC">
        <w:fldChar w:fldCharType="end"/>
      </w:r>
      <w:r>
        <w:t xml:space="preserve"> and </w:t>
      </w:r>
      <w:r w:rsidRPr="000023DC">
        <w:fldChar w:fldCharType="begin"/>
      </w:r>
      <w:r w:rsidRPr="000023DC">
        <w:instrText xml:space="preserve"> REF _Ref421549043 \h  \* MERGEFORMAT </w:instrText>
      </w:r>
      <w:r w:rsidRPr="000023DC">
        <w:fldChar w:fldCharType="separate"/>
      </w:r>
      <w:r w:rsidRPr="000023DC">
        <w:rPr>
          <w:bCs/>
        </w:rPr>
        <w:t xml:space="preserve">Figure </w:t>
      </w:r>
      <w:r w:rsidRPr="000023DC">
        <w:rPr>
          <w:bCs/>
          <w:noProof/>
        </w:rPr>
        <w:t>2</w:t>
      </w:r>
      <w:r w:rsidRPr="000023DC">
        <w:fldChar w:fldCharType="end"/>
      </w:r>
      <w:r>
        <w:t xml:space="preserve">. Unfortunately, it is not possible to produce a fully curved sphere using the IES VE software. Consequently, a fully faceted sphere has been used to represent the geometry of the prototype dwelling. The resultant geometry used in the IES VE software is visualised in </w:t>
      </w:r>
      <w:r>
        <w:fldChar w:fldCharType="begin"/>
      </w:r>
      <w:r>
        <w:instrText xml:space="preserve"> REF _Ref422390449 \h </w:instrText>
      </w:r>
      <w:r>
        <w:fldChar w:fldCharType="separate"/>
      </w:r>
      <w:r w:rsidRPr="000023DC">
        <w:t xml:space="preserve">Figure </w:t>
      </w:r>
      <w:r w:rsidRPr="000023DC">
        <w:rPr>
          <w:noProof/>
        </w:rPr>
        <w:t>5</w:t>
      </w:r>
      <w:r>
        <w:fldChar w:fldCharType="end"/>
      </w:r>
      <w:r>
        <w:t>.</w:t>
      </w:r>
    </w:p>
    <w:p w14:paraId="77BC7A0E" w14:textId="6587E753" w:rsidR="00D31C85" w:rsidRDefault="00D31C85" w:rsidP="000023DC">
      <w:pPr>
        <w:pStyle w:val="NumPara"/>
        <w:numPr>
          <w:ilvl w:val="0"/>
          <w:numId w:val="0"/>
        </w:numPr>
        <w:jc w:val="center"/>
      </w:pPr>
      <w:r>
        <w:rPr>
          <w:noProof/>
          <w:lang w:eastAsia="en-GB"/>
        </w:rPr>
        <w:drawing>
          <wp:inline distT="0" distB="0" distL="0" distR="0" wp14:anchorId="100401CE" wp14:editId="04C5F6BC">
            <wp:extent cx="5581650" cy="29375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81650" cy="2937522"/>
                    </a:xfrm>
                    <a:prstGeom prst="rect">
                      <a:avLst/>
                    </a:prstGeom>
                  </pic:spPr>
                </pic:pic>
              </a:graphicData>
            </a:graphic>
          </wp:inline>
        </w:drawing>
      </w:r>
    </w:p>
    <w:p w14:paraId="14A36C7D" w14:textId="77777777" w:rsidR="00D31C85" w:rsidRDefault="00D31C85" w:rsidP="00D31C85">
      <w:pPr>
        <w:pStyle w:val="NumPara"/>
        <w:numPr>
          <w:ilvl w:val="0"/>
          <w:numId w:val="0"/>
        </w:numPr>
        <w:ind w:left="567"/>
      </w:pPr>
    </w:p>
    <w:p w14:paraId="5C85C58F" w14:textId="6A7FECF1" w:rsidR="00D31C85" w:rsidRPr="000023DC" w:rsidRDefault="000023DC" w:rsidP="000023DC">
      <w:pPr>
        <w:pStyle w:val="Caption"/>
        <w:jc w:val="center"/>
      </w:pPr>
      <w:bookmarkStart w:id="15" w:name="_Ref422390449"/>
      <w:r w:rsidRPr="000023DC">
        <w:t xml:space="preserve">Figure </w:t>
      </w:r>
      <w:r w:rsidR="00FA6C6B">
        <w:fldChar w:fldCharType="begin"/>
      </w:r>
      <w:r w:rsidR="00FA6C6B">
        <w:instrText xml:space="preserve"> SEQ Figure \* ARABIC </w:instrText>
      </w:r>
      <w:r w:rsidR="00FA6C6B">
        <w:fldChar w:fldCharType="separate"/>
      </w:r>
      <w:r w:rsidR="002712F1">
        <w:rPr>
          <w:noProof/>
        </w:rPr>
        <w:t>5</w:t>
      </w:r>
      <w:r w:rsidR="00FA6C6B">
        <w:rPr>
          <w:noProof/>
        </w:rPr>
        <w:fldChar w:fldCharType="end"/>
      </w:r>
      <w:bookmarkEnd w:id="15"/>
      <w:r w:rsidRPr="000023DC">
        <w:t xml:space="preserve"> </w:t>
      </w:r>
      <w:r w:rsidR="00D31C85" w:rsidRPr="000023DC">
        <w:t>Example image of geometry used in the DTS models.</w:t>
      </w:r>
    </w:p>
    <w:p w14:paraId="12F8EA1A" w14:textId="77777777" w:rsidR="00D31C85" w:rsidRDefault="00D31C85" w:rsidP="00D31C85">
      <w:pPr>
        <w:pStyle w:val="NumPara"/>
        <w:numPr>
          <w:ilvl w:val="0"/>
          <w:numId w:val="0"/>
        </w:numPr>
        <w:ind w:left="567"/>
      </w:pPr>
    </w:p>
    <w:p w14:paraId="2098C733" w14:textId="03449864" w:rsidR="000023DC" w:rsidRPr="00D31C85" w:rsidRDefault="00D31C85" w:rsidP="0059148D">
      <w:pPr>
        <w:pStyle w:val="NumPara"/>
      </w:pPr>
      <w:r>
        <w:t xml:space="preserve">A simulation weather file for the Leeds area was used for the first stage of analysis. The CIBSE Test Reference Year (TRY) and Design Summer Year (DSY) files were used; these are the files approved for use in non-domestic building Part L regulatory compliance calculations (CIBSE, 2006b). </w:t>
      </w:r>
      <w:r w:rsidR="000023DC">
        <w:t>The TRY files are used to estimate annual energy and thermal performance, whilst the DSY files are used to evaluate summer overheating. The TRY files are created using actual weather data from a twenty year period, with the most average month for each month being incorporated within the simulation file. A similar method is used for the DSY files, but these are based upon the hottest months from the data set covering the period April – September inclusive. The DSY file is used to simulate heat wave conditions</w:t>
      </w:r>
    </w:p>
    <w:p w14:paraId="25837238" w14:textId="77777777" w:rsidR="00D31C85" w:rsidRDefault="00D31C85" w:rsidP="00D31C85">
      <w:pPr>
        <w:pStyle w:val="NumPara"/>
      </w:pPr>
      <w:r>
        <w:t xml:space="preserve">There are five main zone types used in the model which use shared thermal templates. The contents of these templates are described in the following paragraphs. The five zone types are: bathrooms, bedrooms, circulation space, kitchen and lounge (also used for the study). </w:t>
      </w:r>
    </w:p>
    <w:p w14:paraId="2618E7DA" w14:textId="29A3AAA0" w:rsidR="00D31C85" w:rsidRDefault="0059148D" w:rsidP="0059148D">
      <w:pPr>
        <w:pStyle w:val="NumPara"/>
      </w:pPr>
      <w:r w:rsidRPr="0059148D">
        <w:t>Internal heat gains and the associated operating schedules are based upon those specified in the National Calculation Methodology (NCM) database for domestic occupancy. The NCM underpins the calculation method used in both SAP and the non-domestic alternative. The occupancy schedules for scenario 1 are illustrated in Figure 4. The heating schedules have also been assumed to follow these occupancy patterns. As the NCM input data is meant for use in much larger non-domestic buildings, an occupant density of 4m</w:t>
      </w:r>
      <w:r w:rsidRPr="0059148D">
        <w:rPr>
          <w:vertAlign w:val="superscript"/>
        </w:rPr>
        <w:t>2</w:t>
      </w:r>
      <w:r w:rsidRPr="0059148D">
        <w:t>/person is normally used. However, this would be unrealistic in this instance. It has therefore been assumed that one person would be in each space for a fraction of the occupied hours as pe</w:t>
      </w:r>
      <w:r>
        <w:t xml:space="preserve">r the schedule shown in </w:t>
      </w:r>
      <w:r>
        <w:fldChar w:fldCharType="begin"/>
      </w:r>
      <w:r>
        <w:instrText xml:space="preserve"> REF _Ref422390725 \h </w:instrText>
      </w:r>
      <w:r>
        <w:fldChar w:fldCharType="separate"/>
      </w:r>
      <w:r w:rsidRPr="0059148D">
        <w:t xml:space="preserve">Figure </w:t>
      </w:r>
      <w:r w:rsidRPr="0059148D">
        <w:rPr>
          <w:noProof/>
        </w:rPr>
        <w:t>6</w:t>
      </w:r>
      <w:r>
        <w:fldChar w:fldCharType="end"/>
      </w:r>
      <w:r w:rsidRPr="0059148D">
        <w:t>. It should be noted that when using a ‘fraction’ of a person this merely relates to them being in the space for some of the hour and not for example half a person in the room for a full hour. In the model, people are represented as a heat gain. It is assumed that all occupants are adults and account for 70 W/m</w:t>
      </w:r>
      <w:r w:rsidRPr="0059148D">
        <w:rPr>
          <w:vertAlign w:val="superscript"/>
        </w:rPr>
        <w:t>2</w:t>
      </w:r>
      <w:r w:rsidRPr="0059148D">
        <w:t xml:space="preserve"> of sensible and 70 W/m</w:t>
      </w:r>
      <w:r w:rsidRPr="0059148D">
        <w:rPr>
          <w:vertAlign w:val="superscript"/>
        </w:rPr>
        <w:t>2</w:t>
      </w:r>
      <w:r w:rsidRPr="0059148D">
        <w:t xml:space="preserve"> of latent heat gain.</w:t>
      </w:r>
    </w:p>
    <w:p w14:paraId="24835F67" w14:textId="77777777" w:rsidR="00D31C85" w:rsidRPr="00741556" w:rsidRDefault="00D31C85" w:rsidP="00741556">
      <w:pPr>
        <w:pStyle w:val="NumPara"/>
        <w:numPr>
          <w:ilvl w:val="0"/>
          <w:numId w:val="0"/>
        </w:numPr>
        <w:jc w:val="center"/>
      </w:pPr>
      <w:r>
        <w:rPr>
          <w:noProof/>
          <w:lang w:eastAsia="en-GB"/>
        </w:rPr>
        <w:lastRenderedPageBreak/>
        <w:drawing>
          <wp:inline distT="0" distB="0" distL="0" distR="0" wp14:anchorId="399734EF" wp14:editId="78D675DC">
            <wp:extent cx="5715000" cy="32099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EEFB7A6" w14:textId="3FE7FA5F" w:rsidR="00D31C85" w:rsidRPr="0059148D" w:rsidRDefault="0059148D" w:rsidP="0059148D">
      <w:pPr>
        <w:pStyle w:val="Caption"/>
        <w:jc w:val="center"/>
      </w:pPr>
      <w:bookmarkStart w:id="16" w:name="_Ref422390725"/>
      <w:r w:rsidRPr="0059148D">
        <w:t xml:space="preserve">Figure </w:t>
      </w:r>
      <w:r w:rsidR="00FA6C6B">
        <w:fldChar w:fldCharType="begin"/>
      </w:r>
      <w:r w:rsidR="00FA6C6B">
        <w:instrText xml:space="preserve"> SEQ Figure \* ARABIC </w:instrText>
      </w:r>
      <w:r w:rsidR="00FA6C6B">
        <w:fldChar w:fldCharType="separate"/>
      </w:r>
      <w:r w:rsidR="002712F1">
        <w:rPr>
          <w:noProof/>
        </w:rPr>
        <w:t>6</w:t>
      </w:r>
      <w:r w:rsidR="00FA6C6B">
        <w:rPr>
          <w:noProof/>
        </w:rPr>
        <w:fldChar w:fldCharType="end"/>
      </w:r>
      <w:bookmarkEnd w:id="16"/>
      <w:r w:rsidRPr="0059148D">
        <w:t xml:space="preserve"> </w:t>
      </w:r>
      <w:r w:rsidR="00D31C85" w:rsidRPr="0059148D">
        <w:t>Occupancy schedules used in the thermal analysis.</w:t>
      </w:r>
    </w:p>
    <w:p w14:paraId="2D655537" w14:textId="77777777" w:rsidR="00D31C85" w:rsidRDefault="00D31C85" w:rsidP="00D31C85">
      <w:pPr>
        <w:pStyle w:val="NumPara"/>
        <w:numPr>
          <w:ilvl w:val="0"/>
          <w:numId w:val="0"/>
        </w:numPr>
        <w:ind w:left="567"/>
      </w:pPr>
    </w:p>
    <w:p w14:paraId="6FEB5B17" w14:textId="163B61CB" w:rsidR="0059148D" w:rsidRDefault="0059148D" w:rsidP="0059148D">
      <w:pPr>
        <w:pStyle w:val="NumPara"/>
      </w:pPr>
      <w:r>
        <w:t xml:space="preserve">Other internal heat gains come from equipment and lighting. These also operate on the same schedules as the occupancy shown in </w:t>
      </w:r>
      <w:r>
        <w:fldChar w:fldCharType="begin"/>
      </w:r>
      <w:r>
        <w:instrText xml:space="preserve"> REF _Ref422390725 \h </w:instrText>
      </w:r>
      <w:r>
        <w:fldChar w:fldCharType="separate"/>
      </w:r>
      <w:r w:rsidRPr="0059148D">
        <w:t xml:space="preserve">Figure </w:t>
      </w:r>
      <w:r w:rsidRPr="0059148D">
        <w:rPr>
          <w:noProof/>
        </w:rPr>
        <w:t>6</w:t>
      </w:r>
      <w:r>
        <w:fldChar w:fldCharType="end"/>
      </w:r>
      <w:r>
        <w:t xml:space="preserve">. There are however different standard lighting levels and different types of equipment installed within each space, resulting in different levels of internal heat gains. A summary of the heat gains associated with each zone type is contained within </w:t>
      </w:r>
      <w:r>
        <w:fldChar w:fldCharType="begin"/>
      </w:r>
      <w:r>
        <w:instrText xml:space="preserve"> REF _Ref422220598 \h </w:instrText>
      </w:r>
      <w:r>
        <w:fldChar w:fldCharType="separate"/>
      </w:r>
      <w:r>
        <w:t xml:space="preserve">Table </w:t>
      </w:r>
      <w:r>
        <w:rPr>
          <w:noProof/>
        </w:rPr>
        <w:t>3</w:t>
      </w:r>
      <w:r>
        <w:fldChar w:fldCharType="end"/>
      </w:r>
      <w:r>
        <w:t xml:space="preserve">. The lighting heat gains are based upon default NCM values for low-energy lighting. The model used for scenario 1.2 uses identical heat gain inputs but has occupancy, equipment and lighting operations beginning at 10:00am in both the lounge and study areas. </w:t>
      </w:r>
    </w:p>
    <w:p w14:paraId="6FDBA120" w14:textId="77777777" w:rsidR="00D31C85" w:rsidRDefault="00D31C85" w:rsidP="00D31C85">
      <w:pPr>
        <w:pStyle w:val="NumPara"/>
        <w:numPr>
          <w:ilvl w:val="0"/>
          <w:numId w:val="0"/>
        </w:numPr>
        <w:ind w:left="567"/>
      </w:pPr>
    </w:p>
    <w:tbl>
      <w:tblPr>
        <w:tblStyle w:val="TableGrid"/>
        <w:tblW w:w="0" w:type="auto"/>
        <w:tblInd w:w="108" w:type="dxa"/>
        <w:tblLook w:val="04A0" w:firstRow="1" w:lastRow="0" w:firstColumn="1" w:lastColumn="0" w:noHBand="0" w:noVBand="1"/>
      </w:tblPr>
      <w:tblGrid>
        <w:gridCol w:w="1985"/>
        <w:gridCol w:w="2410"/>
        <w:gridCol w:w="2428"/>
        <w:gridCol w:w="2249"/>
      </w:tblGrid>
      <w:tr w:rsidR="00D31C85" w14:paraId="4C590F87" w14:textId="77777777" w:rsidTr="00D31C85">
        <w:tc>
          <w:tcPr>
            <w:tcW w:w="1985" w:type="dxa"/>
          </w:tcPr>
          <w:p w14:paraId="57C1441B" w14:textId="77777777" w:rsidR="00D31C85" w:rsidRDefault="00D31C85" w:rsidP="002952F2">
            <w:pPr>
              <w:jc w:val="center"/>
            </w:pPr>
          </w:p>
        </w:tc>
        <w:tc>
          <w:tcPr>
            <w:tcW w:w="2410" w:type="dxa"/>
          </w:tcPr>
          <w:p w14:paraId="2C5EA6D6" w14:textId="77777777" w:rsidR="00D31C85" w:rsidRDefault="00D31C85" w:rsidP="002952F2">
            <w:pPr>
              <w:jc w:val="center"/>
            </w:pPr>
            <w:r>
              <w:t>Equipment W/m</w:t>
            </w:r>
            <w:r w:rsidRPr="00C341FF">
              <w:rPr>
                <w:vertAlign w:val="superscript"/>
              </w:rPr>
              <w:t>2</w:t>
            </w:r>
          </w:p>
        </w:tc>
        <w:tc>
          <w:tcPr>
            <w:tcW w:w="2428" w:type="dxa"/>
          </w:tcPr>
          <w:p w14:paraId="46333037" w14:textId="77777777" w:rsidR="00D31C85" w:rsidRDefault="00D31C85" w:rsidP="002952F2">
            <w:pPr>
              <w:jc w:val="center"/>
            </w:pPr>
            <w:r>
              <w:t>Lighting W/m</w:t>
            </w:r>
            <w:r w:rsidRPr="00C341FF">
              <w:rPr>
                <w:vertAlign w:val="superscript"/>
              </w:rPr>
              <w:t>2</w:t>
            </w:r>
            <w:r>
              <w:t>/(100lux)</w:t>
            </w:r>
          </w:p>
        </w:tc>
        <w:tc>
          <w:tcPr>
            <w:tcW w:w="2249" w:type="dxa"/>
          </w:tcPr>
          <w:p w14:paraId="34CD8AF8" w14:textId="77777777" w:rsidR="00D31C85" w:rsidRDefault="00D31C85" w:rsidP="002952F2">
            <w:pPr>
              <w:jc w:val="center"/>
            </w:pPr>
            <w:r>
              <w:t>Lux level</w:t>
            </w:r>
          </w:p>
        </w:tc>
      </w:tr>
      <w:tr w:rsidR="00D31C85" w14:paraId="6BC1723D" w14:textId="77777777" w:rsidTr="00D31C85">
        <w:tc>
          <w:tcPr>
            <w:tcW w:w="1985" w:type="dxa"/>
          </w:tcPr>
          <w:p w14:paraId="0FB59A2B" w14:textId="77777777" w:rsidR="00D31C85" w:rsidRDefault="00D31C85" w:rsidP="002952F2">
            <w:r>
              <w:t>Bathrooms</w:t>
            </w:r>
          </w:p>
        </w:tc>
        <w:tc>
          <w:tcPr>
            <w:tcW w:w="2410" w:type="dxa"/>
          </w:tcPr>
          <w:p w14:paraId="44E81B38" w14:textId="77777777" w:rsidR="00D31C85" w:rsidRDefault="00D31C85" w:rsidP="002952F2">
            <w:pPr>
              <w:jc w:val="center"/>
            </w:pPr>
            <w:r>
              <w:t>1.67</w:t>
            </w:r>
          </w:p>
        </w:tc>
        <w:tc>
          <w:tcPr>
            <w:tcW w:w="2428" w:type="dxa"/>
          </w:tcPr>
          <w:p w14:paraId="176904A5" w14:textId="77777777" w:rsidR="00D31C85" w:rsidRDefault="00D31C85" w:rsidP="002952F2">
            <w:pPr>
              <w:jc w:val="center"/>
            </w:pPr>
            <w:r>
              <w:t>5.20</w:t>
            </w:r>
          </w:p>
        </w:tc>
        <w:tc>
          <w:tcPr>
            <w:tcW w:w="2249" w:type="dxa"/>
          </w:tcPr>
          <w:p w14:paraId="32E3E47E" w14:textId="77777777" w:rsidR="00D31C85" w:rsidRDefault="00D31C85" w:rsidP="002952F2">
            <w:pPr>
              <w:jc w:val="center"/>
            </w:pPr>
            <w:r>
              <w:t>150</w:t>
            </w:r>
          </w:p>
        </w:tc>
      </w:tr>
      <w:tr w:rsidR="00D31C85" w14:paraId="5703CC53" w14:textId="77777777" w:rsidTr="00D31C85">
        <w:tc>
          <w:tcPr>
            <w:tcW w:w="1985" w:type="dxa"/>
          </w:tcPr>
          <w:p w14:paraId="77487E66" w14:textId="77777777" w:rsidR="00D31C85" w:rsidRDefault="00D31C85" w:rsidP="002952F2">
            <w:r>
              <w:t>Bedrooms</w:t>
            </w:r>
          </w:p>
        </w:tc>
        <w:tc>
          <w:tcPr>
            <w:tcW w:w="2410" w:type="dxa"/>
          </w:tcPr>
          <w:p w14:paraId="33261328" w14:textId="77777777" w:rsidR="00D31C85" w:rsidRDefault="00D31C85" w:rsidP="002952F2">
            <w:pPr>
              <w:jc w:val="center"/>
            </w:pPr>
            <w:r>
              <w:t>3.58</w:t>
            </w:r>
          </w:p>
        </w:tc>
        <w:tc>
          <w:tcPr>
            <w:tcW w:w="2428" w:type="dxa"/>
          </w:tcPr>
          <w:p w14:paraId="56B9A1FF" w14:textId="77777777" w:rsidR="00D31C85" w:rsidRDefault="00D31C85" w:rsidP="002952F2">
            <w:pPr>
              <w:jc w:val="center"/>
            </w:pPr>
            <w:r>
              <w:t>5.20</w:t>
            </w:r>
          </w:p>
        </w:tc>
        <w:tc>
          <w:tcPr>
            <w:tcW w:w="2249" w:type="dxa"/>
          </w:tcPr>
          <w:p w14:paraId="2A88A3E2" w14:textId="77777777" w:rsidR="00D31C85" w:rsidRDefault="00D31C85" w:rsidP="002952F2">
            <w:pPr>
              <w:jc w:val="center"/>
            </w:pPr>
            <w:r>
              <w:t>100</w:t>
            </w:r>
          </w:p>
        </w:tc>
      </w:tr>
      <w:tr w:rsidR="00D31C85" w14:paraId="3FBA6758" w14:textId="77777777" w:rsidTr="00D31C85">
        <w:tc>
          <w:tcPr>
            <w:tcW w:w="1985" w:type="dxa"/>
          </w:tcPr>
          <w:p w14:paraId="47C260F9" w14:textId="77777777" w:rsidR="00D31C85" w:rsidRDefault="00D31C85" w:rsidP="002952F2">
            <w:r>
              <w:t>Circulation</w:t>
            </w:r>
          </w:p>
        </w:tc>
        <w:tc>
          <w:tcPr>
            <w:tcW w:w="2410" w:type="dxa"/>
          </w:tcPr>
          <w:p w14:paraId="070EFB9D" w14:textId="77777777" w:rsidR="00D31C85" w:rsidRDefault="00D31C85" w:rsidP="002952F2">
            <w:pPr>
              <w:jc w:val="center"/>
            </w:pPr>
            <w:r>
              <w:t>1.57</w:t>
            </w:r>
          </w:p>
        </w:tc>
        <w:tc>
          <w:tcPr>
            <w:tcW w:w="2428" w:type="dxa"/>
          </w:tcPr>
          <w:p w14:paraId="64D770A1" w14:textId="77777777" w:rsidR="00D31C85" w:rsidRDefault="00D31C85" w:rsidP="002952F2">
            <w:pPr>
              <w:jc w:val="center"/>
            </w:pPr>
            <w:r>
              <w:t>5.20</w:t>
            </w:r>
          </w:p>
        </w:tc>
        <w:tc>
          <w:tcPr>
            <w:tcW w:w="2249" w:type="dxa"/>
          </w:tcPr>
          <w:p w14:paraId="3808ABFA" w14:textId="77777777" w:rsidR="00D31C85" w:rsidRDefault="00D31C85" w:rsidP="002952F2">
            <w:pPr>
              <w:jc w:val="center"/>
            </w:pPr>
            <w:r>
              <w:t>100</w:t>
            </w:r>
          </w:p>
        </w:tc>
      </w:tr>
      <w:tr w:rsidR="00D31C85" w14:paraId="0D0941A2" w14:textId="77777777" w:rsidTr="00D31C85">
        <w:tc>
          <w:tcPr>
            <w:tcW w:w="1985" w:type="dxa"/>
          </w:tcPr>
          <w:p w14:paraId="6D1B666B" w14:textId="77777777" w:rsidR="00D31C85" w:rsidRDefault="00D31C85" w:rsidP="002952F2">
            <w:r>
              <w:t>Kitchen</w:t>
            </w:r>
          </w:p>
        </w:tc>
        <w:tc>
          <w:tcPr>
            <w:tcW w:w="2410" w:type="dxa"/>
          </w:tcPr>
          <w:p w14:paraId="4F3513B3" w14:textId="77777777" w:rsidR="00D31C85" w:rsidRDefault="00D31C85" w:rsidP="002952F2">
            <w:pPr>
              <w:jc w:val="center"/>
            </w:pPr>
            <w:r>
              <w:t>30.28</w:t>
            </w:r>
          </w:p>
        </w:tc>
        <w:tc>
          <w:tcPr>
            <w:tcW w:w="2428" w:type="dxa"/>
          </w:tcPr>
          <w:p w14:paraId="4241AB8B" w14:textId="77777777" w:rsidR="00D31C85" w:rsidRDefault="00D31C85" w:rsidP="002952F2">
            <w:pPr>
              <w:jc w:val="center"/>
            </w:pPr>
            <w:r>
              <w:t>5.20</w:t>
            </w:r>
          </w:p>
        </w:tc>
        <w:tc>
          <w:tcPr>
            <w:tcW w:w="2249" w:type="dxa"/>
          </w:tcPr>
          <w:p w14:paraId="6C5ED473" w14:textId="77777777" w:rsidR="00D31C85" w:rsidRDefault="00D31C85" w:rsidP="002952F2">
            <w:pPr>
              <w:jc w:val="center"/>
            </w:pPr>
            <w:r>
              <w:t>300</w:t>
            </w:r>
          </w:p>
        </w:tc>
      </w:tr>
      <w:tr w:rsidR="00D31C85" w14:paraId="30ED1BB0" w14:textId="77777777" w:rsidTr="00D31C85">
        <w:tc>
          <w:tcPr>
            <w:tcW w:w="1985" w:type="dxa"/>
          </w:tcPr>
          <w:p w14:paraId="37278F16" w14:textId="77777777" w:rsidR="00D31C85" w:rsidRDefault="00D31C85" w:rsidP="002952F2">
            <w:r>
              <w:t>Lounge/Study</w:t>
            </w:r>
          </w:p>
        </w:tc>
        <w:tc>
          <w:tcPr>
            <w:tcW w:w="2410" w:type="dxa"/>
          </w:tcPr>
          <w:p w14:paraId="03A9116B" w14:textId="77777777" w:rsidR="00D31C85" w:rsidRDefault="00D31C85" w:rsidP="002952F2">
            <w:pPr>
              <w:jc w:val="center"/>
            </w:pPr>
            <w:r>
              <w:t>3.90</w:t>
            </w:r>
          </w:p>
        </w:tc>
        <w:tc>
          <w:tcPr>
            <w:tcW w:w="2428" w:type="dxa"/>
          </w:tcPr>
          <w:p w14:paraId="080DE1DC" w14:textId="77777777" w:rsidR="00D31C85" w:rsidRDefault="00D31C85" w:rsidP="002952F2">
            <w:pPr>
              <w:jc w:val="center"/>
            </w:pPr>
            <w:r>
              <w:t>5.20</w:t>
            </w:r>
          </w:p>
        </w:tc>
        <w:tc>
          <w:tcPr>
            <w:tcW w:w="2249" w:type="dxa"/>
          </w:tcPr>
          <w:p w14:paraId="179E59F0" w14:textId="77777777" w:rsidR="00D31C85" w:rsidRDefault="00D31C85" w:rsidP="002952F2">
            <w:pPr>
              <w:jc w:val="center"/>
            </w:pPr>
            <w:r>
              <w:t>150</w:t>
            </w:r>
          </w:p>
        </w:tc>
      </w:tr>
    </w:tbl>
    <w:p w14:paraId="655E7E75" w14:textId="3301C9EC" w:rsidR="00D31C85" w:rsidRPr="00A024FA" w:rsidRDefault="0059148D" w:rsidP="0059148D">
      <w:pPr>
        <w:pStyle w:val="Caption"/>
        <w:jc w:val="center"/>
      </w:pPr>
      <w:bookmarkStart w:id="17" w:name="_Ref422390807"/>
      <w:r>
        <w:t xml:space="preserve">Table </w:t>
      </w:r>
      <w:r w:rsidR="00FA6C6B">
        <w:fldChar w:fldCharType="begin"/>
      </w:r>
      <w:r w:rsidR="00FA6C6B">
        <w:instrText xml:space="preserve"> SEQ Table \* ARABIC </w:instrText>
      </w:r>
      <w:r w:rsidR="00FA6C6B">
        <w:fldChar w:fldCharType="separate"/>
      </w:r>
      <w:r w:rsidR="00210048">
        <w:rPr>
          <w:noProof/>
        </w:rPr>
        <w:t>3</w:t>
      </w:r>
      <w:r w:rsidR="00FA6C6B">
        <w:rPr>
          <w:noProof/>
        </w:rPr>
        <w:fldChar w:fldCharType="end"/>
      </w:r>
      <w:bookmarkEnd w:id="17"/>
      <w:r>
        <w:t xml:space="preserve"> </w:t>
      </w:r>
      <w:r w:rsidR="00D31C85">
        <w:t>Summary of equipment and lighting internal heat gain inputs.</w:t>
      </w:r>
    </w:p>
    <w:p w14:paraId="752635C1" w14:textId="77777777" w:rsidR="00D31C85" w:rsidRDefault="00D31C85" w:rsidP="00D31C85">
      <w:pPr>
        <w:pStyle w:val="NumPara"/>
        <w:numPr>
          <w:ilvl w:val="0"/>
          <w:numId w:val="0"/>
        </w:numPr>
        <w:ind w:left="567"/>
        <w:jc w:val="center"/>
      </w:pPr>
    </w:p>
    <w:p w14:paraId="1BE73256" w14:textId="3477A576" w:rsidR="0059148D" w:rsidRDefault="00D31C85" w:rsidP="0059148D">
      <w:pPr>
        <w:pStyle w:val="NumPara"/>
      </w:pPr>
      <w:r>
        <w:t xml:space="preserve">All of the models have the same fabric and HVAC inputs. </w:t>
      </w:r>
      <w:r w:rsidR="0059148D" w:rsidRPr="0059148D">
        <w:t>The U-values for the building fabric have been obtained from the as-built SAP worksheet dated 11th August 2011 (shown in Table 1), with an adjustment made for thermal bridging based upon a calculated y-value of 0.023. The y-value is based upon the findings of the thermal bridgin</w:t>
      </w:r>
      <w:r w:rsidR="0059148D">
        <w:t>g calculations undertaken as part of the earlier Innovate UK Innovation Voucher (see Johnston, Brooke-Peat and Parker, 2015).</w:t>
      </w:r>
    </w:p>
    <w:p w14:paraId="27EA72FF" w14:textId="77777777" w:rsidR="009074F5" w:rsidRDefault="00D31C85" w:rsidP="009074F5">
      <w:pPr>
        <w:pStyle w:val="NumPara"/>
      </w:pPr>
      <w:r>
        <w:t xml:space="preserve">A </w:t>
      </w:r>
      <w:r w:rsidR="005E1744">
        <w:t>ground source heat pump</w:t>
      </w:r>
      <w:r>
        <w:t xml:space="preserve"> with a </w:t>
      </w:r>
      <w:r w:rsidR="005E1744">
        <w:t>coefficient of performance</w:t>
      </w:r>
      <w:r w:rsidR="00F92E79">
        <w:t xml:space="preserve"> (</w:t>
      </w:r>
      <w:proofErr w:type="spellStart"/>
      <w:r w:rsidR="00F92E79">
        <w:t>CoP</w:t>
      </w:r>
      <w:proofErr w:type="spellEnd"/>
      <w:r w:rsidR="00F92E79">
        <w:t>)</w:t>
      </w:r>
      <w:r>
        <w:t xml:space="preserve"> of </w:t>
      </w:r>
      <w:r w:rsidR="005E1744">
        <w:t>3.2</w:t>
      </w:r>
      <w:r>
        <w:t xml:space="preserve"> has been used in the models as the sole heat source for both space heating and hot water</w:t>
      </w:r>
      <w:r w:rsidR="005E1744">
        <w:t xml:space="preserve"> as per the SAP worksheets (</w:t>
      </w:r>
      <w:proofErr w:type="spellStart"/>
      <w:r w:rsidR="005E1744">
        <w:t>Golinski</w:t>
      </w:r>
      <w:proofErr w:type="spellEnd"/>
      <w:r w:rsidR="005E1744">
        <w:t>, 2011)</w:t>
      </w:r>
      <w:r>
        <w:t xml:space="preserve">. </w:t>
      </w:r>
      <w:r w:rsidR="0059148D" w:rsidRPr="0059148D">
        <w:t>A heating set point of 21°C (internal temperature) and a cooling set point (the point at which free cooling is provided through bypass of the heat recovery system) of 25°C (internal temperature) has been assumed in the models. The heat recovery system is assumed to have a thermal efficiency of 90%. The balanced MVHR system is assumed to operate continuously delivering 0.5 air changes per hour in all spaces with extracts in the kitchen and bathroom areas. A specific fan power of 0.46 Watts per litre per second (W/l/s) has been used in accordance with the original SAP worksheets provided by the client (</w:t>
      </w:r>
      <w:proofErr w:type="spellStart"/>
      <w:r w:rsidR="0059148D" w:rsidRPr="0059148D">
        <w:t>Golinski</w:t>
      </w:r>
      <w:proofErr w:type="spellEnd"/>
      <w:r w:rsidR="0059148D" w:rsidRPr="0059148D">
        <w:t xml:space="preserve">, 2011). Air exchanges that are a result of </w:t>
      </w:r>
      <w:r w:rsidR="0059148D" w:rsidRPr="0059148D">
        <w:lastRenderedPageBreak/>
        <w:t>infiltration are also referenced from the SAP worksheet and are assumed to provide 0.17 air changes per hour throughout the dwelling.</w:t>
      </w:r>
    </w:p>
    <w:p w14:paraId="74A56697" w14:textId="684A6B1E" w:rsidR="009074F5" w:rsidRDefault="009074F5" w:rsidP="009074F5">
      <w:pPr>
        <w:pStyle w:val="NumPara"/>
      </w:pPr>
      <w:r w:rsidRPr="009074F5">
        <w:t xml:space="preserve">Results analysis is based upon total annual energy consumption for space heating, domestic hot water, ventilation system energy (referred to as ‘ventilation’ in the results), </w:t>
      </w:r>
      <w:r>
        <w:t xml:space="preserve">chillers (for scenario 3.2 only), </w:t>
      </w:r>
      <w:r w:rsidRPr="009074F5">
        <w:t>lighting and equipment. Overheating has been evaluated using two different metrics. Under traditional measures of overheating used for non-domestic buildings, a room is considered to provide uncomfortable conditions when the internal temperature exceeds 25°C for more than 5% of the occupied hours and exceeds 28°C for more than 1% of the occupied hours (CIBSE, 2006c). This is a more rigorous test of potential overheating than is currently used for domestic buildings in SAP. It has been assumed that external shutters will be closed during all daylight hours in the overheating analysis. This is again in accordance with specifications set within the SAP calculations provided by the client (</w:t>
      </w:r>
      <w:proofErr w:type="spellStart"/>
      <w:r w:rsidRPr="009074F5">
        <w:t>Golinski</w:t>
      </w:r>
      <w:proofErr w:type="spellEnd"/>
      <w:r w:rsidRPr="009074F5">
        <w:t>, 2011).</w:t>
      </w:r>
    </w:p>
    <w:p w14:paraId="1D730A96" w14:textId="77777777" w:rsidR="009074F5" w:rsidRDefault="009074F5" w:rsidP="009074F5">
      <w:pPr>
        <w:pStyle w:val="NumPara"/>
      </w:pPr>
      <w:r>
        <w:t>The absolute metrics used to assess overheating mentioned above were superseded in 2013 in favour of adaptable comfort metrics. The finite metrics were defined in the CIBSE Guide A document (CIBSE, 2006c) but have been updated to align with other European and American metrics. The justification for this and the calculation methods are defined in the document “TM52: The limits of thermal comfort: avoiding overheating in European buildings” (CIBSE, 2013). This sets out three criteria to evaluate overheating based upon the theory of adaptive comfort, which acknowledges that people are more tolerant of higher internal temperatures when external temperatures are higher themselves. Both assessment methods have been used here to provide a comparison. The absolute metrics help to illustrate the actual temperatures that will be experienced in the dwelling, whereas the adaptive comfort metrics provide a more holistic illustration of personal thermal comfort.</w:t>
      </w:r>
    </w:p>
    <w:p w14:paraId="6169D895" w14:textId="77777777" w:rsidR="009074F5" w:rsidRDefault="009074F5" w:rsidP="009074F5">
      <w:pPr>
        <w:pStyle w:val="NumPara"/>
      </w:pPr>
      <w:r>
        <w:t xml:space="preserve">The </w:t>
      </w:r>
      <w:r w:rsidRPr="003E5E05">
        <w:t>adaptable comfort metrics</w:t>
      </w:r>
      <w:r>
        <w:t xml:space="preserve"> measure: hours of </w:t>
      </w:r>
      <w:proofErr w:type="spellStart"/>
      <w:r>
        <w:t>exceedence</w:t>
      </w:r>
      <w:proofErr w:type="spellEnd"/>
      <w:r>
        <w:t xml:space="preserve">; the daily weighted </w:t>
      </w:r>
      <w:proofErr w:type="spellStart"/>
      <w:r>
        <w:t>exceedence</w:t>
      </w:r>
      <w:proofErr w:type="spellEnd"/>
      <w:r>
        <w:t>; and the upper limit temperature. These are defined below:</w:t>
      </w:r>
    </w:p>
    <w:p w14:paraId="34A6BFE5" w14:textId="77777777" w:rsidR="009074F5" w:rsidRDefault="009074F5" w:rsidP="009074F5">
      <w:pPr>
        <w:numPr>
          <w:ilvl w:val="1"/>
          <w:numId w:val="1"/>
        </w:numPr>
        <w:tabs>
          <w:tab w:val="num" w:pos="786"/>
        </w:tabs>
        <w:spacing w:before="60" w:after="60"/>
      </w:pPr>
      <w:r w:rsidRPr="003E5E05">
        <w:rPr>
          <w:b/>
        </w:rPr>
        <w:t>Hours of exceedance –</w:t>
      </w:r>
      <w:r>
        <w:t xml:space="preserve"> Sets a limit for the number of hours that the operative temperature can exceed the threshold comfort temperature (upper limit of the range of comfort temperature) by one degree or more during the occupied hours of a typical non-heating season (1st May to the 30th September). The number of hours during which the difference between internal and external temperatures (ΔT – Delta T) is greater than or equal to one degree (K) during the period May to September inclusive, shall not be more than 3% of occupied hours.</w:t>
      </w:r>
    </w:p>
    <w:p w14:paraId="7C1C8004" w14:textId="77777777" w:rsidR="009074F5" w:rsidRDefault="009074F5" w:rsidP="009074F5">
      <w:pPr>
        <w:numPr>
          <w:ilvl w:val="1"/>
          <w:numId w:val="1"/>
        </w:numPr>
        <w:tabs>
          <w:tab w:val="num" w:pos="786"/>
        </w:tabs>
        <w:spacing w:before="60" w:after="60"/>
      </w:pPr>
      <w:r w:rsidRPr="003E5E05">
        <w:rPr>
          <w:b/>
        </w:rPr>
        <w:t>Daily weighted exceedance –</w:t>
      </w:r>
      <w:r>
        <w:t xml:space="preserve"> Deals with the severity of overheating, which can be as important as its frequency, the level of which is a function of both temperature rise and its duration. This criterion sets a daily limit for acceptability. To allow for the severity of overheating, the weighted </w:t>
      </w:r>
      <w:proofErr w:type="spellStart"/>
      <w:r>
        <w:t>exceedence</w:t>
      </w:r>
      <w:proofErr w:type="spellEnd"/>
      <w:r>
        <w:t xml:space="preserve"> shall be less than or equal to six in any one day.</w:t>
      </w:r>
    </w:p>
    <w:p w14:paraId="6C6812C2" w14:textId="77777777" w:rsidR="009074F5" w:rsidRDefault="009074F5" w:rsidP="009074F5">
      <w:pPr>
        <w:numPr>
          <w:ilvl w:val="1"/>
          <w:numId w:val="1"/>
        </w:numPr>
        <w:tabs>
          <w:tab w:val="num" w:pos="786"/>
        </w:tabs>
        <w:spacing w:before="60" w:after="60"/>
      </w:pPr>
      <w:r w:rsidRPr="003E5E05">
        <w:rPr>
          <w:b/>
        </w:rPr>
        <w:t>Upper limit temperature –</w:t>
      </w:r>
      <w:r>
        <w:t xml:space="preserve"> Sets an absolute maximum daily temperature for a room, beyond which the level of overheating is unacceptable. It sets an absolute maximum value for the indoor operative temperature; the value of ΔT shall not exceed 4K.</w:t>
      </w:r>
    </w:p>
    <w:p w14:paraId="7FB5D1BB" w14:textId="77777777" w:rsidR="00D31C85" w:rsidRDefault="00D31C85" w:rsidP="00D31C85">
      <w:pPr>
        <w:pStyle w:val="Heading2"/>
      </w:pPr>
      <w:bookmarkStart w:id="18" w:name="_Toc422493080"/>
      <w:r>
        <w:t>Limitations</w:t>
      </w:r>
      <w:bookmarkEnd w:id="18"/>
    </w:p>
    <w:p w14:paraId="61F659FB" w14:textId="77777777" w:rsidR="009074F5" w:rsidRDefault="009074F5" w:rsidP="009074F5">
      <w:pPr>
        <w:pStyle w:val="NumPara"/>
      </w:pPr>
      <w:r>
        <w:t xml:space="preserve">It is important to note that the DTS models used here are not approved for regulatory compliance calculations for dwellings; they are only approved for regulatory compliance use in non-domestic buildings. This also applies to the weather files used in the simulation. This type of modelling does enable a much more detailed energy and thermal performance analysis to be undertaken than would otherwise be the case if a SAP calculation was used. This is particularly relevant to the overheating analysis included in this report. </w:t>
      </w:r>
    </w:p>
    <w:p w14:paraId="3AD3948B" w14:textId="42E6E8F2" w:rsidR="009074F5" w:rsidRDefault="009074F5" w:rsidP="009074F5">
      <w:pPr>
        <w:pStyle w:val="NumPara"/>
      </w:pPr>
      <w:r>
        <w:t>As mentioned previously, there are limitations associated with replicating the geometry of the prototype dwelling within the modelling software. As such, a faceted, rather than perfect sphere, has been constructed within the model. However, this does not result in any additional thermal bridging, as this value is defined independently of the geometry in this type of model.</w:t>
      </w:r>
    </w:p>
    <w:p w14:paraId="7F1980F9" w14:textId="67C71FBF" w:rsidR="00C65FF4" w:rsidRDefault="00F034FC" w:rsidP="009074F5">
      <w:pPr>
        <w:pStyle w:val="NumPara"/>
      </w:pPr>
      <w:r>
        <w:t>The simulation</w:t>
      </w:r>
      <w:r w:rsidR="009074F5">
        <w:t xml:space="preserve">s designed to help quantify any potential </w:t>
      </w:r>
      <w:r>
        <w:t xml:space="preserve">advantage </w:t>
      </w:r>
      <w:r w:rsidR="009074F5">
        <w:t xml:space="preserve">that may be gained by </w:t>
      </w:r>
      <w:r>
        <w:t>rotating the dwelling are not exhaustive. Although the dwelling has been modelled in annual scenarios at 30</w:t>
      </w:r>
      <w:r w:rsidRPr="009074F5">
        <w:rPr>
          <w:rFonts w:cs="Arial"/>
        </w:rPr>
        <w:t>°</w:t>
      </w:r>
      <w:r>
        <w:t xml:space="preserve"> increments</w:t>
      </w:r>
      <w:r w:rsidR="009074F5">
        <w:t>,</w:t>
      </w:r>
      <w:r>
        <w:t xml:space="preserve"> it has not been modelled to gradually follow the path of the sun during each day. The estimates of </w:t>
      </w:r>
      <w:r w:rsidR="00C65FF4">
        <w:t>energy consumption</w:t>
      </w:r>
      <w:r>
        <w:t xml:space="preserve"> at different </w:t>
      </w:r>
      <w:r w:rsidR="00574592">
        <w:t xml:space="preserve">incremental </w:t>
      </w:r>
      <w:r>
        <w:t>orientations are therefore only indicative of the</w:t>
      </w:r>
      <w:r w:rsidR="00C65FF4">
        <w:t xml:space="preserve"> potenti</w:t>
      </w:r>
      <w:r w:rsidR="00574592">
        <w:t>al differences in performance that may be achieved if the</w:t>
      </w:r>
      <w:r w:rsidR="00C65FF4">
        <w:t xml:space="preserve"> dwelling</w:t>
      </w:r>
      <w:r w:rsidR="00574592">
        <w:t xml:space="preserve"> was rotated to that particular increment.</w:t>
      </w:r>
    </w:p>
    <w:p w14:paraId="1075D828" w14:textId="58E9B943" w:rsidR="00F034FC" w:rsidRDefault="00C65FF4" w:rsidP="00D31C85">
      <w:pPr>
        <w:pStyle w:val="NumPara"/>
      </w:pPr>
      <w:r>
        <w:t>In models that simulate natural ventilation</w:t>
      </w:r>
      <w:r w:rsidR="00574592">
        <w:t>,</w:t>
      </w:r>
      <w:r>
        <w:t xml:space="preserve"> it </w:t>
      </w:r>
      <w:r w:rsidR="00574592">
        <w:t xml:space="preserve">is </w:t>
      </w:r>
      <w:r>
        <w:t xml:space="preserve">assumed that </w:t>
      </w:r>
      <w:r w:rsidR="00574592">
        <w:t xml:space="preserve">the </w:t>
      </w:r>
      <w:r>
        <w:t xml:space="preserve">occupants will open windows when internal temperatures reach a </w:t>
      </w:r>
      <w:r w:rsidR="00574592">
        <w:t xml:space="preserve">particular </w:t>
      </w:r>
      <w:r>
        <w:t>set point. In reality</w:t>
      </w:r>
      <w:r w:rsidR="00574592">
        <w:t>,</w:t>
      </w:r>
      <w:r>
        <w:t xml:space="preserve"> the behaviour of individuals is very difficult to predict</w:t>
      </w:r>
      <w:r w:rsidR="00574592">
        <w:t xml:space="preserve"> and this behaviour is unlikely to occur</w:t>
      </w:r>
      <w:r>
        <w:t xml:space="preserve">. </w:t>
      </w:r>
      <w:r w:rsidR="00574592">
        <w:t xml:space="preserve">Despite this, it would be possible to </w:t>
      </w:r>
      <w:r w:rsidR="00574592">
        <w:lastRenderedPageBreak/>
        <w:t>install a</w:t>
      </w:r>
      <w:r>
        <w:t xml:space="preserve">utomated opening </w:t>
      </w:r>
      <w:r w:rsidR="00574592">
        <w:t xml:space="preserve">window </w:t>
      </w:r>
      <w:r>
        <w:t xml:space="preserve">devices </w:t>
      </w:r>
      <w:r w:rsidR="00574592">
        <w:t xml:space="preserve">into the dwelling, </w:t>
      </w:r>
      <w:r>
        <w:t>if opening of windows at set temperatures was deemed to be vital to the dwelling’s effective operation.</w:t>
      </w:r>
      <w:r w:rsidR="00F034FC">
        <w:t xml:space="preserve">  </w:t>
      </w:r>
    </w:p>
    <w:p w14:paraId="4E2BA269" w14:textId="6A87FCBC" w:rsidR="009074F5" w:rsidRDefault="00D31C85" w:rsidP="00574592">
      <w:pPr>
        <w:pStyle w:val="NumPara"/>
      </w:pPr>
      <w:r>
        <w:t>The software used as part of this analysis has limited scope for the assessment of renewable energy generation. In this instance the potential for photovoltaic (PV) panels and wind turbines has been evaluated. The way in which these technologies are modelled in the DTS software is relatively simple. There is no specific function for mounting these technologies on the building in the model space. Inputs are limited to the size of the respective systems, their orientation, inclination (in the case of PV) and height (in the case of wind turbines).</w:t>
      </w:r>
    </w:p>
    <w:p w14:paraId="4BFD6380" w14:textId="77777777" w:rsidR="006767F2" w:rsidRDefault="006767F2" w:rsidP="006767F2">
      <w:pPr>
        <w:pStyle w:val="Heading2"/>
      </w:pPr>
      <w:bookmarkStart w:id="19" w:name="_Toc422493081"/>
      <w:r>
        <w:t>Results</w:t>
      </w:r>
      <w:bookmarkEnd w:id="19"/>
    </w:p>
    <w:p w14:paraId="52DF1511" w14:textId="0A64D72D" w:rsidR="00194D7F" w:rsidRDefault="0073294D" w:rsidP="00C13443">
      <w:pPr>
        <w:pStyle w:val="NumPara"/>
      </w:pPr>
      <w:r>
        <w:t xml:space="preserve">In order to more clearly illustrate the relationship between heating and cooling requirements in each of the scenarios, estimates of </w:t>
      </w:r>
      <w:r w:rsidR="00840135">
        <w:t xml:space="preserve">annual </w:t>
      </w:r>
      <w:r>
        <w:t>energy consumption</w:t>
      </w:r>
      <w:r w:rsidR="001425E0">
        <w:t>,</w:t>
      </w:r>
      <w:r>
        <w:t xml:space="preserve"> space heating requirements and potential overheating have been presented together for each scenario. There is also a summary and comparison of results from each scenario at the end of this section. </w:t>
      </w:r>
      <w:r w:rsidR="00840135">
        <w:t>The e</w:t>
      </w:r>
      <w:r w:rsidR="00C13443">
        <w:t xml:space="preserve">nergy performance results </w:t>
      </w:r>
      <w:r w:rsidR="00840135">
        <w:t xml:space="preserve">presented </w:t>
      </w:r>
      <w:r w:rsidR="00C13443">
        <w:t xml:space="preserve">for all </w:t>
      </w:r>
      <w:r w:rsidR="00840135">
        <w:t xml:space="preserve">of the </w:t>
      </w:r>
      <w:r w:rsidR="00C13443">
        <w:t>scenarios use the TRY simulation weather files. Charts include total consumption, space heating, domestic hot water (DHW)</w:t>
      </w:r>
      <w:r w:rsidR="00840135">
        <w:t>, ventilation, chiller energy (S</w:t>
      </w:r>
      <w:r w:rsidR="00C13443">
        <w:t>cenario 3.2 only), lighting and equipment.</w:t>
      </w:r>
      <w:r w:rsidR="001A4A4E" w:rsidRPr="001A4A4E">
        <w:t xml:space="preserve"> </w:t>
      </w:r>
      <w:r w:rsidR="001A4A4E">
        <w:t xml:space="preserve">The space heating energy consumption for the alternative </w:t>
      </w:r>
      <w:r w:rsidR="00B35327">
        <w:t xml:space="preserve">location </w:t>
      </w:r>
      <w:r w:rsidR="001A4A4E">
        <w:t>scenarios is also presented. The difference between consumption at different orientations can be seen more clearly in these charts.</w:t>
      </w:r>
      <w:r w:rsidR="00B35327">
        <w:t xml:space="preserve"> To help visualise and be able to compare differences in energy consumption at different orientations, the</w:t>
      </w:r>
      <w:r w:rsidR="00563C73">
        <w:t xml:space="preserve"> lowest value on the y-axis has been limited to </w:t>
      </w:r>
      <w:r w:rsidR="007B4A81">
        <w:t>4</w:t>
      </w:r>
      <w:r w:rsidR="001551D5">
        <w:t>00 kWh</w:t>
      </w:r>
      <w:r w:rsidR="00B35327">
        <w:t xml:space="preserve"> and the highest to 900 kWh</w:t>
      </w:r>
      <w:r w:rsidR="00563C73">
        <w:t xml:space="preserve">. </w:t>
      </w:r>
    </w:p>
    <w:p w14:paraId="712C0B19" w14:textId="120A62E0" w:rsidR="00810116" w:rsidRDefault="00B35327" w:rsidP="00F91AAD">
      <w:pPr>
        <w:pStyle w:val="NumPara"/>
      </w:pPr>
      <w:r>
        <w:t>The p</w:t>
      </w:r>
      <w:r w:rsidR="001A4A4E">
        <w:t xml:space="preserve">otential </w:t>
      </w:r>
      <w:r>
        <w:t xml:space="preserve">risk </w:t>
      </w:r>
      <w:r w:rsidR="001A4A4E">
        <w:t>for overheat</w:t>
      </w:r>
      <w:r w:rsidR="00A87109">
        <w:t>ing has been evaluated using both</w:t>
      </w:r>
      <w:r w:rsidR="001A4A4E">
        <w:t xml:space="preserve"> metrics described </w:t>
      </w:r>
      <w:r>
        <w:t xml:space="preserve">previously </w:t>
      </w:r>
      <w:r w:rsidR="001A4A4E">
        <w:t xml:space="preserve">in paragraphs </w:t>
      </w:r>
      <w:r>
        <w:t>34</w:t>
      </w:r>
      <w:r w:rsidR="001A4A4E">
        <w:t xml:space="preserve"> and 3</w:t>
      </w:r>
      <w:r>
        <w:t>5</w:t>
      </w:r>
      <w:r w:rsidR="001A4A4E">
        <w:t xml:space="preserve"> using the DSY simulation weather</w:t>
      </w:r>
      <w:r w:rsidR="001551D5">
        <w:t xml:space="preserve"> files. Although overheating could have</w:t>
      </w:r>
      <w:r w:rsidR="001A4A4E">
        <w:t xml:space="preserve"> be</w:t>
      </w:r>
      <w:r w:rsidR="001551D5">
        <w:t>en</w:t>
      </w:r>
      <w:r w:rsidR="001A4A4E">
        <w:t xml:space="preserve"> assessed in all </w:t>
      </w:r>
      <w:r w:rsidR="001551D5">
        <w:t xml:space="preserve">of the </w:t>
      </w:r>
      <w:r w:rsidR="001A4A4E">
        <w:t>rooms</w:t>
      </w:r>
      <w:r w:rsidR="001551D5">
        <w:t xml:space="preserve"> within the prototype dwelling</w:t>
      </w:r>
      <w:r w:rsidR="001A4A4E">
        <w:t xml:space="preserve">, this analysis focuses </w:t>
      </w:r>
      <w:r w:rsidR="001551D5">
        <w:t>only on those rooms with the highest levels of occupancy, namely</w:t>
      </w:r>
      <w:r w:rsidR="001A4A4E">
        <w:t xml:space="preserve">: L3 Bedroom, L6 Bedroom, L5 Study, L5 Lounge and L5 Kitchen. </w:t>
      </w:r>
      <w:r w:rsidR="00E308B8">
        <w:t>During this analysis, it has been</w:t>
      </w:r>
      <w:r w:rsidR="001A4A4E">
        <w:t xml:space="preserve"> assumed that </w:t>
      </w:r>
      <w:r w:rsidR="00E308B8">
        <w:t xml:space="preserve">the </w:t>
      </w:r>
      <w:r w:rsidR="001A4A4E">
        <w:t>external shutters are closed during daylight hours</w:t>
      </w:r>
      <w:r w:rsidR="00E308B8">
        <w:t>,</w:t>
      </w:r>
      <w:r w:rsidR="001A4A4E">
        <w:t xml:space="preserve"> as per </w:t>
      </w:r>
      <w:r w:rsidR="001551D5">
        <w:t xml:space="preserve">the </w:t>
      </w:r>
      <w:r w:rsidR="001A4A4E">
        <w:t xml:space="preserve">information provided in the SAP </w:t>
      </w:r>
      <w:r w:rsidR="00E308B8" w:rsidRPr="00E308B8">
        <w:t>w</w:t>
      </w:r>
      <w:r w:rsidR="00E308B8">
        <w:t>orksheet dated 11th August 2011 (</w:t>
      </w:r>
      <w:proofErr w:type="spellStart"/>
      <w:r w:rsidR="001551D5">
        <w:t>Golinski</w:t>
      </w:r>
      <w:proofErr w:type="spellEnd"/>
      <w:r w:rsidR="001551D5">
        <w:t>, 2011)</w:t>
      </w:r>
      <w:r w:rsidR="001A4A4E">
        <w:t xml:space="preserve">. </w:t>
      </w:r>
      <w:r w:rsidR="00F91AAD">
        <w:t xml:space="preserve">In the tables that have been produced to illustrate the risk of overheating, any cell shaded in red indicates a failed case for that particular metric. In case of the adaptive comfort metrics, </w:t>
      </w:r>
      <w:r w:rsidR="00F91AAD" w:rsidRPr="00F91AAD">
        <w:t>a r</w:t>
      </w:r>
      <w:r w:rsidR="00F91AAD">
        <w:t>oom is considered to experience unacceptable overheating</w:t>
      </w:r>
      <w:r w:rsidR="00F91AAD" w:rsidRPr="00F91AAD">
        <w:t xml:space="preserve"> if t</w:t>
      </w:r>
      <w:r w:rsidR="004C68EA">
        <w:t>wo out of the three criteria have</w:t>
      </w:r>
      <w:r w:rsidR="00F91AAD" w:rsidRPr="00F91AAD">
        <w:t xml:space="preserve"> failed.</w:t>
      </w:r>
      <w:r w:rsidR="00F91AAD">
        <w:t xml:space="preserve"> </w:t>
      </w:r>
      <w:r w:rsidR="004C68EA">
        <w:t>In terms of the individual criteria, f</w:t>
      </w:r>
      <w:r w:rsidR="00F91AAD">
        <w:t xml:space="preserve">or criteria 1 a score of 3 or over indicates a failed result, </w:t>
      </w:r>
      <w:r w:rsidR="004C68EA">
        <w:t xml:space="preserve">for </w:t>
      </w:r>
      <w:r w:rsidR="00F91AAD">
        <w:t xml:space="preserve">criteria 2 </w:t>
      </w:r>
      <w:r w:rsidR="004C68EA">
        <w:t xml:space="preserve">a score of </w:t>
      </w:r>
      <w:r w:rsidR="00F91AAD">
        <w:t xml:space="preserve">6 or over </w:t>
      </w:r>
      <w:r w:rsidR="004C68EA">
        <w:t xml:space="preserve">indicates a failed result, whilst for </w:t>
      </w:r>
      <w:r w:rsidR="00F91AAD">
        <w:t xml:space="preserve">criteria 3 </w:t>
      </w:r>
      <w:r w:rsidR="004C68EA">
        <w:t xml:space="preserve">a score of </w:t>
      </w:r>
      <w:r w:rsidR="00F91AAD">
        <w:t>4 or over</w:t>
      </w:r>
      <w:r w:rsidR="004C68EA">
        <w:t xml:space="preserve"> indicates a field result</w:t>
      </w:r>
      <w:r w:rsidR="00F91AAD">
        <w:t>.</w:t>
      </w:r>
    </w:p>
    <w:p w14:paraId="0998805B" w14:textId="77777777" w:rsidR="00F91AAD" w:rsidRPr="00F91AAD" w:rsidRDefault="00F91AAD" w:rsidP="00F91AAD">
      <w:pPr>
        <w:pStyle w:val="NumPara"/>
        <w:numPr>
          <w:ilvl w:val="0"/>
          <w:numId w:val="0"/>
        </w:numPr>
        <w:ind w:left="567"/>
      </w:pPr>
    </w:p>
    <w:p w14:paraId="41B2BEBC" w14:textId="77777777" w:rsidR="001A4A4E" w:rsidRDefault="001A4A4E" w:rsidP="001A4A4E">
      <w:pPr>
        <w:pStyle w:val="NumPara"/>
        <w:numPr>
          <w:ilvl w:val="0"/>
          <w:numId w:val="0"/>
        </w:numPr>
        <w:ind w:left="567"/>
        <w:rPr>
          <w:b/>
          <w:i/>
        </w:rPr>
      </w:pPr>
      <w:r w:rsidRPr="001A4A4E">
        <w:rPr>
          <w:b/>
          <w:i/>
        </w:rPr>
        <w:t>Scenario 2.1 – SAP inputs with Heat Pump</w:t>
      </w:r>
    </w:p>
    <w:p w14:paraId="014C077F" w14:textId="4B7B4408" w:rsidR="00563C73" w:rsidRPr="00563C73" w:rsidRDefault="00F91AAD" w:rsidP="00563C73">
      <w:pPr>
        <w:pStyle w:val="NumPara"/>
      </w:pPr>
      <w:r>
        <w:t>In this scenario,</w:t>
      </w:r>
      <w:r w:rsidR="004C68EA">
        <w:t xml:space="preserve"> the </w:t>
      </w:r>
      <w:r>
        <w:t>o</w:t>
      </w:r>
      <w:r w:rsidR="00563C73">
        <w:t xml:space="preserve">verall energy consumption is significantly lower </w:t>
      </w:r>
      <w:r w:rsidR="004C68EA">
        <w:t>than examined i</w:t>
      </w:r>
      <w:r w:rsidR="00563C73">
        <w:t xml:space="preserve">n </w:t>
      </w:r>
      <w:r w:rsidR="004C68EA">
        <w:t xml:space="preserve">Scenarios 1.1 and 1.2 in </w:t>
      </w:r>
      <w:r w:rsidR="00563C73">
        <w:t xml:space="preserve">the Innovate UK </w:t>
      </w:r>
      <w:r w:rsidR="004C68EA">
        <w:t xml:space="preserve">Innovation Voucher </w:t>
      </w:r>
      <w:r w:rsidR="00563C73">
        <w:t xml:space="preserve">report </w:t>
      </w:r>
      <w:r w:rsidR="004C68EA">
        <w:t xml:space="preserve">(see Johnston, Brooke-Peat and Parker, 2015). This is attributable </w:t>
      </w:r>
      <w:r w:rsidR="00563C73">
        <w:t>to the increased eff</w:t>
      </w:r>
      <w:r w:rsidR="004C68EA">
        <w:t xml:space="preserve">iciency of the heat pump system, </w:t>
      </w:r>
      <w:r w:rsidR="00563C73">
        <w:t>as opp</w:t>
      </w:r>
      <w:r w:rsidR="004C68EA">
        <w:t>osed to the gas boiler system (320% as opposed to 89%)</w:t>
      </w:r>
      <w:r w:rsidR="00563C73">
        <w:t xml:space="preserve">. It is not however appropriate to compare </w:t>
      </w:r>
      <w:r w:rsidR="004C68EA">
        <w:t xml:space="preserve">the </w:t>
      </w:r>
      <w:r w:rsidR="00563C73">
        <w:t xml:space="preserve">electricity and </w:t>
      </w:r>
      <w:r w:rsidR="004C68EA">
        <w:t xml:space="preserve">the gas-fired system using the </w:t>
      </w:r>
      <w:r w:rsidR="00563C73">
        <w:t xml:space="preserve">total energy consumption </w:t>
      </w:r>
      <w:r w:rsidR="004C68EA">
        <w:t xml:space="preserve">metric only, </w:t>
      </w:r>
      <w:r w:rsidR="00563C73">
        <w:t xml:space="preserve">due to the </w:t>
      </w:r>
      <w:r w:rsidR="004C68EA">
        <w:t xml:space="preserve">much </w:t>
      </w:r>
      <w:r w:rsidR="00563C73">
        <w:t xml:space="preserve">lower carbon emission factor and cost of gas; this is explained further at the end of this section. </w:t>
      </w:r>
      <w:r w:rsidR="00560A87">
        <w:t>When rotating the dwelling</w:t>
      </w:r>
      <w:r w:rsidR="004C68EA">
        <w:t>,</w:t>
      </w:r>
      <w:r w:rsidR="00560A87">
        <w:t xml:space="preserve"> t</w:t>
      </w:r>
      <w:r w:rsidR="00563C73">
        <w:t xml:space="preserve">here would be a maximum </w:t>
      </w:r>
      <w:r w:rsidR="004C68EA">
        <w:t xml:space="preserve">total energy </w:t>
      </w:r>
      <w:r w:rsidR="00563C73">
        <w:t>saving of 2</w:t>
      </w:r>
      <w:r w:rsidR="00627026">
        <w:t>1</w:t>
      </w:r>
      <w:r w:rsidR="00832101">
        <w:t xml:space="preserve"> kWh per annum in this scenario. This is </w:t>
      </w:r>
      <w:r w:rsidR="004C68EA">
        <w:t xml:space="preserve">much smaller than </w:t>
      </w:r>
      <w:r w:rsidR="00832101">
        <w:t>the sa</w:t>
      </w:r>
      <w:r w:rsidR="00610A82">
        <w:t>vings modelled in Scenarios 1.1</w:t>
      </w:r>
      <w:r w:rsidR="00832101">
        <w:t xml:space="preserve"> and 1.2, due to the large differences in efficiency associated with the differing space and water heating systems. Consequently, even less energy will have been saved by rotating the dwelling in this scenario to </w:t>
      </w:r>
      <w:r w:rsidR="00563C73">
        <w:t xml:space="preserve">offset against the amount of energy required to </w:t>
      </w:r>
      <w:r w:rsidR="00560A87">
        <w:t>physically revolve the structure</w:t>
      </w:r>
      <w:r w:rsidR="00563C73">
        <w:t xml:space="preserve">. </w:t>
      </w:r>
    </w:p>
    <w:p w14:paraId="5CC83467" w14:textId="77777777" w:rsidR="00194D7F" w:rsidRDefault="00194D7F" w:rsidP="00194D7F">
      <w:pPr>
        <w:pStyle w:val="NumPara"/>
        <w:numPr>
          <w:ilvl w:val="0"/>
          <w:numId w:val="0"/>
        </w:numPr>
      </w:pPr>
    </w:p>
    <w:p w14:paraId="078F4623" w14:textId="77777777" w:rsidR="00194D7F" w:rsidRDefault="00576A7E" w:rsidP="00194D7F">
      <w:pPr>
        <w:pStyle w:val="NumPara"/>
        <w:numPr>
          <w:ilvl w:val="0"/>
          <w:numId w:val="0"/>
        </w:numPr>
      </w:pPr>
      <w:r>
        <w:rPr>
          <w:noProof/>
          <w:lang w:eastAsia="en-GB"/>
        </w:rPr>
        <w:lastRenderedPageBreak/>
        <w:drawing>
          <wp:inline distT="0" distB="0" distL="0" distR="0" wp14:anchorId="56746C3C" wp14:editId="4B69289E">
            <wp:extent cx="5943600" cy="2533650"/>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826F2E" w14:textId="6511F5C9" w:rsidR="001A4A4E" w:rsidRPr="001551D5" w:rsidRDefault="001551D5" w:rsidP="001551D5">
      <w:pPr>
        <w:pStyle w:val="Caption"/>
        <w:jc w:val="center"/>
      </w:pPr>
      <w:r w:rsidRPr="001551D5">
        <w:t xml:space="preserve">Figure </w:t>
      </w:r>
      <w:r w:rsidR="00FA6C6B">
        <w:fldChar w:fldCharType="begin"/>
      </w:r>
      <w:r w:rsidR="00FA6C6B">
        <w:instrText xml:space="preserve"> SEQ Figure \* ARABIC </w:instrText>
      </w:r>
      <w:r w:rsidR="00FA6C6B">
        <w:fldChar w:fldCharType="separate"/>
      </w:r>
      <w:r w:rsidR="002712F1">
        <w:rPr>
          <w:noProof/>
        </w:rPr>
        <w:t>7</w:t>
      </w:r>
      <w:r w:rsidR="00FA6C6B">
        <w:rPr>
          <w:noProof/>
        </w:rPr>
        <w:fldChar w:fldCharType="end"/>
      </w:r>
      <w:r w:rsidRPr="001551D5">
        <w:t xml:space="preserve"> </w:t>
      </w:r>
      <w:r w:rsidR="001A4A4E" w:rsidRPr="001551D5">
        <w:t>Scenario 2.1 end-use energy consumption.</w:t>
      </w:r>
    </w:p>
    <w:p w14:paraId="0CEFEF9C" w14:textId="77777777" w:rsidR="001A4A4E" w:rsidRPr="00563C73" w:rsidRDefault="001A4A4E" w:rsidP="00563C73">
      <w:pPr>
        <w:pStyle w:val="NumPara"/>
        <w:numPr>
          <w:ilvl w:val="0"/>
          <w:numId w:val="0"/>
        </w:numPr>
        <w:jc w:val="center"/>
      </w:pPr>
      <w:r>
        <w:rPr>
          <w:noProof/>
          <w:lang w:eastAsia="en-GB"/>
        </w:rPr>
        <w:drawing>
          <wp:inline distT="0" distB="0" distL="0" distR="0" wp14:anchorId="1C4801AE" wp14:editId="1175203E">
            <wp:extent cx="5657850" cy="24384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C7FA7A" w14:textId="01A2FEB4" w:rsidR="001A4A4E" w:rsidRDefault="001551D5" w:rsidP="001551D5">
      <w:pPr>
        <w:pStyle w:val="Caption"/>
        <w:jc w:val="center"/>
        <w:rPr>
          <w:b w:val="0"/>
        </w:rPr>
      </w:pPr>
      <w:r w:rsidRPr="001551D5">
        <w:t xml:space="preserve">Figure </w:t>
      </w:r>
      <w:r w:rsidR="00FA6C6B">
        <w:fldChar w:fldCharType="begin"/>
      </w:r>
      <w:r w:rsidR="00FA6C6B">
        <w:instrText xml:space="preserve"> SEQ Figure \* ARABIC </w:instrText>
      </w:r>
      <w:r w:rsidR="00FA6C6B">
        <w:fldChar w:fldCharType="separate"/>
      </w:r>
      <w:r w:rsidR="002712F1">
        <w:rPr>
          <w:noProof/>
        </w:rPr>
        <w:t>8</w:t>
      </w:r>
      <w:r w:rsidR="00FA6C6B">
        <w:rPr>
          <w:noProof/>
        </w:rPr>
        <w:fldChar w:fldCharType="end"/>
      </w:r>
      <w:r w:rsidRPr="001551D5">
        <w:t xml:space="preserve"> </w:t>
      </w:r>
      <w:r w:rsidR="001A4A4E" w:rsidRPr="001551D5">
        <w:t xml:space="preserve">Scenario 2.1 </w:t>
      </w:r>
      <w:r w:rsidR="001F3974" w:rsidRPr="001551D5">
        <w:t>space heating</w:t>
      </w:r>
      <w:r w:rsidR="001A4A4E" w:rsidRPr="001551D5">
        <w:t xml:space="preserve"> energy consumption</w:t>
      </w:r>
      <w:r w:rsidR="001A4A4E">
        <w:rPr>
          <w:b w:val="0"/>
        </w:rPr>
        <w:t>.</w:t>
      </w:r>
    </w:p>
    <w:p w14:paraId="71E10D1C" w14:textId="77777777" w:rsidR="00563C73" w:rsidRPr="001A4A4E" w:rsidRDefault="00563C73" w:rsidP="001A4A4E">
      <w:pPr>
        <w:pStyle w:val="NumPara"/>
        <w:numPr>
          <w:ilvl w:val="0"/>
          <w:numId w:val="0"/>
        </w:numPr>
        <w:jc w:val="center"/>
        <w:rPr>
          <w:b/>
        </w:rPr>
      </w:pPr>
    </w:p>
    <w:p w14:paraId="61C0CF80" w14:textId="4D284B41" w:rsidR="00563C73" w:rsidRDefault="00563C73" w:rsidP="00A4676B">
      <w:pPr>
        <w:pStyle w:val="NumPara"/>
      </w:pPr>
      <w:r>
        <w:t xml:space="preserve">The </w:t>
      </w:r>
      <w:r w:rsidR="000D1522">
        <w:t>minimum consumption is 59.13 kWh/m</w:t>
      </w:r>
      <w:r w:rsidR="000D1522" w:rsidRPr="00B363CB">
        <w:rPr>
          <w:vertAlign w:val="superscript"/>
        </w:rPr>
        <w:t>2</w:t>
      </w:r>
      <w:r w:rsidR="000D1522">
        <w:t>/year (at 0</w:t>
      </w:r>
      <w:r w:rsidR="000D1522">
        <w:rPr>
          <w:rFonts w:cs="Arial"/>
        </w:rPr>
        <w:t>°</w:t>
      </w:r>
      <w:r w:rsidR="000D1522">
        <w:t>), the maximum consumption is 59.29 kWh/m</w:t>
      </w:r>
      <w:r w:rsidR="000D1522" w:rsidRPr="00B363CB">
        <w:rPr>
          <w:vertAlign w:val="superscript"/>
        </w:rPr>
        <w:t>2</w:t>
      </w:r>
      <w:r w:rsidR="000D1522">
        <w:t>/year (at 210</w:t>
      </w:r>
      <w:r w:rsidR="000D1522">
        <w:rPr>
          <w:rFonts w:cs="Arial"/>
        </w:rPr>
        <w:t>°</w:t>
      </w:r>
      <w:r w:rsidR="000D1522">
        <w:t xml:space="preserve">) and the </w:t>
      </w:r>
      <w:r>
        <w:t>mean consumption for scenario 2.1 is 59.22 kWh/m</w:t>
      </w:r>
      <w:r w:rsidRPr="00B363CB">
        <w:rPr>
          <w:vertAlign w:val="superscript"/>
        </w:rPr>
        <w:t>2</w:t>
      </w:r>
      <w:r w:rsidR="000D1522">
        <w:t>/year.</w:t>
      </w:r>
      <w:r w:rsidR="00B363CB">
        <w:t xml:space="preserve"> </w:t>
      </w:r>
      <w:r w:rsidR="0002160D">
        <w:t>Overall, t</w:t>
      </w:r>
      <w:r w:rsidR="00B363CB">
        <w:t xml:space="preserve">he space heating consumption is </w:t>
      </w:r>
      <w:r w:rsidR="0002160D">
        <w:t>ver</w:t>
      </w:r>
      <w:r w:rsidR="00F6481E">
        <w:t>y</w:t>
      </w:r>
      <w:r w:rsidR="00B363CB">
        <w:t xml:space="preserve"> low in this scenario with </w:t>
      </w:r>
      <w:r w:rsidR="00A4676B">
        <w:t>a minimum of 5.22 kWh/m</w:t>
      </w:r>
      <w:r w:rsidR="00A4676B" w:rsidRPr="00A4676B">
        <w:rPr>
          <w:vertAlign w:val="superscript"/>
        </w:rPr>
        <w:t>2</w:t>
      </w:r>
      <w:r w:rsidR="00A4676B">
        <w:t>/year (at 0</w:t>
      </w:r>
      <w:r w:rsidR="00A4676B" w:rsidRPr="00A4676B">
        <w:rPr>
          <w:rFonts w:cs="Arial"/>
        </w:rPr>
        <w:t>°</w:t>
      </w:r>
      <w:r w:rsidR="00A4676B">
        <w:t>)</w:t>
      </w:r>
      <w:r w:rsidR="00B363CB">
        <w:t xml:space="preserve">, </w:t>
      </w:r>
      <w:r w:rsidR="0002160D">
        <w:t xml:space="preserve">a </w:t>
      </w:r>
      <w:r w:rsidR="00B363CB">
        <w:t xml:space="preserve">maximum </w:t>
      </w:r>
      <w:r w:rsidR="0002160D">
        <w:t xml:space="preserve">of </w:t>
      </w:r>
      <w:r w:rsidR="00B363CB">
        <w:t>5.39 kWh/m</w:t>
      </w:r>
      <w:r w:rsidR="00B363CB" w:rsidRPr="00A4676B">
        <w:rPr>
          <w:vertAlign w:val="superscript"/>
        </w:rPr>
        <w:t>2</w:t>
      </w:r>
      <w:r w:rsidR="00B363CB">
        <w:t>/year (at 210</w:t>
      </w:r>
      <w:r w:rsidR="00B363CB" w:rsidRPr="00A4676B">
        <w:rPr>
          <w:rFonts w:cs="Arial"/>
        </w:rPr>
        <w:t>°</w:t>
      </w:r>
      <w:r w:rsidR="00A4676B">
        <w:t>) and a mean of 5.31 kWh/m</w:t>
      </w:r>
      <w:r w:rsidR="00A4676B" w:rsidRPr="00A4676B">
        <w:rPr>
          <w:vertAlign w:val="superscript"/>
        </w:rPr>
        <w:t>2</w:t>
      </w:r>
      <w:r w:rsidR="00A4676B">
        <w:t xml:space="preserve">/year </w:t>
      </w:r>
      <w:r w:rsidR="00B363CB">
        <w:t>There is however significant risk of overheating in this sce</w:t>
      </w:r>
      <w:r w:rsidR="0002160D">
        <w:t xml:space="preserve">nario as can be seen in </w:t>
      </w:r>
      <w:r w:rsidR="0002160D">
        <w:fldChar w:fldCharType="begin"/>
      </w:r>
      <w:r w:rsidR="0002160D">
        <w:instrText xml:space="preserve"> REF _Ref422400567 \h </w:instrText>
      </w:r>
      <w:r w:rsidR="0002160D">
        <w:fldChar w:fldCharType="separate"/>
      </w:r>
      <w:r w:rsidR="0002160D" w:rsidRPr="001551D5">
        <w:t xml:space="preserve">Table </w:t>
      </w:r>
      <w:r w:rsidR="0002160D">
        <w:rPr>
          <w:noProof/>
        </w:rPr>
        <w:t>4</w:t>
      </w:r>
      <w:r w:rsidR="0002160D">
        <w:fldChar w:fldCharType="end"/>
      </w:r>
      <w:r w:rsidR="0002160D">
        <w:t xml:space="preserve"> and </w:t>
      </w:r>
      <w:r w:rsidR="0002160D">
        <w:fldChar w:fldCharType="begin"/>
      </w:r>
      <w:r w:rsidR="0002160D">
        <w:instrText xml:space="preserve"> REF _Ref422397361 \h </w:instrText>
      </w:r>
      <w:r w:rsidR="0002160D">
        <w:fldChar w:fldCharType="separate"/>
      </w:r>
      <w:r w:rsidR="0002160D" w:rsidRPr="001551D5">
        <w:t xml:space="preserve">Table </w:t>
      </w:r>
      <w:r w:rsidR="0002160D" w:rsidRPr="001551D5">
        <w:rPr>
          <w:noProof/>
        </w:rPr>
        <w:t>5</w:t>
      </w:r>
      <w:r w:rsidR="0002160D">
        <w:fldChar w:fldCharType="end"/>
      </w:r>
      <w:r w:rsidR="0002160D">
        <w:t>.</w:t>
      </w:r>
    </w:p>
    <w:p w14:paraId="3CE543BB" w14:textId="77777777" w:rsidR="00810116" w:rsidRDefault="00810116" w:rsidP="00810116">
      <w:pPr>
        <w:pStyle w:val="NumPara"/>
        <w:numPr>
          <w:ilvl w:val="0"/>
          <w:numId w:val="0"/>
        </w:numPr>
        <w:ind w:left="567"/>
      </w:pPr>
    </w:p>
    <w:p w14:paraId="42643BCB" w14:textId="77777777" w:rsidR="00AE4DE8" w:rsidRDefault="00AE4DE8" w:rsidP="00AE4DE8">
      <w:pPr>
        <w:pStyle w:val="NumPara"/>
        <w:numPr>
          <w:ilvl w:val="0"/>
          <w:numId w:val="0"/>
        </w:numPr>
        <w:ind w:left="567"/>
        <w:jc w:val="center"/>
      </w:pPr>
      <w:r w:rsidRPr="00AE4DE8">
        <w:rPr>
          <w:noProof/>
          <w:lang w:eastAsia="en-GB"/>
        </w:rPr>
        <w:lastRenderedPageBreak/>
        <w:drawing>
          <wp:inline distT="0" distB="0" distL="0" distR="0" wp14:anchorId="5562AE8F" wp14:editId="45CF7B17">
            <wp:extent cx="5580000" cy="2415600"/>
            <wp:effectExtent l="0" t="0" r="1905"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0000" cy="2415600"/>
                    </a:xfrm>
                    <a:prstGeom prst="rect">
                      <a:avLst/>
                    </a:prstGeom>
                    <a:noFill/>
                    <a:ln>
                      <a:noFill/>
                    </a:ln>
                  </pic:spPr>
                </pic:pic>
              </a:graphicData>
            </a:graphic>
          </wp:inline>
        </w:drawing>
      </w:r>
    </w:p>
    <w:p w14:paraId="0B1B7303" w14:textId="18F9838C" w:rsidR="00AE4DE8" w:rsidRPr="001551D5" w:rsidRDefault="001551D5" w:rsidP="001551D5">
      <w:pPr>
        <w:pStyle w:val="Caption"/>
        <w:jc w:val="center"/>
      </w:pPr>
      <w:bookmarkStart w:id="20" w:name="_Ref422400567"/>
      <w:r w:rsidRPr="001551D5">
        <w:t xml:space="preserve">Table </w:t>
      </w:r>
      <w:r w:rsidR="00FA6C6B">
        <w:fldChar w:fldCharType="begin"/>
      </w:r>
      <w:r w:rsidR="00FA6C6B">
        <w:instrText xml:space="preserve"> SEQ Table \* ARABIC </w:instrText>
      </w:r>
      <w:r w:rsidR="00FA6C6B">
        <w:fldChar w:fldCharType="separate"/>
      </w:r>
      <w:r w:rsidR="00210048">
        <w:rPr>
          <w:noProof/>
        </w:rPr>
        <w:t>4</w:t>
      </w:r>
      <w:r w:rsidR="00FA6C6B">
        <w:rPr>
          <w:noProof/>
        </w:rPr>
        <w:fldChar w:fldCharType="end"/>
      </w:r>
      <w:bookmarkEnd w:id="20"/>
      <w:r w:rsidRPr="001551D5">
        <w:t xml:space="preserve"> </w:t>
      </w:r>
      <w:r w:rsidR="00AE4DE8" w:rsidRPr="001551D5">
        <w:t>Scenario 2.11 Percentage of occupied hours above 25</w:t>
      </w:r>
      <w:r w:rsidR="00AE4DE8" w:rsidRPr="001551D5">
        <w:rPr>
          <w:rFonts w:cs="Arial"/>
        </w:rPr>
        <w:t>°</w:t>
      </w:r>
      <w:r w:rsidR="00AE4DE8" w:rsidRPr="001551D5">
        <w:t>C and 28</w:t>
      </w:r>
      <w:r w:rsidR="00AE4DE8" w:rsidRPr="001551D5">
        <w:rPr>
          <w:rFonts w:cs="Arial"/>
        </w:rPr>
        <w:t>°</w:t>
      </w:r>
      <w:r w:rsidR="00AE4DE8" w:rsidRPr="001551D5">
        <w:t>C</w:t>
      </w:r>
      <w:r w:rsidRPr="001551D5">
        <w:t>.</w:t>
      </w:r>
    </w:p>
    <w:p w14:paraId="3717FB0E" w14:textId="77777777" w:rsidR="00AE4DE8" w:rsidRDefault="00AE4DE8" w:rsidP="00AE4DE8">
      <w:pPr>
        <w:pStyle w:val="NumPara"/>
        <w:numPr>
          <w:ilvl w:val="0"/>
          <w:numId w:val="0"/>
        </w:numPr>
        <w:ind w:left="567"/>
        <w:jc w:val="center"/>
        <w:rPr>
          <w:b/>
        </w:rPr>
      </w:pPr>
    </w:p>
    <w:p w14:paraId="2E070E12" w14:textId="77777777" w:rsidR="00AE4DE8" w:rsidRPr="00AE4DE8" w:rsidRDefault="00810116" w:rsidP="00AE4DE8">
      <w:pPr>
        <w:pStyle w:val="NumPara"/>
        <w:numPr>
          <w:ilvl w:val="0"/>
          <w:numId w:val="0"/>
        </w:numPr>
        <w:ind w:left="567"/>
        <w:jc w:val="center"/>
        <w:rPr>
          <w:b/>
        </w:rPr>
      </w:pPr>
      <w:r w:rsidRPr="00810116">
        <w:rPr>
          <w:noProof/>
          <w:lang w:eastAsia="en-GB"/>
        </w:rPr>
        <w:drawing>
          <wp:inline distT="0" distB="0" distL="0" distR="0" wp14:anchorId="43B204B6" wp14:editId="1F6B8E6A">
            <wp:extent cx="5580000" cy="2343600"/>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0000" cy="2343600"/>
                    </a:xfrm>
                    <a:prstGeom prst="rect">
                      <a:avLst/>
                    </a:prstGeom>
                    <a:noFill/>
                    <a:ln>
                      <a:noFill/>
                    </a:ln>
                  </pic:spPr>
                </pic:pic>
              </a:graphicData>
            </a:graphic>
          </wp:inline>
        </w:drawing>
      </w:r>
    </w:p>
    <w:p w14:paraId="07698BEF" w14:textId="0CCF6746" w:rsidR="00810116" w:rsidRPr="001551D5" w:rsidRDefault="001551D5" w:rsidP="001551D5">
      <w:pPr>
        <w:pStyle w:val="Caption"/>
        <w:jc w:val="center"/>
      </w:pPr>
      <w:bookmarkStart w:id="21" w:name="_Ref422397361"/>
      <w:r w:rsidRPr="001551D5">
        <w:t xml:space="preserve">Table </w:t>
      </w:r>
      <w:r w:rsidR="00FA6C6B">
        <w:fldChar w:fldCharType="begin"/>
      </w:r>
      <w:r w:rsidR="00FA6C6B">
        <w:instrText xml:space="preserve"> SEQ Table \* ARABIC </w:instrText>
      </w:r>
      <w:r w:rsidR="00FA6C6B">
        <w:fldChar w:fldCharType="separate"/>
      </w:r>
      <w:r w:rsidR="00210048">
        <w:rPr>
          <w:noProof/>
        </w:rPr>
        <w:t>5</w:t>
      </w:r>
      <w:r w:rsidR="00FA6C6B">
        <w:rPr>
          <w:noProof/>
        </w:rPr>
        <w:fldChar w:fldCharType="end"/>
      </w:r>
      <w:bookmarkEnd w:id="21"/>
      <w:r w:rsidRPr="001551D5">
        <w:t xml:space="preserve"> </w:t>
      </w:r>
      <w:r w:rsidR="00810116" w:rsidRPr="001551D5">
        <w:t>Scenario 2.11 adaptive comfort criteria results</w:t>
      </w:r>
      <w:r w:rsidRPr="001551D5">
        <w:t>.</w:t>
      </w:r>
    </w:p>
    <w:p w14:paraId="772A077E" w14:textId="77777777" w:rsidR="00B363CB" w:rsidRDefault="00810116" w:rsidP="00810116">
      <w:pPr>
        <w:pStyle w:val="NumPara"/>
        <w:numPr>
          <w:ilvl w:val="0"/>
          <w:numId w:val="0"/>
        </w:numPr>
        <w:jc w:val="center"/>
      </w:pPr>
      <w:r>
        <w:rPr>
          <w:b/>
        </w:rPr>
        <w:t xml:space="preserve"> </w:t>
      </w:r>
    </w:p>
    <w:p w14:paraId="226E6B68" w14:textId="775BDE4D" w:rsidR="00563C73" w:rsidRDefault="00A4676B" w:rsidP="00810116">
      <w:pPr>
        <w:pStyle w:val="NumPara"/>
      </w:pPr>
      <w:r>
        <w:t xml:space="preserve">Further analysis of the data contained within </w:t>
      </w:r>
      <w:r>
        <w:fldChar w:fldCharType="begin"/>
      </w:r>
      <w:r>
        <w:instrText xml:space="preserve"> REF _Ref422400567 \h </w:instrText>
      </w:r>
      <w:r>
        <w:fldChar w:fldCharType="separate"/>
      </w:r>
      <w:r w:rsidRPr="001551D5">
        <w:t xml:space="preserve">Table </w:t>
      </w:r>
      <w:r>
        <w:rPr>
          <w:noProof/>
        </w:rPr>
        <w:t>4</w:t>
      </w:r>
      <w:r>
        <w:fldChar w:fldCharType="end"/>
      </w:r>
      <w:r>
        <w:t xml:space="preserve"> and </w:t>
      </w:r>
      <w:r>
        <w:fldChar w:fldCharType="begin"/>
      </w:r>
      <w:r>
        <w:instrText xml:space="preserve"> REF _Ref422397361 \h </w:instrText>
      </w:r>
      <w:r>
        <w:fldChar w:fldCharType="separate"/>
      </w:r>
      <w:r w:rsidRPr="001551D5">
        <w:t xml:space="preserve">Table </w:t>
      </w:r>
      <w:r w:rsidRPr="001551D5">
        <w:rPr>
          <w:noProof/>
        </w:rPr>
        <w:t>5</w:t>
      </w:r>
      <w:r>
        <w:fldChar w:fldCharType="end"/>
      </w:r>
      <w:r>
        <w:t xml:space="preserve"> reveals that i</w:t>
      </w:r>
      <w:r w:rsidR="00810116">
        <w:t>t is only the two bedrooms that are not considered to significantly overheat</w:t>
      </w:r>
      <w:r>
        <w:t>,</w:t>
      </w:r>
      <w:r w:rsidR="00810116">
        <w:t xml:space="preserve"> and this is only when using the adaptive comfort criteria. As mentioned previously, the extent of the overheating </w:t>
      </w:r>
      <w:r>
        <w:t xml:space="preserve">that was </w:t>
      </w:r>
      <w:r w:rsidR="00810116">
        <w:t xml:space="preserve">predicted in </w:t>
      </w:r>
      <w:r>
        <w:t xml:space="preserve">the Innovate UK Innovation Voucher work </w:t>
      </w:r>
      <w:r w:rsidR="00810116">
        <w:t xml:space="preserve">directly influenced the </w:t>
      </w:r>
      <w:r>
        <w:t xml:space="preserve">development of a number of </w:t>
      </w:r>
      <w:r w:rsidR="00810116">
        <w:t xml:space="preserve">additional scenarios used to examine possible overheating mitigation strategies. It should be noted that the overheating results presented </w:t>
      </w:r>
      <w:r>
        <w:t>here are the same as those for S</w:t>
      </w:r>
      <w:r w:rsidR="00810116">
        <w:t>cenario 1.1</w:t>
      </w:r>
      <w:r>
        <w:t>. The only difference between S</w:t>
      </w:r>
      <w:r w:rsidR="00810116">
        <w:t>cenarios 1.1 and 2.1 is that they use a different heating fuel which has no direct influence on overheating.</w:t>
      </w:r>
    </w:p>
    <w:p w14:paraId="011B275D" w14:textId="77777777" w:rsidR="00810116" w:rsidRDefault="00810116" w:rsidP="00810116">
      <w:pPr>
        <w:pStyle w:val="NumPara"/>
        <w:numPr>
          <w:ilvl w:val="0"/>
          <w:numId w:val="0"/>
        </w:numPr>
        <w:ind w:left="567"/>
      </w:pPr>
    </w:p>
    <w:p w14:paraId="09C1BF34" w14:textId="77777777" w:rsidR="00810116" w:rsidRDefault="00810116" w:rsidP="00810116">
      <w:pPr>
        <w:pStyle w:val="NumPara"/>
        <w:numPr>
          <w:ilvl w:val="0"/>
          <w:numId w:val="0"/>
        </w:numPr>
        <w:ind w:left="567"/>
        <w:rPr>
          <w:b/>
          <w:i/>
        </w:rPr>
      </w:pPr>
      <w:r w:rsidRPr="001A4A4E">
        <w:rPr>
          <w:b/>
          <w:i/>
        </w:rPr>
        <w:t>Scenario 2.</w:t>
      </w:r>
      <w:r>
        <w:rPr>
          <w:b/>
          <w:i/>
        </w:rPr>
        <w:t>2</w:t>
      </w:r>
      <w:r w:rsidRPr="001A4A4E">
        <w:rPr>
          <w:b/>
          <w:i/>
        </w:rPr>
        <w:t xml:space="preserve"> – SAP</w:t>
      </w:r>
      <w:r w:rsidR="00F65868">
        <w:rPr>
          <w:b/>
          <w:i/>
        </w:rPr>
        <w:t xml:space="preserve"> inputs, home working</w:t>
      </w:r>
      <w:r w:rsidRPr="001A4A4E">
        <w:rPr>
          <w:b/>
          <w:i/>
        </w:rPr>
        <w:t xml:space="preserve"> with Heat Pump</w:t>
      </w:r>
    </w:p>
    <w:p w14:paraId="68D0EC01" w14:textId="128EFAF6" w:rsidR="00810116" w:rsidRDefault="00993935" w:rsidP="00810116">
      <w:pPr>
        <w:pStyle w:val="NumPara"/>
        <w:numPr>
          <w:ilvl w:val="0"/>
          <w:numId w:val="0"/>
        </w:numPr>
        <w:ind w:left="567"/>
      </w:pPr>
      <w:r>
        <w:t>This version of the model is e</w:t>
      </w:r>
      <w:r w:rsidR="00A4676B">
        <w:t>ssentially the same as S</w:t>
      </w:r>
      <w:r>
        <w:t xml:space="preserve">cenario 1.2 </w:t>
      </w:r>
      <w:r w:rsidR="00A4676B">
        <w:t xml:space="preserve">reported </w:t>
      </w:r>
      <w:r>
        <w:t>in the Innova</w:t>
      </w:r>
      <w:r w:rsidR="00A4676B">
        <w:t xml:space="preserve">te UK Innovation Voucher report, but with the gas-fired condensing combination boiler </w:t>
      </w:r>
      <w:r>
        <w:t xml:space="preserve">replaced by a </w:t>
      </w:r>
      <w:r w:rsidR="00A4676B">
        <w:t xml:space="preserve">an electrically driven </w:t>
      </w:r>
      <w:r>
        <w:t xml:space="preserve">ground source heat pump </w:t>
      </w:r>
      <w:r w:rsidR="00A4676B">
        <w:t>(</w:t>
      </w:r>
      <w:r>
        <w:t xml:space="preserve">as </w:t>
      </w:r>
      <w:r w:rsidR="001F3974">
        <w:t>i</w:t>
      </w:r>
      <w:r w:rsidR="00A4676B">
        <w:t>s the case in S</w:t>
      </w:r>
      <w:r w:rsidR="001F3974">
        <w:t>cenario 2.1</w:t>
      </w:r>
      <w:r w:rsidR="00A4676B">
        <w:t>)</w:t>
      </w:r>
      <w:r w:rsidR="00810116">
        <w:t>.</w:t>
      </w:r>
      <w:r w:rsidR="001F3974">
        <w:t xml:space="preserve"> </w:t>
      </w:r>
      <w:r w:rsidR="00A4676B">
        <w:t>As expected, o</w:t>
      </w:r>
      <w:r w:rsidR="001F3974">
        <w:t xml:space="preserve">verall energy consumption is higher </w:t>
      </w:r>
      <w:r w:rsidR="00A4676B">
        <w:t>in this scenario than in S</w:t>
      </w:r>
      <w:r w:rsidR="001F3974">
        <w:t xml:space="preserve">cenario 2.1 due to </w:t>
      </w:r>
      <w:r w:rsidR="00A4676B">
        <w:t xml:space="preserve">the </w:t>
      </w:r>
      <w:r w:rsidR="000D1522">
        <w:t>extended occupancy schedule</w:t>
      </w:r>
      <w:r w:rsidR="001F3974">
        <w:t xml:space="preserve"> and </w:t>
      </w:r>
      <w:r w:rsidR="000D1522">
        <w:t xml:space="preserve">the extended use of </w:t>
      </w:r>
      <w:r w:rsidR="001F3974">
        <w:t>equ</w:t>
      </w:r>
      <w:r w:rsidR="000D1522">
        <w:t xml:space="preserve">ipment and lighting </w:t>
      </w:r>
      <w:r w:rsidR="001F3974">
        <w:t>during these periods. Despite this increased occupancy, the space heating consumption i</w:t>
      </w:r>
      <w:r w:rsidR="00560A87">
        <w:t xml:space="preserve">n this scenario is actually </w:t>
      </w:r>
      <w:r w:rsidR="000D1522">
        <w:t xml:space="preserve">fractionally </w:t>
      </w:r>
      <w:r w:rsidR="00560A87">
        <w:t>low</w:t>
      </w:r>
      <w:r w:rsidR="000D1522">
        <w:t>er than that in S</w:t>
      </w:r>
      <w:r w:rsidR="001F3974">
        <w:t xml:space="preserve">cenario </w:t>
      </w:r>
      <w:r w:rsidR="000D1522">
        <w:t xml:space="preserve">2.1. </w:t>
      </w:r>
      <w:r w:rsidR="000D1522" w:rsidRPr="00CD14D5">
        <w:t xml:space="preserve">This can be attributed to the increased internal gains associated with the use of lights and equipment </w:t>
      </w:r>
      <w:r w:rsidR="00CD14D5" w:rsidRPr="00CD14D5">
        <w:t>due to daytime occupancy</w:t>
      </w:r>
      <w:r w:rsidR="000D1522" w:rsidRPr="00CD14D5">
        <w:t>.</w:t>
      </w:r>
    </w:p>
    <w:p w14:paraId="31FADDF5" w14:textId="77777777" w:rsidR="001A4A4E" w:rsidRDefault="001A4A4E" w:rsidP="001A4A4E">
      <w:pPr>
        <w:pStyle w:val="NumPara"/>
        <w:numPr>
          <w:ilvl w:val="0"/>
          <w:numId w:val="0"/>
        </w:numPr>
        <w:jc w:val="center"/>
      </w:pPr>
    </w:p>
    <w:p w14:paraId="2E589D83" w14:textId="4E038F74" w:rsidR="00194D7F" w:rsidRPr="000D1522" w:rsidRDefault="00194D7F" w:rsidP="000D1522">
      <w:pPr>
        <w:pStyle w:val="NumPara"/>
        <w:numPr>
          <w:ilvl w:val="0"/>
          <w:numId w:val="0"/>
        </w:numPr>
      </w:pPr>
      <w:r>
        <w:rPr>
          <w:noProof/>
          <w:lang w:eastAsia="en-GB"/>
        </w:rPr>
        <w:lastRenderedPageBreak/>
        <w:drawing>
          <wp:inline distT="0" distB="0" distL="0" distR="0" wp14:anchorId="7C43393E" wp14:editId="39F7FD54">
            <wp:extent cx="5943600" cy="2324911"/>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89F7705" w14:textId="26BF066A" w:rsidR="00194D7F" w:rsidRPr="000D1522" w:rsidRDefault="000D1522" w:rsidP="000D1522">
      <w:pPr>
        <w:pStyle w:val="Caption"/>
        <w:jc w:val="center"/>
      </w:pPr>
      <w:r w:rsidRPr="000D1522">
        <w:t xml:space="preserve">Figure </w:t>
      </w:r>
      <w:r w:rsidR="00FA6C6B">
        <w:fldChar w:fldCharType="begin"/>
      </w:r>
      <w:r w:rsidR="00FA6C6B">
        <w:instrText xml:space="preserve"> SEQ Figure \* ARABIC </w:instrText>
      </w:r>
      <w:r w:rsidR="00FA6C6B">
        <w:fldChar w:fldCharType="separate"/>
      </w:r>
      <w:r w:rsidR="002712F1">
        <w:rPr>
          <w:noProof/>
        </w:rPr>
        <w:t>9</w:t>
      </w:r>
      <w:r w:rsidR="00FA6C6B">
        <w:rPr>
          <w:noProof/>
        </w:rPr>
        <w:fldChar w:fldCharType="end"/>
      </w:r>
      <w:r w:rsidRPr="000D1522">
        <w:t xml:space="preserve"> </w:t>
      </w:r>
      <w:r w:rsidR="001F3974" w:rsidRPr="000D1522">
        <w:t>Scenario 2.2 end-use energy consumption.</w:t>
      </w:r>
    </w:p>
    <w:p w14:paraId="38A5C72B" w14:textId="77777777" w:rsidR="00194D7F" w:rsidRDefault="00194D7F" w:rsidP="00194D7F">
      <w:pPr>
        <w:pStyle w:val="NumPara"/>
        <w:numPr>
          <w:ilvl w:val="0"/>
          <w:numId w:val="0"/>
        </w:numPr>
        <w:jc w:val="center"/>
        <w:rPr>
          <w:b/>
        </w:rPr>
      </w:pPr>
      <w:r w:rsidRPr="00194D7F">
        <w:rPr>
          <w:b/>
        </w:rPr>
        <w:t xml:space="preserve"> </w:t>
      </w:r>
    </w:p>
    <w:p w14:paraId="4AD699FB" w14:textId="77777777" w:rsidR="001F3974" w:rsidRDefault="001F3974" w:rsidP="00194D7F">
      <w:pPr>
        <w:pStyle w:val="NumPara"/>
        <w:numPr>
          <w:ilvl w:val="0"/>
          <w:numId w:val="0"/>
        </w:numPr>
        <w:jc w:val="center"/>
        <w:rPr>
          <w:b/>
        </w:rPr>
      </w:pPr>
      <w:r>
        <w:rPr>
          <w:noProof/>
          <w:lang w:eastAsia="en-GB"/>
        </w:rPr>
        <w:drawing>
          <wp:inline distT="0" distB="0" distL="0" distR="0" wp14:anchorId="79BE5874" wp14:editId="16544B49">
            <wp:extent cx="5657850" cy="25908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DE1876" w14:textId="762F83D1" w:rsidR="001F3974" w:rsidRPr="000D1522" w:rsidRDefault="000D1522" w:rsidP="000D1522">
      <w:pPr>
        <w:pStyle w:val="Caption"/>
        <w:jc w:val="center"/>
      </w:pPr>
      <w:bookmarkStart w:id="22" w:name="_Ref422408106"/>
      <w:r w:rsidRPr="000D1522">
        <w:t xml:space="preserve">Figure </w:t>
      </w:r>
      <w:r w:rsidR="00FA6C6B">
        <w:fldChar w:fldCharType="begin"/>
      </w:r>
      <w:r w:rsidR="00FA6C6B">
        <w:instrText xml:space="preserve"> SEQ Figure \* ARABIC </w:instrText>
      </w:r>
      <w:r w:rsidR="00FA6C6B">
        <w:fldChar w:fldCharType="separate"/>
      </w:r>
      <w:r w:rsidR="002712F1">
        <w:rPr>
          <w:noProof/>
        </w:rPr>
        <w:t>10</w:t>
      </w:r>
      <w:r w:rsidR="00FA6C6B">
        <w:rPr>
          <w:noProof/>
        </w:rPr>
        <w:fldChar w:fldCharType="end"/>
      </w:r>
      <w:bookmarkEnd w:id="22"/>
      <w:r w:rsidRPr="000D1522">
        <w:t xml:space="preserve"> </w:t>
      </w:r>
      <w:r w:rsidR="001F3974" w:rsidRPr="000D1522">
        <w:t>Scenario 2.2 space heating energy consumption.</w:t>
      </w:r>
    </w:p>
    <w:p w14:paraId="545D3E62" w14:textId="77777777" w:rsidR="001F3974" w:rsidRPr="00194D7F" w:rsidRDefault="001F3974" w:rsidP="00194D7F">
      <w:pPr>
        <w:pStyle w:val="NumPara"/>
        <w:numPr>
          <w:ilvl w:val="0"/>
          <w:numId w:val="0"/>
        </w:numPr>
        <w:jc w:val="center"/>
        <w:rPr>
          <w:b/>
        </w:rPr>
      </w:pPr>
    </w:p>
    <w:p w14:paraId="36CAC2EA" w14:textId="377E75CB" w:rsidR="00031176" w:rsidRDefault="000D1522" w:rsidP="00031176">
      <w:pPr>
        <w:pStyle w:val="NumPara"/>
      </w:pPr>
      <w:r>
        <w:t>As with S</w:t>
      </w:r>
      <w:r w:rsidR="001F3974">
        <w:t>cenario 2.1, t</w:t>
      </w:r>
      <w:r w:rsidR="000F4ABB">
        <w:t xml:space="preserve">here is very little difference in overall energy consumption between the different orientations. </w:t>
      </w:r>
      <w:r w:rsidR="001F3974">
        <w:t>The dif</w:t>
      </w:r>
      <w:r>
        <w:t xml:space="preserve">ference is slightly greater </w:t>
      </w:r>
      <w:r w:rsidR="00CD14D5">
        <w:t xml:space="preserve">that that observed </w:t>
      </w:r>
      <w:r>
        <w:t>in S</w:t>
      </w:r>
      <w:r w:rsidR="001F3974">
        <w:t>cenario 2.2</w:t>
      </w:r>
      <w:r w:rsidR="00CD14D5">
        <w:t>,</w:t>
      </w:r>
      <w:r w:rsidR="001F3974">
        <w:t xml:space="preserve"> but does only account for 22.6 </w:t>
      </w:r>
      <w:r w:rsidR="00903071">
        <w:t>kWh</w:t>
      </w:r>
      <w:r w:rsidR="001F3974">
        <w:t>/year</w:t>
      </w:r>
      <w:r w:rsidR="000F4ABB">
        <w:t>.</w:t>
      </w:r>
      <w:r w:rsidR="00627026">
        <w:t xml:space="preserve"> The </w:t>
      </w:r>
      <w:r>
        <w:t>minimum consumption is 62.13 kWh/m</w:t>
      </w:r>
      <w:r w:rsidRPr="00B363CB">
        <w:rPr>
          <w:vertAlign w:val="superscript"/>
        </w:rPr>
        <w:t>2</w:t>
      </w:r>
      <w:r>
        <w:t>/year (at 0</w:t>
      </w:r>
      <w:r>
        <w:rPr>
          <w:rFonts w:cs="Arial"/>
        </w:rPr>
        <w:t>°</w:t>
      </w:r>
      <w:r>
        <w:t>), the maximum consumption is 62.3 kWh/m</w:t>
      </w:r>
      <w:r w:rsidRPr="00B363CB">
        <w:rPr>
          <w:vertAlign w:val="superscript"/>
        </w:rPr>
        <w:t>2</w:t>
      </w:r>
      <w:r>
        <w:t>/year (at 210</w:t>
      </w:r>
      <w:r>
        <w:rPr>
          <w:rFonts w:cs="Arial"/>
        </w:rPr>
        <w:t>°</w:t>
      </w:r>
      <w:r>
        <w:t xml:space="preserve">) and the </w:t>
      </w:r>
      <w:r w:rsidR="00627026">
        <w:t xml:space="preserve">mean consumption for </w:t>
      </w:r>
      <w:r w:rsidR="00560A87">
        <w:t xml:space="preserve">this </w:t>
      </w:r>
      <w:r w:rsidR="00627026">
        <w:t>scenario is 62.23 kWh/m</w:t>
      </w:r>
      <w:r w:rsidR="00627026" w:rsidRPr="000D1522">
        <w:rPr>
          <w:vertAlign w:val="superscript"/>
        </w:rPr>
        <w:t>2</w:t>
      </w:r>
      <w:r>
        <w:t>/year.</w:t>
      </w:r>
      <w:r w:rsidR="00627026">
        <w:t xml:space="preserve"> </w:t>
      </w:r>
      <w:r w:rsidR="00CD14D5">
        <w:t>As with Scenario 2.1, t</w:t>
      </w:r>
      <w:r w:rsidR="00627026">
        <w:t xml:space="preserve">he space heating consumption is particularly low in this scenario with a </w:t>
      </w:r>
      <w:r>
        <w:t>minimum consumption of 5.1 kWh/m</w:t>
      </w:r>
      <w:r w:rsidRPr="000D1522">
        <w:rPr>
          <w:vertAlign w:val="superscript"/>
        </w:rPr>
        <w:t>2</w:t>
      </w:r>
      <w:r>
        <w:t>/year (at 0</w:t>
      </w:r>
      <w:r w:rsidRPr="000D1522">
        <w:rPr>
          <w:rFonts w:cs="Arial"/>
        </w:rPr>
        <w:t>°</w:t>
      </w:r>
      <w:r>
        <w:t>), a maximum consumption of 5.28 kWh/m</w:t>
      </w:r>
      <w:r w:rsidRPr="000D1522">
        <w:rPr>
          <w:vertAlign w:val="superscript"/>
        </w:rPr>
        <w:t>2</w:t>
      </w:r>
      <w:r>
        <w:t>/year (at 210</w:t>
      </w:r>
      <w:r w:rsidRPr="000D1522">
        <w:rPr>
          <w:rFonts w:cs="Arial"/>
        </w:rPr>
        <w:t>°</w:t>
      </w:r>
      <w:r>
        <w:t>) and a</w:t>
      </w:r>
      <w:r w:rsidR="00031176">
        <w:t xml:space="preserve"> </w:t>
      </w:r>
      <w:r w:rsidR="00627026">
        <w:t xml:space="preserve">mean consumption </w:t>
      </w:r>
      <w:r w:rsidR="00F6481E">
        <w:t>of</w:t>
      </w:r>
      <w:r w:rsidR="00627026">
        <w:t xml:space="preserve"> 5.2 kWh/m</w:t>
      </w:r>
      <w:r w:rsidR="00627026" w:rsidRPr="00031176">
        <w:rPr>
          <w:vertAlign w:val="superscript"/>
        </w:rPr>
        <w:t>2</w:t>
      </w:r>
      <w:r w:rsidR="00031176">
        <w:t xml:space="preserve">/year. </w:t>
      </w:r>
    </w:p>
    <w:p w14:paraId="3CBC6444" w14:textId="28588F03" w:rsidR="00CD14D5" w:rsidRDefault="00031176" w:rsidP="00435B68">
      <w:pPr>
        <w:pStyle w:val="NumPara"/>
      </w:pPr>
      <w:r>
        <w:t>In terms of overheating, t</w:t>
      </w:r>
      <w:r w:rsidR="00627026">
        <w:t xml:space="preserve">here is a significant risk of overheating which is increased in this scenario due to the additional internal heat gains </w:t>
      </w:r>
      <w:r w:rsidR="00F6481E">
        <w:t>resulting from</w:t>
      </w:r>
      <w:r w:rsidR="00627026">
        <w:t xml:space="preserve"> </w:t>
      </w:r>
      <w:r w:rsidR="00F6481E">
        <w:t>day</w:t>
      </w:r>
      <w:r w:rsidR="00627026">
        <w:t>time</w:t>
      </w:r>
      <w:r w:rsidR="00F6481E">
        <w:t xml:space="preserve"> </w:t>
      </w:r>
      <w:r w:rsidR="00CD14D5">
        <w:t>occupancy. The r</w:t>
      </w:r>
      <w:r w:rsidR="00627026">
        <w:t xml:space="preserve">esults </w:t>
      </w:r>
      <w:r w:rsidR="00CD14D5">
        <w:t xml:space="preserve">of the overheating analysis are illustrated in </w:t>
      </w:r>
      <w:r w:rsidR="00CD14D5">
        <w:fldChar w:fldCharType="begin"/>
      </w:r>
      <w:r w:rsidR="00CD14D5">
        <w:instrText xml:space="preserve"> REF _Ref422407360 \h </w:instrText>
      </w:r>
      <w:r w:rsidR="00CD14D5">
        <w:fldChar w:fldCharType="separate"/>
      </w:r>
      <w:r w:rsidR="00CD14D5" w:rsidRPr="00CD14D5">
        <w:t xml:space="preserve">Table </w:t>
      </w:r>
      <w:r w:rsidR="00CD14D5">
        <w:rPr>
          <w:noProof/>
        </w:rPr>
        <w:t>6</w:t>
      </w:r>
      <w:r w:rsidR="00CD14D5">
        <w:fldChar w:fldCharType="end"/>
      </w:r>
      <w:r w:rsidR="00CD14D5">
        <w:t xml:space="preserve"> and </w:t>
      </w:r>
      <w:r w:rsidR="00CD14D5">
        <w:fldChar w:fldCharType="begin"/>
      </w:r>
      <w:r w:rsidR="00CD14D5">
        <w:instrText xml:space="preserve"> REF _Ref422407362 \h </w:instrText>
      </w:r>
      <w:r w:rsidR="00CD14D5">
        <w:fldChar w:fldCharType="separate"/>
      </w:r>
      <w:r w:rsidR="00CD14D5" w:rsidRPr="00CD14D5">
        <w:t xml:space="preserve">Table </w:t>
      </w:r>
      <w:r w:rsidR="00CD14D5" w:rsidRPr="00CD14D5">
        <w:rPr>
          <w:noProof/>
        </w:rPr>
        <w:t>7</w:t>
      </w:r>
      <w:r w:rsidR="00CD14D5">
        <w:fldChar w:fldCharType="end"/>
      </w:r>
      <w:r w:rsidR="00627026">
        <w:t>.</w:t>
      </w:r>
      <w:r w:rsidR="00435B68">
        <w:t xml:space="preserve"> </w:t>
      </w:r>
      <w:r w:rsidR="00CD14D5">
        <w:t>In this scenario</w:t>
      </w:r>
      <w:r w:rsidR="00435B68">
        <w:t>,</w:t>
      </w:r>
      <w:r w:rsidR="00CD14D5">
        <w:t xml:space="preserve"> all </w:t>
      </w:r>
      <w:r w:rsidR="00435B68">
        <w:t xml:space="preserve">of the </w:t>
      </w:r>
      <w:r w:rsidR="00CD14D5">
        <w:t>rooms significantly exceed the absolute metrics. The L6 bedroom also fails the adaptive comfort assessment when the rear of the dwelling is orientated between 180</w:t>
      </w:r>
      <w:r w:rsidR="00CD14D5" w:rsidRPr="00435B68">
        <w:rPr>
          <w:rFonts w:cs="Arial"/>
        </w:rPr>
        <w:t>°</w:t>
      </w:r>
      <w:r w:rsidR="00CD14D5">
        <w:t xml:space="preserve"> and 210</w:t>
      </w:r>
      <w:r w:rsidR="00CD14D5" w:rsidRPr="00435B68">
        <w:rPr>
          <w:rFonts w:cs="Arial"/>
        </w:rPr>
        <w:t>°</w:t>
      </w:r>
      <w:r w:rsidR="00435B68">
        <w:t>. T</w:t>
      </w:r>
      <w:r w:rsidR="00CD14D5">
        <w:t>his is due to the amount of glazing at the rear of the dwelling combined with the increase</w:t>
      </w:r>
      <w:r w:rsidR="00435B68">
        <w:t>d internal heat gains. As with S</w:t>
      </w:r>
      <w:r w:rsidR="00CD14D5">
        <w:t>cenario 2.1</w:t>
      </w:r>
      <w:r w:rsidR="00435B68">
        <w:t>, the</w:t>
      </w:r>
      <w:r w:rsidR="00CD14D5">
        <w:t xml:space="preserve"> results for this scenario are identical to those produced for scenario 1.2.</w:t>
      </w:r>
    </w:p>
    <w:p w14:paraId="61562960" w14:textId="77777777" w:rsidR="00627026" w:rsidRDefault="00627026" w:rsidP="00627026">
      <w:pPr>
        <w:pStyle w:val="NumPara"/>
        <w:numPr>
          <w:ilvl w:val="0"/>
          <w:numId w:val="0"/>
        </w:numPr>
        <w:ind w:left="567"/>
      </w:pPr>
    </w:p>
    <w:p w14:paraId="417E30DA" w14:textId="77777777" w:rsidR="00627026" w:rsidRDefault="00627026" w:rsidP="00627026">
      <w:pPr>
        <w:pStyle w:val="NumPara"/>
        <w:numPr>
          <w:ilvl w:val="0"/>
          <w:numId w:val="0"/>
        </w:numPr>
        <w:ind w:left="567"/>
      </w:pPr>
      <w:r w:rsidRPr="00627026">
        <w:rPr>
          <w:noProof/>
          <w:lang w:eastAsia="en-GB"/>
        </w:rPr>
        <w:lastRenderedPageBreak/>
        <w:drawing>
          <wp:inline distT="0" distB="0" distL="0" distR="0" wp14:anchorId="3AD8EDC9" wp14:editId="2F270FB0">
            <wp:extent cx="5580000" cy="2415600"/>
            <wp:effectExtent l="0" t="0" r="190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80000" cy="2415600"/>
                    </a:xfrm>
                    <a:prstGeom prst="rect">
                      <a:avLst/>
                    </a:prstGeom>
                    <a:noFill/>
                    <a:ln>
                      <a:noFill/>
                    </a:ln>
                  </pic:spPr>
                </pic:pic>
              </a:graphicData>
            </a:graphic>
          </wp:inline>
        </w:drawing>
      </w:r>
    </w:p>
    <w:p w14:paraId="1ED9AE79" w14:textId="6C9D0100" w:rsidR="00627026" w:rsidRPr="00CD14D5" w:rsidRDefault="00CD14D5" w:rsidP="00CD14D5">
      <w:pPr>
        <w:pStyle w:val="Caption"/>
        <w:jc w:val="center"/>
      </w:pPr>
      <w:bookmarkStart w:id="23" w:name="_Ref422407360"/>
      <w:r w:rsidRPr="00CD14D5">
        <w:t xml:space="preserve">Table </w:t>
      </w:r>
      <w:r w:rsidR="00FA6C6B">
        <w:fldChar w:fldCharType="begin"/>
      </w:r>
      <w:r w:rsidR="00FA6C6B">
        <w:instrText xml:space="preserve"> SEQ Table \* ARABIC </w:instrText>
      </w:r>
      <w:r w:rsidR="00FA6C6B">
        <w:fldChar w:fldCharType="separate"/>
      </w:r>
      <w:r w:rsidR="00210048">
        <w:rPr>
          <w:noProof/>
        </w:rPr>
        <w:t>6</w:t>
      </w:r>
      <w:r w:rsidR="00FA6C6B">
        <w:rPr>
          <w:noProof/>
        </w:rPr>
        <w:fldChar w:fldCharType="end"/>
      </w:r>
      <w:bookmarkEnd w:id="23"/>
      <w:r w:rsidRPr="00CD14D5">
        <w:t xml:space="preserve"> </w:t>
      </w:r>
      <w:r w:rsidR="00627026" w:rsidRPr="00CD14D5">
        <w:t>Scenario 2.21 Percentage of occupied hours above 25</w:t>
      </w:r>
      <w:r w:rsidR="00627026" w:rsidRPr="00CD14D5">
        <w:rPr>
          <w:rFonts w:cs="Arial"/>
        </w:rPr>
        <w:t>°</w:t>
      </w:r>
      <w:r w:rsidR="00627026" w:rsidRPr="00CD14D5">
        <w:t>C and 28</w:t>
      </w:r>
      <w:r w:rsidR="00627026" w:rsidRPr="00CD14D5">
        <w:rPr>
          <w:rFonts w:cs="Arial"/>
        </w:rPr>
        <w:t>°</w:t>
      </w:r>
      <w:r w:rsidR="00627026" w:rsidRPr="00CD14D5">
        <w:t>C</w:t>
      </w:r>
      <w:r w:rsidRPr="00CD14D5">
        <w:t>.</w:t>
      </w:r>
    </w:p>
    <w:p w14:paraId="20072523" w14:textId="77777777" w:rsidR="00627026" w:rsidRDefault="00627026" w:rsidP="00627026">
      <w:pPr>
        <w:pStyle w:val="NumPara"/>
        <w:numPr>
          <w:ilvl w:val="0"/>
          <w:numId w:val="0"/>
        </w:numPr>
        <w:ind w:left="567"/>
        <w:jc w:val="center"/>
        <w:rPr>
          <w:b/>
        </w:rPr>
      </w:pPr>
    </w:p>
    <w:p w14:paraId="4D2866A3" w14:textId="77777777" w:rsidR="00627026" w:rsidRDefault="00627026" w:rsidP="00627026">
      <w:pPr>
        <w:pStyle w:val="NumPara"/>
        <w:numPr>
          <w:ilvl w:val="0"/>
          <w:numId w:val="0"/>
        </w:numPr>
        <w:ind w:left="567"/>
        <w:jc w:val="center"/>
      </w:pPr>
      <w:r w:rsidRPr="00627026">
        <w:rPr>
          <w:noProof/>
          <w:lang w:eastAsia="en-GB"/>
        </w:rPr>
        <w:drawing>
          <wp:inline distT="0" distB="0" distL="0" distR="0" wp14:anchorId="08919A59" wp14:editId="54DAFFC7">
            <wp:extent cx="5580000" cy="234360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000" cy="2343600"/>
                    </a:xfrm>
                    <a:prstGeom prst="rect">
                      <a:avLst/>
                    </a:prstGeom>
                    <a:noFill/>
                    <a:ln>
                      <a:noFill/>
                    </a:ln>
                  </pic:spPr>
                </pic:pic>
              </a:graphicData>
            </a:graphic>
          </wp:inline>
        </w:drawing>
      </w:r>
    </w:p>
    <w:p w14:paraId="0A8EDCE3" w14:textId="68733D87" w:rsidR="00FE13E6" w:rsidRPr="00435B68" w:rsidRDefault="00CD14D5" w:rsidP="00435B68">
      <w:pPr>
        <w:pStyle w:val="Caption"/>
        <w:jc w:val="center"/>
      </w:pPr>
      <w:bookmarkStart w:id="24" w:name="_Ref422407362"/>
      <w:r w:rsidRPr="00CD14D5">
        <w:t xml:space="preserve">Table </w:t>
      </w:r>
      <w:r w:rsidR="00FA6C6B">
        <w:fldChar w:fldCharType="begin"/>
      </w:r>
      <w:r w:rsidR="00FA6C6B">
        <w:instrText xml:space="preserve"> SEQ Table \* ARABIC </w:instrText>
      </w:r>
      <w:r w:rsidR="00FA6C6B">
        <w:fldChar w:fldCharType="separate"/>
      </w:r>
      <w:r w:rsidR="00210048">
        <w:rPr>
          <w:noProof/>
        </w:rPr>
        <w:t>7</w:t>
      </w:r>
      <w:r w:rsidR="00FA6C6B">
        <w:rPr>
          <w:noProof/>
        </w:rPr>
        <w:fldChar w:fldCharType="end"/>
      </w:r>
      <w:bookmarkEnd w:id="24"/>
      <w:r w:rsidRPr="00CD14D5">
        <w:t xml:space="preserve"> </w:t>
      </w:r>
      <w:r w:rsidR="00627026" w:rsidRPr="00CD14D5">
        <w:t>Scenario 2.21 adaptive comfort criteria results</w:t>
      </w:r>
      <w:r w:rsidR="009D37D5" w:rsidRPr="00CD14D5">
        <w:t>.</w:t>
      </w:r>
    </w:p>
    <w:p w14:paraId="5345E20F" w14:textId="77777777" w:rsidR="00CD54F6" w:rsidRDefault="00CD54F6" w:rsidP="00CD54F6">
      <w:pPr>
        <w:pStyle w:val="NumPara"/>
        <w:numPr>
          <w:ilvl w:val="0"/>
          <w:numId w:val="0"/>
        </w:numPr>
        <w:ind w:left="567"/>
      </w:pPr>
    </w:p>
    <w:p w14:paraId="3AFE2B75" w14:textId="77777777" w:rsidR="00CD54F6" w:rsidRDefault="00CD54F6" w:rsidP="00CD54F6">
      <w:pPr>
        <w:pStyle w:val="NumPara"/>
        <w:numPr>
          <w:ilvl w:val="0"/>
          <w:numId w:val="0"/>
        </w:numPr>
        <w:ind w:left="567"/>
      </w:pPr>
      <w:r w:rsidRPr="001A4A4E">
        <w:rPr>
          <w:b/>
          <w:i/>
        </w:rPr>
        <w:t xml:space="preserve">Scenario </w:t>
      </w:r>
      <w:r>
        <w:rPr>
          <w:b/>
          <w:i/>
        </w:rPr>
        <w:t>3</w:t>
      </w:r>
      <w:r w:rsidRPr="001A4A4E">
        <w:rPr>
          <w:b/>
          <w:i/>
        </w:rPr>
        <w:t>.</w:t>
      </w:r>
      <w:r>
        <w:rPr>
          <w:b/>
          <w:i/>
        </w:rPr>
        <w:t>1</w:t>
      </w:r>
      <w:r w:rsidRPr="001A4A4E">
        <w:rPr>
          <w:b/>
          <w:i/>
        </w:rPr>
        <w:t xml:space="preserve"> – </w:t>
      </w:r>
      <w:r w:rsidRPr="00CD54F6">
        <w:rPr>
          <w:b/>
          <w:i/>
        </w:rPr>
        <w:t xml:space="preserve">SAP inputs with Heat Pump </w:t>
      </w:r>
      <w:r>
        <w:rPr>
          <w:b/>
          <w:i/>
        </w:rPr>
        <w:t>and</w:t>
      </w:r>
      <w:r w:rsidRPr="00CD54F6">
        <w:rPr>
          <w:b/>
          <w:i/>
        </w:rPr>
        <w:t xml:space="preserve"> Mechanical Ventilation</w:t>
      </w:r>
    </w:p>
    <w:p w14:paraId="43D60D1B" w14:textId="0C4C3695" w:rsidR="00CD54F6" w:rsidRDefault="00435B68" w:rsidP="00FE13E6">
      <w:pPr>
        <w:pStyle w:val="NumPara"/>
      </w:pPr>
      <w:r>
        <w:t xml:space="preserve">This </w:t>
      </w:r>
      <w:r w:rsidR="00CD54F6">
        <w:t xml:space="preserve">is the first of three </w:t>
      </w:r>
      <w:r>
        <w:t xml:space="preserve">models </w:t>
      </w:r>
      <w:r w:rsidR="00CD54F6">
        <w:t>th</w:t>
      </w:r>
      <w:r>
        <w:t>at incorporate</w:t>
      </w:r>
      <w:r w:rsidR="00F6481E">
        <w:t xml:space="preserve"> additional means of cooling</w:t>
      </w:r>
      <w:r>
        <w:t xml:space="preserve"> to help minimise </w:t>
      </w:r>
      <w:r w:rsidR="00CD54F6">
        <w:t>summer</w:t>
      </w:r>
      <w:r>
        <w:t>time</w:t>
      </w:r>
      <w:r w:rsidR="00CD54F6">
        <w:t xml:space="preserve"> overheating</w:t>
      </w:r>
      <w:r w:rsidR="00FE13E6">
        <w:t>.</w:t>
      </w:r>
      <w:r>
        <w:t xml:space="preserve"> However, this will </w:t>
      </w:r>
      <w:r w:rsidR="00CD54F6">
        <w:t xml:space="preserve">have some impact on overall energy consumption </w:t>
      </w:r>
      <w:r>
        <w:t>of the prototype dwelling. T</w:t>
      </w:r>
      <w:r w:rsidR="00CD54F6">
        <w:t>herefore</w:t>
      </w:r>
      <w:r>
        <w:t>,</w:t>
      </w:r>
      <w:r w:rsidR="00CD54F6">
        <w:t xml:space="preserve"> these scenarios have been simulated using both the TRY and DSY weather files; the first to estimate energy consumption and the second to predict overheating.</w:t>
      </w:r>
    </w:p>
    <w:p w14:paraId="05C1AA57" w14:textId="0F7CF293" w:rsidR="00A67795" w:rsidRDefault="00CD54F6" w:rsidP="00A67795">
      <w:pPr>
        <w:pStyle w:val="NumPara"/>
      </w:pPr>
      <w:r>
        <w:t xml:space="preserve">Scenario 3.1 </w:t>
      </w:r>
      <w:r w:rsidR="00435B68">
        <w:t xml:space="preserve">is the same as Scenario 1.1 but </w:t>
      </w:r>
      <w:r>
        <w:t xml:space="preserve">includes additional mechanical ventilation that operates when </w:t>
      </w:r>
      <w:r w:rsidR="00435B68">
        <w:t xml:space="preserve">the </w:t>
      </w:r>
      <w:r>
        <w:t>internal temperatures reach 25</w:t>
      </w:r>
      <w:r>
        <w:rPr>
          <w:rFonts w:cs="Arial"/>
        </w:rPr>
        <w:t>°</w:t>
      </w:r>
      <w:r>
        <w:t>C. In reality</w:t>
      </w:r>
      <w:r w:rsidR="00435B68">
        <w:t>,</w:t>
      </w:r>
      <w:r>
        <w:t xml:space="preserve"> this may not prove a practical or cost effective solution</w:t>
      </w:r>
      <w:r w:rsidR="00435B68">
        <w:t>,</w:t>
      </w:r>
      <w:r w:rsidR="00F6481E">
        <w:t xml:space="preserve"> as</w:t>
      </w:r>
      <w:r w:rsidR="00A67795">
        <w:t xml:space="preserve"> </w:t>
      </w:r>
      <w:r w:rsidR="00435B68">
        <w:t>the flow rates required to achieve</w:t>
      </w:r>
      <w:r w:rsidR="00A67795">
        <w:t xml:space="preserve"> cooling are much higher than those specified for the existing MVHR system </w:t>
      </w:r>
      <w:r w:rsidR="00435B68">
        <w:t xml:space="preserve">for ventilation purposes </w:t>
      </w:r>
      <w:r w:rsidR="00A67795">
        <w:t>(20</w:t>
      </w:r>
      <w:r w:rsidR="002C16F7">
        <w:t xml:space="preserve"> </w:t>
      </w:r>
      <w:r w:rsidR="00A67795">
        <w:t>l</w:t>
      </w:r>
      <w:r w:rsidR="00903071">
        <w:t>itres</w:t>
      </w:r>
      <w:r w:rsidR="00A67795">
        <w:t>/s</w:t>
      </w:r>
      <w:r w:rsidR="00903071">
        <w:t>econd</w:t>
      </w:r>
      <w:r w:rsidR="00A67795">
        <w:t>/</w:t>
      </w:r>
      <w:r w:rsidR="00F6481E">
        <w:t xml:space="preserve"> </w:t>
      </w:r>
      <w:r w:rsidR="00A67795">
        <w:t>person when the set point is reached). This would mean installing additional mecha</w:t>
      </w:r>
      <w:r w:rsidR="00435B68">
        <w:t>nical ventilation plant which would not be practical or</w:t>
      </w:r>
      <w:r w:rsidR="00A67795">
        <w:t xml:space="preserve"> financially viable. It has however been included </w:t>
      </w:r>
      <w:r w:rsidR="00435B68">
        <w:t xml:space="preserve">for academic purposes </w:t>
      </w:r>
      <w:r w:rsidR="00A67795">
        <w:t xml:space="preserve">to demonstrate the additional energy consumption required to deliver </w:t>
      </w:r>
      <w:r w:rsidR="00F6481E">
        <w:t>more</w:t>
      </w:r>
      <w:r w:rsidR="00A67795">
        <w:t xml:space="preserve"> fresh air </w:t>
      </w:r>
      <w:r w:rsidR="00435B68">
        <w:t xml:space="preserve">to the dwellings </w:t>
      </w:r>
      <w:r w:rsidR="00A67795">
        <w:t xml:space="preserve">without </w:t>
      </w:r>
      <w:r w:rsidR="00435B68">
        <w:t xml:space="preserve">having to resort to </w:t>
      </w:r>
      <w:r w:rsidR="00A67795">
        <w:t>natural ventilation. Inevitably</w:t>
      </w:r>
      <w:r w:rsidR="00435B68">
        <w:t>,</w:t>
      </w:r>
      <w:r w:rsidR="00785A50">
        <w:t xml:space="preserve"> overall energy consumption will increase</w:t>
      </w:r>
      <w:r w:rsidR="00A67795">
        <w:t xml:space="preserve"> in this</w:t>
      </w:r>
      <w:r w:rsidR="00F6481E">
        <w:t xml:space="preserve"> scenario due to the </w:t>
      </w:r>
      <w:r w:rsidR="00A67795">
        <w:t>electricity required to run the additional mechanical ventilation system for cooling</w:t>
      </w:r>
      <w:r w:rsidR="00435B68">
        <w:t xml:space="preserve"> purposes. The r</w:t>
      </w:r>
      <w:r w:rsidR="00A67795">
        <w:t>esults for energy consumption by end use and space h</w:t>
      </w:r>
      <w:r w:rsidR="001508FE">
        <w:t xml:space="preserve">eating only are shown in </w:t>
      </w:r>
      <w:r w:rsidR="001508FE">
        <w:fldChar w:fldCharType="begin"/>
      </w:r>
      <w:r w:rsidR="001508FE">
        <w:instrText xml:space="preserve"> REF _Ref422408174 \h </w:instrText>
      </w:r>
      <w:r w:rsidR="001508FE">
        <w:fldChar w:fldCharType="separate"/>
      </w:r>
      <w:r w:rsidR="001508FE">
        <w:t xml:space="preserve">Figure </w:t>
      </w:r>
      <w:r w:rsidR="001508FE">
        <w:rPr>
          <w:noProof/>
        </w:rPr>
        <w:t>11</w:t>
      </w:r>
      <w:r w:rsidR="001508FE">
        <w:fldChar w:fldCharType="end"/>
      </w:r>
      <w:r w:rsidR="001508FE">
        <w:t xml:space="preserve"> and </w:t>
      </w:r>
      <w:r w:rsidR="001508FE">
        <w:fldChar w:fldCharType="begin"/>
      </w:r>
      <w:r w:rsidR="001508FE">
        <w:instrText xml:space="preserve"> REF _Ref422408127 \h </w:instrText>
      </w:r>
      <w:r w:rsidR="001508FE">
        <w:fldChar w:fldCharType="separate"/>
      </w:r>
      <w:r w:rsidR="001508FE" w:rsidRPr="00435B68">
        <w:t xml:space="preserve">Figure </w:t>
      </w:r>
      <w:r w:rsidR="001508FE">
        <w:rPr>
          <w:noProof/>
        </w:rPr>
        <w:t>12</w:t>
      </w:r>
      <w:r w:rsidR="001508FE">
        <w:fldChar w:fldCharType="end"/>
      </w:r>
      <w:r w:rsidR="00A67795">
        <w:t>.</w:t>
      </w:r>
    </w:p>
    <w:p w14:paraId="71B083CD" w14:textId="77777777" w:rsidR="00A67795" w:rsidRDefault="00A67795" w:rsidP="00A67795">
      <w:pPr>
        <w:pStyle w:val="NumPara"/>
        <w:numPr>
          <w:ilvl w:val="0"/>
          <w:numId w:val="0"/>
        </w:numPr>
        <w:ind w:left="567"/>
      </w:pPr>
    </w:p>
    <w:p w14:paraId="415152DC" w14:textId="77777777" w:rsidR="001508FE" w:rsidRDefault="001508FE" w:rsidP="00A67795">
      <w:pPr>
        <w:pStyle w:val="NumPara"/>
        <w:numPr>
          <w:ilvl w:val="0"/>
          <w:numId w:val="0"/>
        </w:numPr>
        <w:ind w:left="567"/>
      </w:pPr>
    </w:p>
    <w:p w14:paraId="444F8752" w14:textId="77777777" w:rsidR="001508FE" w:rsidRDefault="00A67795" w:rsidP="001508FE">
      <w:pPr>
        <w:pStyle w:val="Caption"/>
        <w:jc w:val="center"/>
      </w:pPr>
      <w:r>
        <w:rPr>
          <w:noProof/>
          <w:lang w:eastAsia="en-GB"/>
        </w:rPr>
        <w:lastRenderedPageBreak/>
        <w:drawing>
          <wp:inline distT="0" distB="0" distL="0" distR="0" wp14:anchorId="70935F04" wp14:editId="60B1019B">
            <wp:extent cx="5648325" cy="25336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39E48D" w14:textId="3A072244" w:rsidR="00A67795" w:rsidRDefault="001508FE" w:rsidP="001508FE">
      <w:pPr>
        <w:pStyle w:val="Caption"/>
        <w:jc w:val="center"/>
      </w:pPr>
      <w:bookmarkStart w:id="25" w:name="_Ref422408174"/>
      <w:r>
        <w:t xml:space="preserve">Figure </w:t>
      </w:r>
      <w:r w:rsidR="00FA6C6B">
        <w:fldChar w:fldCharType="begin"/>
      </w:r>
      <w:r w:rsidR="00FA6C6B">
        <w:instrText xml:space="preserve"> SEQ Figure \* ARABIC </w:instrText>
      </w:r>
      <w:r w:rsidR="00FA6C6B">
        <w:fldChar w:fldCharType="separate"/>
      </w:r>
      <w:r w:rsidR="002712F1">
        <w:rPr>
          <w:noProof/>
        </w:rPr>
        <w:t>11</w:t>
      </w:r>
      <w:r w:rsidR="00FA6C6B">
        <w:rPr>
          <w:noProof/>
        </w:rPr>
        <w:fldChar w:fldCharType="end"/>
      </w:r>
      <w:bookmarkEnd w:id="25"/>
      <w:r>
        <w:t xml:space="preserve"> </w:t>
      </w:r>
      <w:r w:rsidR="00A67795" w:rsidRPr="00435B68">
        <w:t>Scenario 3.1 end-use energy consumption.</w:t>
      </w:r>
    </w:p>
    <w:p w14:paraId="2F1C40CF" w14:textId="77777777" w:rsidR="00435B68" w:rsidRPr="00435B68" w:rsidRDefault="00435B68" w:rsidP="00435B68"/>
    <w:p w14:paraId="7C01BBA7" w14:textId="77777777" w:rsidR="00CD54F6" w:rsidRDefault="00A67795" w:rsidP="00A67795">
      <w:pPr>
        <w:pStyle w:val="NumPara"/>
        <w:numPr>
          <w:ilvl w:val="0"/>
          <w:numId w:val="0"/>
        </w:numPr>
        <w:ind w:left="567" w:hanging="567"/>
      </w:pPr>
      <w:r>
        <w:rPr>
          <w:noProof/>
          <w:lang w:eastAsia="en-GB"/>
        </w:rPr>
        <w:drawing>
          <wp:inline distT="0" distB="0" distL="0" distR="0" wp14:anchorId="0197798B" wp14:editId="2B1E81FE">
            <wp:extent cx="5657850" cy="258127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988EBFA" w14:textId="0A897E40" w:rsidR="00A67795" w:rsidRPr="00435B68" w:rsidRDefault="00435B68" w:rsidP="00435B68">
      <w:pPr>
        <w:pStyle w:val="Caption"/>
        <w:jc w:val="center"/>
      </w:pPr>
      <w:bookmarkStart w:id="26" w:name="_Ref422408127"/>
      <w:r w:rsidRPr="00435B68">
        <w:t xml:space="preserve">Figure </w:t>
      </w:r>
      <w:r w:rsidR="00FA6C6B">
        <w:fldChar w:fldCharType="begin"/>
      </w:r>
      <w:r w:rsidR="00FA6C6B">
        <w:instrText xml:space="preserve"> SEQ Figure \* ARABIC </w:instrText>
      </w:r>
      <w:r w:rsidR="00FA6C6B">
        <w:fldChar w:fldCharType="separate"/>
      </w:r>
      <w:r w:rsidR="002712F1">
        <w:rPr>
          <w:noProof/>
        </w:rPr>
        <w:t>12</w:t>
      </w:r>
      <w:r w:rsidR="00FA6C6B">
        <w:rPr>
          <w:noProof/>
        </w:rPr>
        <w:fldChar w:fldCharType="end"/>
      </w:r>
      <w:bookmarkEnd w:id="26"/>
      <w:r w:rsidRPr="00435B68">
        <w:t xml:space="preserve"> </w:t>
      </w:r>
      <w:r w:rsidR="00301E21" w:rsidRPr="00435B68">
        <w:t>Scenario 3.1 space heating energy consumption.</w:t>
      </w:r>
    </w:p>
    <w:p w14:paraId="44D1CED4" w14:textId="77777777" w:rsidR="00CD54F6" w:rsidRDefault="00CD54F6" w:rsidP="00301E21">
      <w:pPr>
        <w:pStyle w:val="NumPara"/>
        <w:numPr>
          <w:ilvl w:val="0"/>
          <w:numId w:val="0"/>
        </w:numPr>
        <w:ind w:left="567" w:hanging="567"/>
      </w:pPr>
    </w:p>
    <w:p w14:paraId="40AF71F5" w14:textId="77777777" w:rsidR="000236BB" w:rsidRDefault="001508FE" w:rsidP="000236BB">
      <w:pPr>
        <w:pStyle w:val="NumPara"/>
      </w:pPr>
      <w:r>
        <w:t xml:space="preserve">As can be seen from </w:t>
      </w:r>
      <w:r>
        <w:fldChar w:fldCharType="begin"/>
      </w:r>
      <w:r>
        <w:instrText xml:space="preserve"> REF _Ref422408174 \h </w:instrText>
      </w:r>
      <w:r>
        <w:fldChar w:fldCharType="separate"/>
      </w:r>
      <w:r>
        <w:t xml:space="preserve">Figure </w:t>
      </w:r>
      <w:r>
        <w:rPr>
          <w:noProof/>
        </w:rPr>
        <w:t>11</w:t>
      </w:r>
      <w:r>
        <w:fldChar w:fldCharType="end"/>
      </w:r>
      <w:r>
        <w:t xml:space="preserve"> and </w:t>
      </w:r>
      <w:r>
        <w:fldChar w:fldCharType="begin"/>
      </w:r>
      <w:r>
        <w:instrText xml:space="preserve"> REF _Ref422408127 \h </w:instrText>
      </w:r>
      <w:r>
        <w:fldChar w:fldCharType="separate"/>
      </w:r>
      <w:r w:rsidRPr="00435B68">
        <w:t xml:space="preserve">Figure </w:t>
      </w:r>
      <w:r>
        <w:rPr>
          <w:noProof/>
        </w:rPr>
        <w:t>12</w:t>
      </w:r>
      <w:r>
        <w:fldChar w:fldCharType="end"/>
      </w:r>
      <w:r>
        <w:t>, the p</w:t>
      </w:r>
      <w:r w:rsidR="00301E21">
        <w:t xml:space="preserve">otential savings from rotating the building remain relatively low in this scenario accounting for 22.7 </w:t>
      </w:r>
      <w:r w:rsidR="00903071">
        <w:t>kWh</w:t>
      </w:r>
      <w:r w:rsidR="00301E21">
        <w:t xml:space="preserve">/year. The </w:t>
      </w:r>
      <w:r w:rsidR="000236BB">
        <w:t>minimum consumption is 67.67 kWh/m</w:t>
      </w:r>
      <w:r w:rsidR="000236BB" w:rsidRPr="00903071">
        <w:rPr>
          <w:vertAlign w:val="superscript"/>
        </w:rPr>
        <w:t>2</w:t>
      </w:r>
      <w:r w:rsidR="000236BB">
        <w:t>/year (at 0</w:t>
      </w:r>
      <w:r w:rsidR="000236BB" w:rsidRPr="00903071">
        <w:rPr>
          <w:rFonts w:cs="Arial"/>
        </w:rPr>
        <w:t>°</w:t>
      </w:r>
      <w:r w:rsidR="000236BB">
        <w:t>)</w:t>
      </w:r>
      <w:r w:rsidR="00301E21">
        <w:t>, the maximum consumption is 67.85 kWh/m</w:t>
      </w:r>
      <w:r w:rsidR="00301E21" w:rsidRPr="000236BB">
        <w:rPr>
          <w:vertAlign w:val="superscript"/>
        </w:rPr>
        <w:t>2</w:t>
      </w:r>
      <w:r w:rsidR="00301E21">
        <w:t>/year (at 210</w:t>
      </w:r>
      <w:r w:rsidR="00301E21" w:rsidRPr="000236BB">
        <w:rPr>
          <w:rFonts w:cs="Arial"/>
        </w:rPr>
        <w:t>°</w:t>
      </w:r>
      <w:r w:rsidR="00301E21">
        <w:t xml:space="preserve">) and the </w:t>
      </w:r>
      <w:r w:rsidR="000236BB">
        <w:t>mean consumption for scenario 3.1 is 67.77 kWh/m</w:t>
      </w:r>
      <w:r w:rsidR="000236BB" w:rsidRPr="000236BB">
        <w:rPr>
          <w:vertAlign w:val="superscript"/>
        </w:rPr>
        <w:t>2</w:t>
      </w:r>
      <w:r w:rsidR="000236BB">
        <w:t xml:space="preserve">/year. </w:t>
      </w:r>
      <w:r w:rsidR="00301E21">
        <w:t xml:space="preserve">The </w:t>
      </w:r>
      <w:r w:rsidR="000236BB">
        <w:t>minimum space heating consumption for Scenario 3.1 is 5.46 kWh/m</w:t>
      </w:r>
      <w:r w:rsidR="000236BB" w:rsidRPr="000236BB">
        <w:rPr>
          <w:vertAlign w:val="superscript"/>
        </w:rPr>
        <w:t>2</w:t>
      </w:r>
      <w:r w:rsidR="000236BB">
        <w:t>/year (at 0</w:t>
      </w:r>
      <w:r w:rsidR="000236BB" w:rsidRPr="000236BB">
        <w:rPr>
          <w:rFonts w:cs="Arial"/>
        </w:rPr>
        <w:t>°</w:t>
      </w:r>
      <w:r w:rsidR="000236BB">
        <w:t>), the maximum consumption is 5.64 kWh/m</w:t>
      </w:r>
      <w:r w:rsidR="000236BB" w:rsidRPr="000236BB">
        <w:rPr>
          <w:vertAlign w:val="superscript"/>
        </w:rPr>
        <w:t>2</w:t>
      </w:r>
      <w:r w:rsidR="000236BB">
        <w:t>/year (at 210</w:t>
      </w:r>
      <w:r w:rsidR="000236BB" w:rsidRPr="000236BB">
        <w:rPr>
          <w:rFonts w:cs="Arial"/>
        </w:rPr>
        <w:t>°</w:t>
      </w:r>
      <w:r w:rsidR="000236BB">
        <w:t xml:space="preserve">) and the </w:t>
      </w:r>
      <w:r w:rsidR="00301E21">
        <w:t>mean consumption is 5.56 kWh/m</w:t>
      </w:r>
      <w:r w:rsidR="00301E21" w:rsidRPr="000236BB">
        <w:rPr>
          <w:vertAlign w:val="superscript"/>
        </w:rPr>
        <w:t>2</w:t>
      </w:r>
      <w:r w:rsidR="000236BB">
        <w:t>/year.</w:t>
      </w:r>
    </w:p>
    <w:p w14:paraId="3FF88244" w14:textId="6B5327C1" w:rsidR="00301E21" w:rsidRDefault="00301E21" w:rsidP="00E3026D">
      <w:pPr>
        <w:pStyle w:val="NumPara"/>
      </w:pPr>
      <w:r>
        <w:t xml:space="preserve">Space heating consumption is increased in this scenario </w:t>
      </w:r>
      <w:r w:rsidR="00785A50">
        <w:t xml:space="preserve">by </w:t>
      </w:r>
      <w:r w:rsidR="00E3026D">
        <w:t>approximately 40 kWh/year of energy consumption when compared with Scenario 2.1. The increase in energy consumption can be attributed to the conflicts that exist between the space heating system and the additional mechanical ventilation system that has been inserted to help cool the dwelling.</w:t>
      </w:r>
      <w:r w:rsidR="009D37D5">
        <w:t xml:space="preserve"> In the model</w:t>
      </w:r>
      <w:r w:rsidR="00E3026D">
        <w:t>,</w:t>
      </w:r>
      <w:r w:rsidR="009D37D5">
        <w:t xml:space="preserve"> the controls for </w:t>
      </w:r>
      <w:r w:rsidR="00E3026D">
        <w:t xml:space="preserve">each of </w:t>
      </w:r>
      <w:r w:rsidR="009D37D5">
        <w:t xml:space="preserve">these systems </w:t>
      </w:r>
      <w:r w:rsidR="00E3026D">
        <w:t xml:space="preserve">(the temperature set points) </w:t>
      </w:r>
      <w:r w:rsidR="009D37D5">
        <w:t xml:space="preserve">operate against </w:t>
      </w:r>
      <w:r w:rsidR="00E3026D">
        <w:t xml:space="preserve">one another </w:t>
      </w:r>
      <w:r w:rsidR="009D37D5">
        <w:t>throughout the year. In reality</w:t>
      </w:r>
      <w:r w:rsidR="00E3026D">
        <w:t>,</w:t>
      </w:r>
      <w:r w:rsidR="009D37D5">
        <w:t xml:space="preserve"> it would be possible to address this by optimising </w:t>
      </w:r>
      <w:r w:rsidR="00E3026D">
        <w:t xml:space="preserve">the space heating </w:t>
      </w:r>
      <w:r w:rsidR="009D37D5">
        <w:t xml:space="preserve">controls to turn off </w:t>
      </w:r>
      <w:r w:rsidR="00E3026D">
        <w:t xml:space="preserve">between the months of </w:t>
      </w:r>
      <w:r w:rsidR="009D37D5">
        <w:t>May to September</w:t>
      </w:r>
      <w:r w:rsidR="00E3026D">
        <w:t>,</w:t>
      </w:r>
      <w:r w:rsidR="009D37D5">
        <w:t xml:space="preserve"> for example</w:t>
      </w:r>
      <w:r w:rsidR="00E3026D">
        <w:t>,</w:t>
      </w:r>
      <w:r w:rsidR="00F6481E">
        <w:t xml:space="preserve"> but this has not been done in other versions of the model</w:t>
      </w:r>
      <w:r w:rsidR="00E3026D">
        <w:t>,</w:t>
      </w:r>
      <w:r w:rsidR="00F6481E">
        <w:t xml:space="preserve"> so would</w:t>
      </w:r>
      <w:r w:rsidR="00E3026D">
        <w:t xml:space="preserve"> not result in a reasonable com</w:t>
      </w:r>
      <w:r w:rsidR="00F6481E">
        <w:t>p</w:t>
      </w:r>
      <w:r w:rsidR="00E3026D">
        <w:t>a</w:t>
      </w:r>
      <w:r w:rsidR="00F6481E">
        <w:t>rison</w:t>
      </w:r>
      <w:r w:rsidR="009D37D5">
        <w:t xml:space="preserve">. </w:t>
      </w:r>
      <w:r w:rsidR="00E3026D">
        <w:t>Despite the increased energy consumption, t</w:t>
      </w:r>
      <w:r>
        <w:t>he additional mechanical ventilation does mitigate overheating to a certain extent</w:t>
      </w:r>
      <w:r w:rsidR="00E3026D">
        <w:t>,</w:t>
      </w:r>
      <w:r>
        <w:t xml:space="preserve"> </w:t>
      </w:r>
      <w:r w:rsidR="00E3026D">
        <w:t xml:space="preserve">as can be seen in </w:t>
      </w:r>
      <w:r w:rsidR="00E3026D">
        <w:fldChar w:fldCharType="begin"/>
      </w:r>
      <w:r w:rsidR="00E3026D">
        <w:instrText xml:space="preserve"> REF _Ref422409003 \h </w:instrText>
      </w:r>
      <w:r w:rsidR="00E3026D">
        <w:fldChar w:fldCharType="separate"/>
      </w:r>
      <w:r w:rsidR="00E3026D" w:rsidRPr="00E3026D">
        <w:t xml:space="preserve">Table </w:t>
      </w:r>
      <w:r w:rsidR="00E3026D">
        <w:rPr>
          <w:noProof/>
        </w:rPr>
        <w:t>8</w:t>
      </w:r>
      <w:r w:rsidR="00E3026D">
        <w:fldChar w:fldCharType="end"/>
      </w:r>
      <w:r w:rsidR="00E3026D">
        <w:t xml:space="preserve"> and </w:t>
      </w:r>
      <w:r w:rsidR="00E3026D">
        <w:fldChar w:fldCharType="begin"/>
      </w:r>
      <w:r w:rsidR="00E3026D">
        <w:instrText xml:space="preserve"> REF _Ref422409004 \h </w:instrText>
      </w:r>
      <w:r w:rsidR="00E3026D">
        <w:fldChar w:fldCharType="separate"/>
      </w:r>
      <w:r w:rsidR="00E3026D" w:rsidRPr="00E3026D">
        <w:t xml:space="preserve">Table </w:t>
      </w:r>
      <w:r w:rsidR="00E3026D" w:rsidRPr="00E3026D">
        <w:rPr>
          <w:noProof/>
        </w:rPr>
        <w:t>9</w:t>
      </w:r>
      <w:r w:rsidR="00E3026D">
        <w:fldChar w:fldCharType="end"/>
      </w:r>
      <w:r>
        <w:t>.</w:t>
      </w:r>
    </w:p>
    <w:p w14:paraId="3BAA5015" w14:textId="77777777" w:rsidR="009D37D5" w:rsidRDefault="009D37D5" w:rsidP="009D37D5">
      <w:pPr>
        <w:pStyle w:val="NumPara"/>
        <w:numPr>
          <w:ilvl w:val="0"/>
          <w:numId w:val="0"/>
        </w:numPr>
        <w:ind w:left="567"/>
      </w:pPr>
    </w:p>
    <w:p w14:paraId="0FCF0641" w14:textId="77777777" w:rsidR="009D37D5" w:rsidRDefault="00E34092" w:rsidP="009D37D5">
      <w:pPr>
        <w:pStyle w:val="NumPara"/>
        <w:numPr>
          <w:ilvl w:val="0"/>
          <w:numId w:val="0"/>
        </w:numPr>
        <w:ind w:left="567"/>
      </w:pPr>
      <w:r w:rsidRPr="00E34092">
        <w:rPr>
          <w:noProof/>
          <w:lang w:eastAsia="en-GB"/>
        </w:rPr>
        <w:lastRenderedPageBreak/>
        <w:drawing>
          <wp:inline distT="0" distB="0" distL="0" distR="0" wp14:anchorId="4C6DC577" wp14:editId="2A3D438E">
            <wp:extent cx="5580000" cy="2415600"/>
            <wp:effectExtent l="0" t="0" r="1905"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000" cy="2415600"/>
                    </a:xfrm>
                    <a:prstGeom prst="rect">
                      <a:avLst/>
                    </a:prstGeom>
                    <a:noFill/>
                    <a:ln>
                      <a:noFill/>
                    </a:ln>
                  </pic:spPr>
                </pic:pic>
              </a:graphicData>
            </a:graphic>
          </wp:inline>
        </w:drawing>
      </w:r>
    </w:p>
    <w:p w14:paraId="0486698C" w14:textId="6635F69C" w:rsidR="009D37D5" w:rsidRPr="00E3026D" w:rsidRDefault="00E3026D" w:rsidP="00E3026D">
      <w:pPr>
        <w:pStyle w:val="Caption"/>
        <w:jc w:val="center"/>
      </w:pPr>
      <w:bookmarkStart w:id="27" w:name="_Ref422409003"/>
      <w:r w:rsidRPr="00E3026D">
        <w:t xml:space="preserve">Table </w:t>
      </w:r>
      <w:r w:rsidR="00FA6C6B">
        <w:fldChar w:fldCharType="begin"/>
      </w:r>
      <w:r w:rsidR="00FA6C6B">
        <w:instrText xml:space="preserve"> SEQ Table \* ARABIC </w:instrText>
      </w:r>
      <w:r w:rsidR="00FA6C6B">
        <w:fldChar w:fldCharType="separate"/>
      </w:r>
      <w:r w:rsidR="00210048">
        <w:rPr>
          <w:noProof/>
        </w:rPr>
        <w:t>8</w:t>
      </w:r>
      <w:r w:rsidR="00FA6C6B">
        <w:rPr>
          <w:noProof/>
        </w:rPr>
        <w:fldChar w:fldCharType="end"/>
      </w:r>
      <w:bookmarkEnd w:id="27"/>
      <w:r w:rsidRPr="00E3026D">
        <w:t xml:space="preserve"> </w:t>
      </w:r>
      <w:r w:rsidR="009D37D5" w:rsidRPr="00E3026D">
        <w:t>Scenario 3.11 Percentage of occupied hours above 25</w:t>
      </w:r>
      <w:r w:rsidR="009D37D5" w:rsidRPr="00E3026D">
        <w:rPr>
          <w:rFonts w:cs="Arial"/>
        </w:rPr>
        <w:t>°</w:t>
      </w:r>
      <w:r w:rsidR="009D37D5" w:rsidRPr="00E3026D">
        <w:t>C and 28</w:t>
      </w:r>
      <w:r w:rsidR="009D37D5" w:rsidRPr="00E3026D">
        <w:rPr>
          <w:rFonts w:cs="Arial"/>
        </w:rPr>
        <w:t>°</w:t>
      </w:r>
      <w:r w:rsidR="009D37D5" w:rsidRPr="00E3026D">
        <w:t>C</w:t>
      </w:r>
      <w:r w:rsidR="00B6332B" w:rsidRPr="00E3026D">
        <w:t>.</w:t>
      </w:r>
    </w:p>
    <w:p w14:paraId="338BC001" w14:textId="77777777" w:rsidR="009D37D5" w:rsidRDefault="009D37D5" w:rsidP="009D37D5">
      <w:pPr>
        <w:pStyle w:val="NumPara"/>
        <w:numPr>
          <w:ilvl w:val="0"/>
          <w:numId w:val="0"/>
        </w:numPr>
        <w:ind w:left="567"/>
        <w:jc w:val="center"/>
      </w:pPr>
    </w:p>
    <w:p w14:paraId="1351BD48" w14:textId="77777777" w:rsidR="009D37D5" w:rsidRDefault="00E34092" w:rsidP="009D37D5">
      <w:pPr>
        <w:pStyle w:val="NumPara"/>
        <w:numPr>
          <w:ilvl w:val="0"/>
          <w:numId w:val="0"/>
        </w:numPr>
        <w:ind w:left="567"/>
        <w:jc w:val="center"/>
      </w:pPr>
      <w:r w:rsidRPr="00E34092">
        <w:rPr>
          <w:noProof/>
          <w:lang w:eastAsia="en-GB"/>
        </w:rPr>
        <w:drawing>
          <wp:inline distT="0" distB="0" distL="0" distR="0" wp14:anchorId="0B556E2A" wp14:editId="676FF0FC">
            <wp:extent cx="5580000" cy="234360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0000" cy="2343600"/>
                    </a:xfrm>
                    <a:prstGeom prst="rect">
                      <a:avLst/>
                    </a:prstGeom>
                    <a:noFill/>
                    <a:ln>
                      <a:noFill/>
                    </a:ln>
                  </pic:spPr>
                </pic:pic>
              </a:graphicData>
            </a:graphic>
          </wp:inline>
        </w:drawing>
      </w:r>
    </w:p>
    <w:p w14:paraId="79FCB7F6" w14:textId="2ADA3433" w:rsidR="009D37D5" w:rsidRPr="00E3026D" w:rsidRDefault="00E3026D" w:rsidP="00E3026D">
      <w:pPr>
        <w:pStyle w:val="Caption"/>
        <w:jc w:val="center"/>
      </w:pPr>
      <w:bookmarkStart w:id="28" w:name="_Ref422409004"/>
      <w:r w:rsidRPr="00E3026D">
        <w:t xml:space="preserve">Table </w:t>
      </w:r>
      <w:r w:rsidR="00FA6C6B">
        <w:fldChar w:fldCharType="begin"/>
      </w:r>
      <w:r w:rsidR="00FA6C6B">
        <w:instrText xml:space="preserve"> SEQ Table \* ARABIC </w:instrText>
      </w:r>
      <w:r w:rsidR="00FA6C6B">
        <w:fldChar w:fldCharType="separate"/>
      </w:r>
      <w:r w:rsidR="00210048">
        <w:rPr>
          <w:noProof/>
        </w:rPr>
        <w:t>9</w:t>
      </w:r>
      <w:r w:rsidR="00FA6C6B">
        <w:rPr>
          <w:noProof/>
        </w:rPr>
        <w:fldChar w:fldCharType="end"/>
      </w:r>
      <w:bookmarkEnd w:id="28"/>
      <w:r w:rsidRPr="00E3026D">
        <w:t xml:space="preserve"> </w:t>
      </w:r>
      <w:r w:rsidR="009D37D5" w:rsidRPr="00E3026D">
        <w:t>Scenario 3.11 adaptive comfort criteria results.</w:t>
      </w:r>
    </w:p>
    <w:p w14:paraId="6F2A64B5" w14:textId="77777777" w:rsidR="009D37D5" w:rsidRDefault="009D37D5" w:rsidP="009D37D5">
      <w:pPr>
        <w:pStyle w:val="NumPara"/>
        <w:numPr>
          <w:ilvl w:val="0"/>
          <w:numId w:val="0"/>
        </w:numPr>
        <w:ind w:left="567"/>
        <w:jc w:val="center"/>
      </w:pPr>
    </w:p>
    <w:p w14:paraId="5403989A" w14:textId="6205F7DA" w:rsidR="00E3026D" w:rsidRDefault="00E3026D" w:rsidP="002C16F7">
      <w:pPr>
        <w:pStyle w:val="NumPara"/>
      </w:pPr>
      <w:r>
        <w:t>In terms of overheating, the introduction of a</w:t>
      </w:r>
      <w:r w:rsidR="009D37D5">
        <w:t xml:space="preserve">dditional </w:t>
      </w:r>
      <w:r>
        <w:t xml:space="preserve">mechanical </w:t>
      </w:r>
      <w:r w:rsidR="009D37D5">
        <w:t>ventilation reduces the percentage of hours that exceed the higher absolute metric threshold</w:t>
      </w:r>
      <w:r w:rsidR="00E86E3B">
        <w:t xml:space="preserve"> in the two bedrooms</w:t>
      </w:r>
      <w:r>
        <w:t xml:space="preserve">. However, it does </w:t>
      </w:r>
      <w:r w:rsidR="00E86E3B">
        <w:t xml:space="preserve">not mitigate </w:t>
      </w:r>
      <w:r>
        <w:t xml:space="preserve">against </w:t>
      </w:r>
      <w:r w:rsidR="00E86E3B">
        <w:t xml:space="preserve">overheating enough </w:t>
      </w:r>
      <w:r>
        <w:t xml:space="preserve">in the two bedrooms to reduce it below the lower absolute metric, or more importantly, reduce overheating in any of the other rooms within the dwelling. When assessed against the adaptive comfort criteria, </w:t>
      </w:r>
      <w:r w:rsidR="002C16F7">
        <w:t>the two bedrooms pass under all orientations and the L5 study passes when orientated away from the south (between the 150</w:t>
      </w:r>
      <w:r w:rsidR="002C16F7">
        <w:rPr>
          <w:rFonts w:ascii="Calibri" w:hAnsi="Calibri"/>
        </w:rPr>
        <w:t>°</w:t>
      </w:r>
      <w:r w:rsidR="002C16F7">
        <w:t xml:space="preserve"> to 240</w:t>
      </w:r>
      <w:r w:rsidR="002C16F7">
        <w:rPr>
          <w:rFonts w:ascii="Calibri" w:hAnsi="Calibri"/>
        </w:rPr>
        <w:t>°</w:t>
      </w:r>
      <w:r w:rsidR="002C16F7">
        <w:t xml:space="preserve"> orientations, inclusive). All of the other rooms fail under the adaptive comfort criteria.</w:t>
      </w:r>
    </w:p>
    <w:p w14:paraId="18F7C3BE" w14:textId="77777777" w:rsidR="00E86E3B" w:rsidRDefault="00E86E3B" w:rsidP="00E86E3B">
      <w:pPr>
        <w:pStyle w:val="NumPara"/>
        <w:numPr>
          <w:ilvl w:val="0"/>
          <w:numId w:val="0"/>
        </w:numPr>
        <w:ind w:left="567"/>
      </w:pPr>
    </w:p>
    <w:p w14:paraId="741D110F" w14:textId="77777777" w:rsidR="009D37D5" w:rsidRDefault="00E86E3B" w:rsidP="00E86E3B">
      <w:pPr>
        <w:pStyle w:val="NumPara"/>
        <w:numPr>
          <w:ilvl w:val="0"/>
          <w:numId w:val="0"/>
        </w:numPr>
        <w:ind w:left="567"/>
      </w:pPr>
      <w:r w:rsidRPr="001A4A4E">
        <w:rPr>
          <w:b/>
          <w:i/>
        </w:rPr>
        <w:t xml:space="preserve">Scenario </w:t>
      </w:r>
      <w:r>
        <w:rPr>
          <w:b/>
          <w:i/>
        </w:rPr>
        <w:t>3</w:t>
      </w:r>
      <w:r w:rsidRPr="001A4A4E">
        <w:rPr>
          <w:b/>
          <w:i/>
        </w:rPr>
        <w:t>.</w:t>
      </w:r>
      <w:r>
        <w:rPr>
          <w:b/>
          <w:i/>
        </w:rPr>
        <w:t>2</w:t>
      </w:r>
      <w:r w:rsidRPr="001A4A4E">
        <w:rPr>
          <w:b/>
          <w:i/>
        </w:rPr>
        <w:t xml:space="preserve"> – </w:t>
      </w:r>
      <w:r w:rsidRPr="00CD54F6">
        <w:rPr>
          <w:b/>
          <w:i/>
        </w:rPr>
        <w:t xml:space="preserve">SAP inputs with Heat Pump </w:t>
      </w:r>
      <w:r>
        <w:rPr>
          <w:b/>
          <w:i/>
        </w:rPr>
        <w:t>and</w:t>
      </w:r>
      <w:r w:rsidRPr="00CD54F6">
        <w:rPr>
          <w:b/>
          <w:i/>
        </w:rPr>
        <w:t xml:space="preserve"> </w:t>
      </w:r>
      <w:r>
        <w:rPr>
          <w:b/>
          <w:i/>
        </w:rPr>
        <w:t>Air Conditioning</w:t>
      </w:r>
      <w:r>
        <w:t xml:space="preserve"> </w:t>
      </w:r>
      <w:r w:rsidR="009D37D5">
        <w:t xml:space="preserve"> </w:t>
      </w:r>
    </w:p>
    <w:p w14:paraId="1A245FC4" w14:textId="2F65AC1A" w:rsidR="000B1D1E" w:rsidRDefault="00AD7D0B" w:rsidP="00785A50">
      <w:pPr>
        <w:pStyle w:val="NumPara"/>
      </w:pPr>
      <w:r>
        <w:t xml:space="preserve">In this scenario, an air conditioning system has been installed to ascertain the impact that such a device may have on the overall energy use and the degree of overheating modelled within the prototype dwelling. However, it is recognised that the introduction </w:t>
      </w:r>
      <w:r w:rsidR="00E63D51">
        <w:t xml:space="preserve">of an air conditioning system may be just as practically and financially problematic as the </w:t>
      </w:r>
      <w:r w:rsidR="00E86E3B">
        <w:t>additional m</w:t>
      </w:r>
      <w:r w:rsidR="00E63D51">
        <w:t>echanical ventilation</w:t>
      </w:r>
      <w:r w:rsidR="002C16F7">
        <w:t xml:space="preserve"> described in S</w:t>
      </w:r>
      <w:r w:rsidR="00E86E3B">
        <w:t>cenario 3.1. This model has been inclu</w:t>
      </w:r>
      <w:r w:rsidR="00E63D51">
        <w:t xml:space="preserve">ded to demonstrate the impact that this solution would have on </w:t>
      </w:r>
      <w:r w:rsidR="00E86E3B">
        <w:t xml:space="preserve">energy consumption and the </w:t>
      </w:r>
      <w:r w:rsidR="00E63D51">
        <w:t xml:space="preserve">internal </w:t>
      </w:r>
      <w:r w:rsidR="00E86E3B">
        <w:t>thermal environment</w:t>
      </w:r>
      <w:r w:rsidR="000B1D1E">
        <w:t>.</w:t>
      </w:r>
      <w:r w:rsidR="00E86E3B">
        <w:t xml:space="preserve"> </w:t>
      </w:r>
      <w:r w:rsidR="00F92E79">
        <w:t xml:space="preserve">The modelled air conditioning chiller has a nominal </w:t>
      </w:r>
      <w:proofErr w:type="spellStart"/>
      <w:r w:rsidR="00F92E79">
        <w:t>CoP</w:t>
      </w:r>
      <w:proofErr w:type="spellEnd"/>
      <w:r w:rsidR="00F92E79">
        <w:t xml:space="preserve"> of 3.125 and a seasonal </w:t>
      </w:r>
      <w:proofErr w:type="spellStart"/>
      <w:r w:rsidR="00F92E79">
        <w:t>CoP</w:t>
      </w:r>
      <w:proofErr w:type="spellEnd"/>
      <w:r w:rsidR="00F92E79">
        <w:t xml:space="preserve"> of 2.5. </w:t>
      </w:r>
      <w:r w:rsidR="00E86E3B">
        <w:t xml:space="preserve">As would be expected, the overall </w:t>
      </w:r>
      <w:r w:rsidR="00C84EB8">
        <w:t>energy consumption has increased when compared with S</w:t>
      </w:r>
      <w:r w:rsidR="00E86E3B">
        <w:t>cenario 2.1</w:t>
      </w:r>
      <w:r w:rsidR="00C84EB8">
        <w:t>,</w:t>
      </w:r>
      <w:r w:rsidR="00E86E3B">
        <w:t xml:space="preserve"> due to the additional energy required to operate the air conditioning system. </w:t>
      </w:r>
      <w:r w:rsidR="00785A50">
        <w:t>The r</w:t>
      </w:r>
      <w:r w:rsidR="00C84EB8">
        <w:t>esults for S</w:t>
      </w:r>
      <w:r w:rsidR="00F6481E">
        <w:t>cenario 3.2</w:t>
      </w:r>
      <w:r w:rsidR="00E86E3B">
        <w:t xml:space="preserve"> end-us</w:t>
      </w:r>
      <w:r w:rsidR="00E34092">
        <w:t>e and space heating consumption</w:t>
      </w:r>
      <w:r w:rsidR="00E86E3B">
        <w:t xml:space="preserve"> </w:t>
      </w:r>
      <w:r w:rsidR="00F6481E">
        <w:t xml:space="preserve">are shown </w:t>
      </w:r>
      <w:r w:rsidR="00C84EB8">
        <w:t xml:space="preserve">in </w:t>
      </w:r>
      <w:r w:rsidR="00C84EB8">
        <w:fldChar w:fldCharType="begin"/>
      </w:r>
      <w:r w:rsidR="00C84EB8">
        <w:instrText xml:space="preserve"> REF _Ref422420629 \h </w:instrText>
      </w:r>
      <w:r w:rsidR="00C84EB8">
        <w:fldChar w:fldCharType="separate"/>
      </w:r>
      <w:r w:rsidR="00C84EB8" w:rsidRPr="00C84EB8">
        <w:t xml:space="preserve">Figure </w:t>
      </w:r>
      <w:r w:rsidR="00C84EB8">
        <w:rPr>
          <w:noProof/>
        </w:rPr>
        <w:t>13</w:t>
      </w:r>
      <w:r w:rsidR="00C84EB8">
        <w:fldChar w:fldCharType="end"/>
      </w:r>
      <w:r w:rsidR="00C84EB8">
        <w:t xml:space="preserve"> and </w:t>
      </w:r>
      <w:r w:rsidR="00C84EB8">
        <w:fldChar w:fldCharType="begin"/>
      </w:r>
      <w:r w:rsidR="00C84EB8">
        <w:instrText xml:space="preserve"> REF _Ref422420630 \h </w:instrText>
      </w:r>
      <w:r w:rsidR="00C84EB8">
        <w:fldChar w:fldCharType="separate"/>
      </w:r>
      <w:r w:rsidR="00C84EB8" w:rsidRPr="00C84EB8">
        <w:t xml:space="preserve">Figure </w:t>
      </w:r>
      <w:r w:rsidR="00C84EB8" w:rsidRPr="00C84EB8">
        <w:rPr>
          <w:noProof/>
        </w:rPr>
        <w:t>14</w:t>
      </w:r>
      <w:r w:rsidR="00C84EB8">
        <w:fldChar w:fldCharType="end"/>
      </w:r>
      <w:r w:rsidR="00E86E3B">
        <w:t>.</w:t>
      </w:r>
    </w:p>
    <w:p w14:paraId="007AAAAA" w14:textId="77777777" w:rsidR="00E86E3B" w:rsidRDefault="00E86E3B" w:rsidP="00E86E3B">
      <w:pPr>
        <w:pStyle w:val="NumPara"/>
        <w:numPr>
          <w:ilvl w:val="0"/>
          <w:numId w:val="0"/>
        </w:numPr>
      </w:pPr>
    </w:p>
    <w:p w14:paraId="7CF1E1AB" w14:textId="77777777" w:rsidR="00E86E3B" w:rsidRDefault="00F92E79" w:rsidP="00F92E79">
      <w:pPr>
        <w:pStyle w:val="NumPara"/>
        <w:numPr>
          <w:ilvl w:val="0"/>
          <w:numId w:val="0"/>
        </w:numPr>
        <w:jc w:val="center"/>
      </w:pPr>
      <w:r>
        <w:rPr>
          <w:noProof/>
          <w:lang w:eastAsia="en-GB"/>
        </w:rPr>
        <w:lastRenderedPageBreak/>
        <w:drawing>
          <wp:inline distT="0" distB="0" distL="0" distR="0" wp14:anchorId="4C7CE86F" wp14:editId="6EEDD1F3">
            <wp:extent cx="5943600" cy="2524125"/>
            <wp:effectExtent l="0" t="0" r="0"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6B59E0" w14:textId="7560258C" w:rsidR="00E34092" w:rsidRDefault="00C84EB8" w:rsidP="00C84EB8">
      <w:pPr>
        <w:pStyle w:val="Caption"/>
        <w:jc w:val="center"/>
      </w:pPr>
      <w:bookmarkStart w:id="29" w:name="_Ref422420629"/>
      <w:r w:rsidRPr="00C84EB8">
        <w:t xml:space="preserve">Figure </w:t>
      </w:r>
      <w:r w:rsidR="00FA6C6B">
        <w:fldChar w:fldCharType="begin"/>
      </w:r>
      <w:r w:rsidR="00FA6C6B">
        <w:instrText xml:space="preserve"> SEQ Figure \* ARABIC </w:instrText>
      </w:r>
      <w:r w:rsidR="00FA6C6B">
        <w:fldChar w:fldCharType="separate"/>
      </w:r>
      <w:r w:rsidR="002712F1">
        <w:rPr>
          <w:noProof/>
        </w:rPr>
        <w:t>13</w:t>
      </w:r>
      <w:r w:rsidR="00FA6C6B">
        <w:rPr>
          <w:noProof/>
        </w:rPr>
        <w:fldChar w:fldCharType="end"/>
      </w:r>
      <w:bookmarkEnd w:id="29"/>
      <w:r w:rsidRPr="00C84EB8">
        <w:t xml:space="preserve"> </w:t>
      </w:r>
      <w:r w:rsidR="00E34092" w:rsidRPr="00C84EB8">
        <w:t>Scenario 3.2 end-use energy consumption.</w:t>
      </w:r>
    </w:p>
    <w:p w14:paraId="048D6147" w14:textId="77777777" w:rsidR="00C84EB8" w:rsidRPr="00C84EB8" w:rsidRDefault="00C84EB8" w:rsidP="00C84EB8"/>
    <w:p w14:paraId="3F63DC63" w14:textId="77777777" w:rsidR="00E34092" w:rsidRDefault="00B6332B" w:rsidP="00E34092">
      <w:pPr>
        <w:pStyle w:val="NumPara"/>
        <w:numPr>
          <w:ilvl w:val="0"/>
          <w:numId w:val="0"/>
        </w:numPr>
        <w:jc w:val="center"/>
        <w:rPr>
          <w:b/>
        </w:rPr>
      </w:pPr>
      <w:r>
        <w:rPr>
          <w:noProof/>
          <w:lang w:eastAsia="en-GB"/>
        </w:rPr>
        <w:drawing>
          <wp:inline distT="0" distB="0" distL="0" distR="0" wp14:anchorId="349C3922" wp14:editId="6848AFE1">
            <wp:extent cx="5657850" cy="2600325"/>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50A9F06" w14:textId="16F7F2E2" w:rsidR="00E34092" w:rsidRPr="00C84EB8" w:rsidRDefault="00C84EB8" w:rsidP="00C84EB8">
      <w:pPr>
        <w:pStyle w:val="Caption"/>
        <w:jc w:val="center"/>
      </w:pPr>
      <w:bookmarkStart w:id="30" w:name="_Ref422420630"/>
      <w:r w:rsidRPr="00C84EB8">
        <w:t xml:space="preserve">Figure </w:t>
      </w:r>
      <w:r w:rsidR="00FA6C6B">
        <w:fldChar w:fldCharType="begin"/>
      </w:r>
      <w:r w:rsidR="00FA6C6B">
        <w:instrText xml:space="preserve"> SEQ Figure \* ARABIC </w:instrText>
      </w:r>
      <w:r w:rsidR="00FA6C6B">
        <w:fldChar w:fldCharType="separate"/>
      </w:r>
      <w:r w:rsidR="002712F1">
        <w:rPr>
          <w:noProof/>
        </w:rPr>
        <w:t>14</w:t>
      </w:r>
      <w:r w:rsidR="00FA6C6B">
        <w:rPr>
          <w:noProof/>
        </w:rPr>
        <w:fldChar w:fldCharType="end"/>
      </w:r>
      <w:bookmarkEnd w:id="30"/>
      <w:r w:rsidRPr="00C84EB8">
        <w:t xml:space="preserve"> </w:t>
      </w:r>
      <w:r w:rsidR="00E34092" w:rsidRPr="00C84EB8">
        <w:t>Scenario 3.2 space heating energy consumption.</w:t>
      </w:r>
    </w:p>
    <w:p w14:paraId="338399F3" w14:textId="77777777" w:rsidR="00E34092" w:rsidRDefault="00E34092" w:rsidP="00E34092">
      <w:pPr>
        <w:pStyle w:val="NumPara"/>
        <w:numPr>
          <w:ilvl w:val="0"/>
          <w:numId w:val="0"/>
        </w:numPr>
        <w:jc w:val="center"/>
      </w:pPr>
    </w:p>
    <w:p w14:paraId="6B976B5C" w14:textId="026C255D" w:rsidR="005F76F8" w:rsidRDefault="00B6332B" w:rsidP="005F76F8">
      <w:pPr>
        <w:pStyle w:val="NumPara"/>
      </w:pPr>
      <w:r>
        <w:t>Total savings from rotating the building are particularly low in this scenario</w:t>
      </w:r>
      <w:r w:rsidR="00C84EB8">
        <w:t>,</w:t>
      </w:r>
      <w:r>
        <w:t xml:space="preserve"> accounting for only </w:t>
      </w:r>
      <w:r w:rsidR="0089344B">
        <w:t>9</w:t>
      </w:r>
      <w:r>
        <w:t>.</w:t>
      </w:r>
      <w:r w:rsidR="0089344B">
        <w:t>6</w:t>
      </w:r>
      <w:r>
        <w:t xml:space="preserve"> </w:t>
      </w:r>
      <w:r w:rsidR="00903071">
        <w:t>kWh</w:t>
      </w:r>
      <w:r>
        <w:t>/year</w:t>
      </w:r>
      <w:r w:rsidR="005F76F8">
        <w:t xml:space="preserve">. This is due to the conflicting effects associated with rotating the dwelling. </w:t>
      </w:r>
      <w:r>
        <w:t xml:space="preserve">When the glazing at the rear of the building </w:t>
      </w:r>
      <w:r w:rsidR="005F76F8">
        <w:t xml:space="preserve">(largest glazed area) </w:t>
      </w:r>
      <w:r>
        <w:t>is facing towards the south</w:t>
      </w:r>
      <w:r w:rsidR="00C84EB8">
        <w:t>,</w:t>
      </w:r>
      <w:r>
        <w:t xml:space="preserve"> space heating is reduced slightly and air conditioning is increased. The reverse occurs when the glazing is facing towards the n</w:t>
      </w:r>
      <w:r w:rsidR="00C84EB8">
        <w:t xml:space="preserve">orth. The </w:t>
      </w:r>
      <w:r w:rsidR="005F76F8">
        <w:t>minimum consumption for Scenario 3.2 is 67.28 kWh/m</w:t>
      </w:r>
      <w:r w:rsidR="005F76F8" w:rsidRPr="005F76F8">
        <w:rPr>
          <w:vertAlign w:val="superscript"/>
        </w:rPr>
        <w:t>2</w:t>
      </w:r>
      <w:r w:rsidR="005F76F8">
        <w:t>/year (at 0</w:t>
      </w:r>
      <w:r w:rsidR="005F76F8" w:rsidRPr="005F76F8">
        <w:rPr>
          <w:rFonts w:cs="Arial"/>
        </w:rPr>
        <w:t>°</w:t>
      </w:r>
      <w:r w:rsidR="005F76F8">
        <w:t>), the maximum consumption is 67.36 kWh/m</w:t>
      </w:r>
      <w:r w:rsidR="005F76F8" w:rsidRPr="005F76F8">
        <w:rPr>
          <w:vertAlign w:val="superscript"/>
        </w:rPr>
        <w:t>2</w:t>
      </w:r>
      <w:r w:rsidR="005F76F8">
        <w:t>/year (at 210</w:t>
      </w:r>
      <w:r w:rsidR="005F76F8" w:rsidRPr="005F76F8">
        <w:rPr>
          <w:rFonts w:cs="Arial"/>
        </w:rPr>
        <w:t>°</w:t>
      </w:r>
      <w:r w:rsidR="005F76F8">
        <w:t xml:space="preserve">) and the </w:t>
      </w:r>
      <w:r w:rsidR="00C84EB8">
        <w:t xml:space="preserve">mean consumption </w:t>
      </w:r>
      <w:r>
        <w:t>is 67.35 kWh/m</w:t>
      </w:r>
      <w:r w:rsidRPr="005F76F8">
        <w:rPr>
          <w:vertAlign w:val="superscript"/>
        </w:rPr>
        <w:t>2</w:t>
      </w:r>
      <w:r w:rsidR="005F76F8">
        <w:t xml:space="preserve">/year. </w:t>
      </w:r>
      <w:r>
        <w:t xml:space="preserve">The </w:t>
      </w:r>
      <w:r w:rsidR="005F76F8">
        <w:t>minimum space heating consumption for scenario 3.2 is 6.44 kWh/m</w:t>
      </w:r>
      <w:r w:rsidR="005F76F8" w:rsidRPr="005F76F8">
        <w:rPr>
          <w:vertAlign w:val="superscript"/>
        </w:rPr>
        <w:t>2</w:t>
      </w:r>
      <w:r w:rsidR="005F76F8">
        <w:t>/year (at 0</w:t>
      </w:r>
      <w:r w:rsidR="005F76F8" w:rsidRPr="005F76F8">
        <w:rPr>
          <w:rFonts w:cs="Arial"/>
        </w:rPr>
        <w:t>°</w:t>
      </w:r>
      <w:r w:rsidR="005F76F8">
        <w:t>), the maximum consumption is 6.54 kWh/m</w:t>
      </w:r>
      <w:r w:rsidR="005F76F8" w:rsidRPr="005F76F8">
        <w:rPr>
          <w:vertAlign w:val="superscript"/>
        </w:rPr>
        <w:t>2</w:t>
      </w:r>
      <w:r w:rsidR="005F76F8">
        <w:t>/year (at 210</w:t>
      </w:r>
      <w:r w:rsidR="005F76F8" w:rsidRPr="005F76F8">
        <w:rPr>
          <w:rFonts w:cs="Arial"/>
        </w:rPr>
        <w:t>°</w:t>
      </w:r>
      <w:r w:rsidR="005F76F8">
        <w:t xml:space="preserve">) and the </w:t>
      </w:r>
      <w:r>
        <w:t xml:space="preserve">mean </w:t>
      </w:r>
      <w:r w:rsidR="005F76F8">
        <w:t xml:space="preserve">consumption </w:t>
      </w:r>
      <w:r>
        <w:t xml:space="preserve">is </w:t>
      </w:r>
      <w:r w:rsidR="009A67CA">
        <w:t>6.5</w:t>
      </w:r>
      <w:r>
        <w:t xml:space="preserve"> kWh/m</w:t>
      </w:r>
      <w:r w:rsidRPr="005F76F8">
        <w:rPr>
          <w:vertAlign w:val="superscript"/>
        </w:rPr>
        <w:t>2</w:t>
      </w:r>
      <w:r w:rsidR="005F76F8">
        <w:t xml:space="preserve">/year. </w:t>
      </w:r>
    </w:p>
    <w:p w14:paraId="6A882434" w14:textId="040C0CC6" w:rsidR="00785A50" w:rsidRDefault="00B6332B" w:rsidP="005C4440">
      <w:pPr>
        <w:pStyle w:val="NumPara"/>
      </w:pPr>
      <w:r>
        <w:t xml:space="preserve">Space heating consumption is increased in this scenario </w:t>
      </w:r>
      <w:r w:rsidR="00785A50">
        <w:t xml:space="preserve">by </w:t>
      </w:r>
      <w:r>
        <w:t xml:space="preserve">approximately 145 kWh/year of energy </w:t>
      </w:r>
      <w:r w:rsidR="005F76F8">
        <w:t>consumption when compared with S</w:t>
      </w:r>
      <w:r>
        <w:t>cenario 2.1</w:t>
      </w:r>
      <w:r w:rsidR="005C4440">
        <w:t xml:space="preserve">. </w:t>
      </w:r>
      <w:r w:rsidR="00785A50">
        <w:t>The majority of this</w:t>
      </w:r>
      <w:r w:rsidR="00785A50" w:rsidRPr="00785A50">
        <w:t xml:space="preserve"> additional space heating </w:t>
      </w:r>
      <w:r w:rsidR="00785A50">
        <w:t xml:space="preserve">is consumed </w:t>
      </w:r>
      <w:r w:rsidR="00785A50" w:rsidRPr="00785A50">
        <w:t xml:space="preserve">primarily during the summer months </w:t>
      </w:r>
      <w:r w:rsidR="00785A50">
        <w:t xml:space="preserve">(May to September) </w:t>
      </w:r>
      <w:r w:rsidR="00785A50" w:rsidRPr="00785A50">
        <w:t xml:space="preserve">when the </w:t>
      </w:r>
      <w:r w:rsidR="00785A50">
        <w:t xml:space="preserve">air conditioning is active. </w:t>
      </w:r>
      <w:r w:rsidR="005C4440">
        <w:t xml:space="preserve">This occurs due to the space heating and air conditioning </w:t>
      </w:r>
      <w:r w:rsidR="005C4440" w:rsidRPr="005C4440">
        <w:t>controls not being optimise</w:t>
      </w:r>
      <w:r w:rsidR="005C4440">
        <w:t>d within the simulation model, resulting in the dwelling being</w:t>
      </w:r>
      <w:r w:rsidR="00785A50" w:rsidRPr="00785A50">
        <w:t xml:space="preserve"> cooled during </w:t>
      </w:r>
      <w:r w:rsidR="005C4440">
        <w:t>the day and then requiring</w:t>
      </w:r>
      <w:r w:rsidR="00785A50" w:rsidRPr="00785A50">
        <w:t xml:space="preserve"> heating again in the evening to reach the specified temperature set point. This could be avoided in reality by adjusting heating controls so that no space heating was provided in the summer months. However, this type of control is not included in any of the other models so has not been included here.</w:t>
      </w:r>
    </w:p>
    <w:p w14:paraId="3BAA0896" w14:textId="4140DF91" w:rsidR="00843767" w:rsidRDefault="00843767" w:rsidP="00843767">
      <w:pPr>
        <w:pStyle w:val="NumPara"/>
      </w:pPr>
      <w:r>
        <w:lastRenderedPageBreak/>
        <w:t>The most important result relating to this scenario is clearly illustrated in Table 10 and Table 11. In no circumstances does the air conditioned iteration of the building (Scenario 3.21) exceed either the absolute or the adaptive comfort overheating thresholds. This is to be expected as the cooling set point is set at 25°C and the air conditioning will ensure that enough cooled air is provided to maintain this set point temperature.</w:t>
      </w:r>
    </w:p>
    <w:p w14:paraId="2EB7FAA3" w14:textId="77777777" w:rsidR="00B6332B" w:rsidRDefault="00B6332B" w:rsidP="005C4440">
      <w:pPr>
        <w:pStyle w:val="NumPara"/>
        <w:numPr>
          <w:ilvl w:val="0"/>
          <w:numId w:val="0"/>
        </w:numPr>
      </w:pPr>
    </w:p>
    <w:p w14:paraId="631707E5" w14:textId="77777777" w:rsidR="00B6332B" w:rsidRDefault="00B6332B" w:rsidP="00B6332B">
      <w:pPr>
        <w:pStyle w:val="NumPara"/>
        <w:numPr>
          <w:ilvl w:val="0"/>
          <w:numId w:val="0"/>
        </w:numPr>
        <w:ind w:left="567"/>
      </w:pPr>
      <w:r w:rsidRPr="00B6332B">
        <w:rPr>
          <w:noProof/>
          <w:lang w:eastAsia="en-GB"/>
        </w:rPr>
        <w:drawing>
          <wp:inline distT="0" distB="0" distL="0" distR="0" wp14:anchorId="47904578" wp14:editId="04C5FAAB">
            <wp:extent cx="5580000" cy="2415600"/>
            <wp:effectExtent l="0" t="0" r="1905"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000" cy="2415600"/>
                    </a:xfrm>
                    <a:prstGeom prst="rect">
                      <a:avLst/>
                    </a:prstGeom>
                    <a:noFill/>
                    <a:ln>
                      <a:noFill/>
                    </a:ln>
                  </pic:spPr>
                </pic:pic>
              </a:graphicData>
            </a:graphic>
          </wp:inline>
        </w:drawing>
      </w:r>
    </w:p>
    <w:p w14:paraId="02EBD5E9" w14:textId="0AF7FE79" w:rsidR="00B6332B" w:rsidRPr="005C4440" w:rsidRDefault="005C4440" w:rsidP="005C4440">
      <w:pPr>
        <w:pStyle w:val="Caption"/>
        <w:jc w:val="center"/>
      </w:pPr>
      <w:bookmarkStart w:id="31" w:name="_Ref422422672"/>
      <w:r w:rsidRPr="005C4440">
        <w:t xml:space="preserve">Table </w:t>
      </w:r>
      <w:r w:rsidR="00FA6C6B">
        <w:fldChar w:fldCharType="begin"/>
      </w:r>
      <w:r w:rsidR="00FA6C6B">
        <w:instrText xml:space="preserve"> SEQ Table \* ARABIC </w:instrText>
      </w:r>
      <w:r w:rsidR="00FA6C6B">
        <w:fldChar w:fldCharType="separate"/>
      </w:r>
      <w:r w:rsidR="00210048">
        <w:rPr>
          <w:noProof/>
        </w:rPr>
        <w:t>10</w:t>
      </w:r>
      <w:r w:rsidR="00FA6C6B">
        <w:rPr>
          <w:noProof/>
        </w:rPr>
        <w:fldChar w:fldCharType="end"/>
      </w:r>
      <w:bookmarkEnd w:id="31"/>
      <w:r w:rsidRPr="005C4440">
        <w:t xml:space="preserve"> </w:t>
      </w:r>
      <w:r w:rsidR="00B6332B" w:rsidRPr="005C4440">
        <w:t>Scenario 3.</w:t>
      </w:r>
      <w:r w:rsidR="00610B82" w:rsidRPr="005C4440">
        <w:t>2</w:t>
      </w:r>
      <w:r w:rsidR="00B6332B" w:rsidRPr="005C4440">
        <w:t>1 Percentage of occupied hours above 25</w:t>
      </w:r>
      <w:r w:rsidR="00B6332B" w:rsidRPr="005C4440">
        <w:rPr>
          <w:rFonts w:cs="Arial"/>
        </w:rPr>
        <w:t>°</w:t>
      </w:r>
      <w:r w:rsidR="00B6332B" w:rsidRPr="005C4440">
        <w:t>C and 28</w:t>
      </w:r>
      <w:r w:rsidR="00B6332B" w:rsidRPr="005C4440">
        <w:rPr>
          <w:rFonts w:cs="Arial"/>
        </w:rPr>
        <w:t>°</w:t>
      </w:r>
      <w:r w:rsidR="00B6332B" w:rsidRPr="005C4440">
        <w:t>C.</w:t>
      </w:r>
    </w:p>
    <w:p w14:paraId="2C79EA71" w14:textId="77777777" w:rsidR="00B6332B" w:rsidRDefault="00B6332B" w:rsidP="00B6332B">
      <w:pPr>
        <w:pStyle w:val="NumPara"/>
        <w:numPr>
          <w:ilvl w:val="0"/>
          <w:numId w:val="0"/>
        </w:numPr>
        <w:ind w:left="567"/>
        <w:jc w:val="center"/>
      </w:pPr>
    </w:p>
    <w:p w14:paraId="5C23BDA1" w14:textId="77777777" w:rsidR="00B6332B" w:rsidRDefault="00B6332B" w:rsidP="00B6332B">
      <w:pPr>
        <w:pStyle w:val="NumPara"/>
        <w:numPr>
          <w:ilvl w:val="0"/>
          <w:numId w:val="0"/>
        </w:numPr>
        <w:ind w:left="567"/>
        <w:jc w:val="center"/>
      </w:pPr>
      <w:r w:rsidRPr="00B6332B">
        <w:rPr>
          <w:noProof/>
          <w:lang w:eastAsia="en-GB"/>
        </w:rPr>
        <w:drawing>
          <wp:inline distT="0" distB="0" distL="0" distR="0" wp14:anchorId="3A2E1F14" wp14:editId="166B1B82">
            <wp:extent cx="5580000" cy="2343600"/>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0000" cy="2343600"/>
                    </a:xfrm>
                    <a:prstGeom prst="rect">
                      <a:avLst/>
                    </a:prstGeom>
                    <a:noFill/>
                    <a:ln>
                      <a:noFill/>
                    </a:ln>
                  </pic:spPr>
                </pic:pic>
              </a:graphicData>
            </a:graphic>
          </wp:inline>
        </w:drawing>
      </w:r>
    </w:p>
    <w:p w14:paraId="33986F8A" w14:textId="7C5A9851" w:rsidR="00610B82" w:rsidRDefault="005C4440" w:rsidP="005C4440">
      <w:pPr>
        <w:pStyle w:val="Caption"/>
        <w:jc w:val="center"/>
      </w:pPr>
      <w:bookmarkStart w:id="32" w:name="_Ref422422673"/>
      <w:r w:rsidRPr="005C4440">
        <w:t xml:space="preserve">Table </w:t>
      </w:r>
      <w:r w:rsidR="00FA6C6B">
        <w:fldChar w:fldCharType="begin"/>
      </w:r>
      <w:r w:rsidR="00FA6C6B">
        <w:instrText xml:space="preserve"> SEQ Table \* ARABIC </w:instrText>
      </w:r>
      <w:r w:rsidR="00FA6C6B">
        <w:fldChar w:fldCharType="separate"/>
      </w:r>
      <w:r w:rsidR="00210048">
        <w:rPr>
          <w:noProof/>
        </w:rPr>
        <w:t>11</w:t>
      </w:r>
      <w:r w:rsidR="00FA6C6B">
        <w:rPr>
          <w:noProof/>
        </w:rPr>
        <w:fldChar w:fldCharType="end"/>
      </w:r>
      <w:bookmarkEnd w:id="32"/>
      <w:r w:rsidRPr="005C4440">
        <w:t xml:space="preserve"> </w:t>
      </w:r>
      <w:r w:rsidR="00610B82" w:rsidRPr="005C4440">
        <w:t>Scenario 3.</w:t>
      </w:r>
      <w:r w:rsidR="00431DFA" w:rsidRPr="005C4440">
        <w:t>2</w:t>
      </w:r>
      <w:r w:rsidR="00610B82" w:rsidRPr="005C4440">
        <w:t>1 adaptive comfort criteria results.</w:t>
      </w:r>
    </w:p>
    <w:p w14:paraId="79FBDA98" w14:textId="77777777" w:rsidR="00B6332B" w:rsidRDefault="00B6332B" w:rsidP="00610B82">
      <w:pPr>
        <w:pStyle w:val="NumPara"/>
        <w:numPr>
          <w:ilvl w:val="0"/>
          <w:numId w:val="0"/>
        </w:numPr>
      </w:pPr>
    </w:p>
    <w:p w14:paraId="4DFDF4C6" w14:textId="77777777" w:rsidR="00610B82" w:rsidRDefault="00610B82" w:rsidP="0015568E">
      <w:pPr>
        <w:pStyle w:val="NumPara"/>
        <w:numPr>
          <w:ilvl w:val="0"/>
          <w:numId w:val="0"/>
        </w:numPr>
        <w:ind w:left="567"/>
        <w:rPr>
          <w:b/>
          <w:i/>
        </w:rPr>
      </w:pPr>
      <w:r w:rsidRPr="001A4A4E">
        <w:rPr>
          <w:b/>
          <w:i/>
        </w:rPr>
        <w:t xml:space="preserve">Scenario </w:t>
      </w:r>
      <w:r>
        <w:rPr>
          <w:b/>
          <w:i/>
        </w:rPr>
        <w:t>3</w:t>
      </w:r>
      <w:r w:rsidRPr="001A4A4E">
        <w:rPr>
          <w:b/>
          <w:i/>
        </w:rPr>
        <w:t>.</w:t>
      </w:r>
      <w:r w:rsidR="003A7FF3">
        <w:rPr>
          <w:b/>
          <w:i/>
        </w:rPr>
        <w:t>3</w:t>
      </w:r>
      <w:r w:rsidRPr="001A4A4E">
        <w:rPr>
          <w:b/>
          <w:i/>
        </w:rPr>
        <w:t xml:space="preserve"> – </w:t>
      </w:r>
      <w:r w:rsidRPr="00CD54F6">
        <w:rPr>
          <w:b/>
          <w:i/>
        </w:rPr>
        <w:t xml:space="preserve">SAP inputs with Heat Pump </w:t>
      </w:r>
      <w:r>
        <w:rPr>
          <w:b/>
          <w:i/>
        </w:rPr>
        <w:t>and</w:t>
      </w:r>
      <w:r w:rsidRPr="00CD54F6">
        <w:rPr>
          <w:b/>
          <w:i/>
        </w:rPr>
        <w:t xml:space="preserve"> </w:t>
      </w:r>
      <w:r>
        <w:rPr>
          <w:b/>
          <w:i/>
        </w:rPr>
        <w:t xml:space="preserve">Natural Ventilation </w:t>
      </w:r>
    </w:p>
    <w:p w14:paraId="22A43E00" w14:textId="4EFC8538" w:rsidR="00610B82" w:rsidRDefault="00610B82" w:rsidP="00610B82">
      <w:pPr>
        <w:pStyle w:val="NumPara"/>
      </w:pPr>
      <w:r>
        <w:t>T</w:t>
      </w:r>
      <w:r w:rsidR="00843767">
        <w:t xml:space="preserve">here is additional complexity associated with </w:t>
      </w:r>
      <w:r>
        <w:t>modell</w:t>
      </w:r>
      <w:r w:rsidR="00843767">
        <w:t xml:space="preserve">ing </w:t>
      </w:r>
      <w:r>
        <w:t>natural ventilatio</w:t>
      </w:r>
      <w:r w:rsidR="00843767">
        <w:t xml:space="preserve">n within the modelling software, </w:t>
      </w:r>
      <w:r>
        <w:t>as it introduces air exchanges through openings</w:t>
      </w:r>
      <w:r w:rsidR="00843767">
        <w:t xml:space="preserve"> within the building fabric</w:t>
      </w:r>
      <w:r>
        <w:t xml:space="preserve"> that a</w:t>
      </w:r>
      <w:r w:rsidR="009A67CA">
        <w:t>re</w:t>
      </w:r>
      <w:r>
        <w:t xml:space="preserve"> driven by wind direction, speed and buoyancy. Infiltration is also calculated us</w:t>
      </w:r>
      <w:r w:rsidR="009A67CA">
        <w:t>ing</w:t>
      </w:r>
      <w:r>
        <w:t xml:space="preserve"> the perimeter value</w:t>
      </w:r>
      <w:r w:rsidR="009A67CA">
        <w:t>s of openings</w:t>
      </w:r>
      <w:r w:rsidR="00843767">
        <w:t>,</w:t>
      </w:r>
      <w:r w:rsidR="009A67CA">
        <w:t xml:space="preserve"> which will result</w:t>
      </w:r>
      <w:r>
        <w:t xml:space="preserve"> in a </w:t>
      </w:r>
      <w:r w:rsidR="0089344B">
        <w:t xml:space="preserve">different </w:t>
      </w:r>
      <w:r w:rsidR="009A67CA">
        <w:t xml:space="preserve">infiltration </w:t>
      </w:r>
      <w:r w:rsidR="0089344B">
        <w:t>value to th</w:t>
      </w:r>
      <w:r w:rsidR="00843767">
        <w:t>at specified in the SAP worksheet</w:t>
      </w:r>
      <w:r w:rsidR="0089344B">
        <w:t xml:space="preserve"> and used in previous scenarios. Natural ventilation has been included </w:t>
      </w:r>
      <w:r w:rsidR="00843767">
        <w:t xml:space="preserve">within this scenario </w:t>
      </w:r>
      <w:r w:rsidR="0089344B">
        <w:t xml:space="preserve">to mitigate </w:t>
      </w:r>
      <w:r w:rsidR="00843767">
        <w:t xml:space="preserve">against </w:t>
      </w:r>
      <w:r w:rsidR="0089344B">
        <w:t xml:space="preserve">overheating only and it is assumed that the MVHR </w:t>
      </w:r>
      <w:r w:rsidR="00843767">
        <w:t xml:space="preserve">system </w:t>
      </w:r>
      <w:r w:rsidR="0089344B">
        <w:t xml:space="preserve">provides minimum fresh air during heating periods. Introducing natural ventilation does however illustrate the extent that overheating can be avoided without having a significant impact on overall energy consumption. Energy consumption for end-use and space heating is </w:t>
      </w:r>
      <w:r w:rsidR="00843767">
        <w:t xml:space="preserve">illustrated in </w:t>
      </w:r>
      <w:r w:rsidR="00843767">
        <w:fldChar w:fldCharType="begin"/>
      </w:r>
      <w:r w:rsidR="00843767">
        <w:instrText xml:space="preserve"> REF _Ref422423127 \h </w:instrText>
      </w:r>
      <w:r w:rsidR="00843767">
        <w:fldChar w:fldCharType="separate"/>
      </w:r>
      <w:r w:rsidR="00843767" w:rsidRPr="00843767">
        <w:t xml:space="preserve">Figure </w:t>
      </w:r>
      <w:r w:rsidR="00843767">
        <w:rPr>
          <w:noProof/>
        </w:rPr>
        <w:t>15</w:t>
      </w:r>
      <w:r w:rsidR="00843767">
        <w:fldChar w:fldCharType="end"/>
      </w:r>
      <w:r w:rsidR="00843767">
        <w:t xml:space="preserve"> and </w:t>
      </w:r>
      <w:r w:rsidR="00843767">
        <w:fldChar w:fldCharType="begin"/>
      </w:r>
      <w:r w:rsidR="00843767">
        <w:instrText xml:space="preserve"> REF _Ref422423128 \h </w:instrText>
      </w:r>
      <w:r w:rsidR="00843767">
        <w:fldChar w:fldCharType="separate"/>
      </w:r>
      <w:r w:rsidR="00843767" w:rsidRPr="00843767">
        <w:t xml:space="preserve">Figure </w:t>
      </w:r>
      <w:r w:rsidR="00843767" w:rsidRPr="00843767">
        <w:rPr>
          <w:noProof/>
        </w:rPr>
        <w:t>16</w:t>
      </w:r>
      <w:r w:rsidR="00843767">
        <w:fldChar w:fldCharType="end"/>
      </w:r>
      <w:r w:rsidR="0089344B">
        <w:t>.</w:t>
      </w:r>
    </w:p>
    <w:p w14:paraId="11EB5953" w14:textId="02D20AFF" w:rsidR="00610B82" w:rsidRDefault="00610B82" w:rsidP="003A7FF3">
      <w:pPr>
        <w:pStyle w:val="NumPara"/>
        <w:numPr>
          <w:ilvl w:val="0"/>
          <w:numId w:val="0"/>
        </w:numPr>
        <w:rPr>
          <w:b/>
          <w:i/>
        </w:rPr>
      </w:pPr>
    </w:p>
    <w:p w14:paraId="0CCE7808" w14:textId="77777777" w:rsidR="003A7FF3" w:rsidRDefault="003A7FF3" w:rsidP="003A7FF3">
      <w:pPr>
        <w:pStyle w:val="NumPara"/>
        <w:numPr>
          <w:ilvl w:val="0"/>
          <w:numId w:val="0"/>
        </w:numPr>
        <w:rPr>
          <w:b/>
          <w:i/>
        </w:rPr>
      </w:pPr>
      <w:r>
        <w:rPr>
          <w:noProof/>
          <w:lang w:eastAsia="en-GB"/>
        </w:rPr>
        <w:lastRenderedPageBreak/>
        <w:drawing>
          <wp:inline distT="0" distB="0" distL="0" distR="0" wp14:anchorId="260B0A84" wp14:editId="109F3DF3">
            <wp:extent cx="5943600" cy="2562225"/>
            <wp:effectExtent l="0" t="0" r="0" b="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DF8B31" w14:textId="66BC4FAE" w:rsidR="003A7FF3" w:rsidRPr="00843767" w:rsidRDefault="00843767" w:rsidP="00843767">
      <w:pPr>
        <w:pStyle w:val="Caption"/>
        <w:jc w:val="center"/>
      </w:pPr>
      <w:bookmarkStart w:id="33" w:name="_Ref422423127"/>
      <w:r w:rsidRPr="00843767">
        <w:t xml:space="preserve">Figure </w:t>
      </w:r>
      <w:r w:rsidR="00FA6C6B">
        <w:fldChar w:fldCharType="begin"/>
      </w:r>
      <w:r w:rsidR="00FA6C6B">
        <w:instrText xml:space="preserve"> SEQ Figure \* ARABIC </w:instrText>
      </w:r>
      <w:r w:rsidR="00FA6C6B">
        <w:fldChar w:fldCharType="separate"/>
      </w:r>
      <w:r w:rsidR="002712F1">
        <w:rPr>
          <w:noProof/>
        </w:rPr>
        <w:t>15</w:t>
      </w:r>
      <w:r w:rsidR="00FA6C6B">
        <w:rPr>
          <w:noProof/>
        </w:rPr>
        <w:fldChar w:fldCharType="end"/>
      </w:r>
      <w:bookmarkEnd w:id="33"/>
      <w:r w:rsidRPr="00843767">
        <w:t xml:space="preserve"> </w:t>
      </w:r>
      <w:r w:rsidR="003A7FF3" w:rsidRPr="00843767">
        <w:t>Scenario 3.3 end-use energy consumption.</w:t>
      </w:r>
    </w:p>
    <w:p w14:paraId="05EBD12A" w14:textId="77777777" w:rsidR="003A7FF3" w:rsidRDefault="003A7FF3" w:rsidP="003A7FF3">
      <w:pPr>
        <w:pStyle w:val="NumPara"/>
        <w:numPr>
          <w:ilvl w:val="0"/>
          <w:numId w:val="0"/>
        </w:numPr>
        <w:jc w:val="center"/>
        <w:rPr>
          <w:b/>
        </w:rPr>
      </w:pPr>
    </w:p>
    <w:p w14:paraId="42C3DD1F" w14:textId="77777777" w:rsidR="003A7FF3" w:rsidRDefault="003A7FF3" w:rsidP="003A7FF3">
      <w:pPr>
        <w:pStyle w:val="NumPara"/>
        <w:numPr>
          <w:ilvl w:val="0"/>
          <w:numId w:val="0"/>
        </w:numPr>
        <w:jc w:val="center"/>
        <w:rPr>
          <w:b/>
          <w:i/>
        </w:rPr>
      </w:pPr>
      <w:r>
        <w:rPr>
          <w:noProof/>
          <w:lang w:eastAsia="en-GB"/>
        </w:rPr>
        <w:drawing>
          <wp:inline distT="0" distB="0" distL="0" distR="0" wp14:anchorId="48185E81" wp14:editId="69EE62C9">
            <wp:extent cx="5657850" cy="2552700"/>
            <wp:effectExtent l="0" t="0" r="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F06D62F" w14:textId="1FD52D01" w:rsidR="003A7FF3" w:rsidRPr="00843767" w:rsidRDefault="00843767" w:rsidP="00843767">
      <w:pPr>
        <w:pStyle w:val="Caption"/>
        <w:jc w:val="center"/>
      </w:pPr>
      <w:bookmarkStart w:id="34" w:name="_Ref422423128"/>
      <w:r w:rsidRPr="00843767">
        <w:t xml:space="preserve">Figure </w:t>
      </w:r>
      <w:r w:rsidR="00FA6C6B">
        <w:fldChar w:fldCharType="begin"/>
      </w:r>
      <w:r w:rsidR="00FA6C6B">
        <w:instrText xml:space="preserve"> SEQ Figure \* ARABIC </w:instrText>
      </w:r>
      <w:r w:rsidR="00FA6C6B">
        <w:fldChar w:fldCharType="separate"/>
      </w:r>
      <w:r w:rsidR="002712F1">
        <w:rPr>
          <w:noProof/>
        </w:rPr>
        <w:t>16</w:t>
      </w:r>
      <w:r w:rsidR="00FA6C6B">
        <w:rPr>
          <w:noProof/>
        </w:rPr>
        <w:fldChar w:fldCharType="end"/>
      </w:r>
      <w:bookmarkEnd w:id="34"/>
      <w:r w:rsidRPr="00843767">
        <w:t xml:space="preserve"> </w:t>
      </w:r>
      <w:r w:rsidR="003A7FF3" w:rsidRPr="00843767">
        <w:t>Scenario 3.3 space heating energy consumption.</w:t>
      </w:r>
    </w:p>
    <w:p w14:paraId="7453C6CD" w14:textId="77777777" w:rsidR="003A7FF3" w:rsidRDefault="003A7FF3" w:rsidP="003A7FF3">
      <w:pPr>
        <w:pStyle w:val="NumPara"/>
        <w:numPr>
          <w:ilvl w:val="0"/>
          <w:numId w:val="0"/>
        </w:numPr>
        <w:jc w:val="center"/>
        <w:rPr>
          <w:b/>
        </w:rPr>
      </w:pPr>
    </w:p>
    <w:p w14:paraId="07E1E5A0" w14:textId="77777777" w:rsidR="005A78B2" w:rsidRDefault="00EB7944" w:rsidP="005A78B2">
      <w:pPr>
        <w:pStyle w:val="NumPara"/>
      </w:pPr>
      <w:r>
        <w:t>The potential savings associated with</w:t>
      </w:r>
      <w:r w:rsidR="00903071">
        <w:t xml:space="preserve"> rotating the building increase in this scenario </w:t>
      </w:r>
      <w:r w:rsidR="006673D2">
        <w:t>and equate to</w:t>
      </w:r>
      <w:r>
        <w:t xml:space="preserve"> 39.80 kWh/year. These savings are greater than those achieved in S</w:t>
      </w:r>
      <w:r w:rsidR="00903071">
        <w:t>ce</w:t>
      </w:r>
      <w:r w:rsidR="009A67CA">
        <w:t xml:space="preserve">nario 2.1. </w:t>
      </w:r>
      <w:r w:rsidR="00141C5D">
        <w:t>The minimum consumption for Scenario 3.3 is 59.27 kWh/m</w:t>
      </w:r>
      <w:r w:rsidR="00141C5D" w:rsidRPr="00B363CB">
        <w:rPr>
          <w:vertAlign w:val="superscript"/>
        </w:rPr>
        <w:t>2</w:t>
      </w:r>
      <w:r w:rsidR="00141C5D">
        <w:t>/year (at 0</w:t>
      </w:r>
      <w:r w:rsidR="00141C5D">
        <w:rPr>
          <w:rFonts w:cs="Arial"/>
        </w:rPr>
        <w:t>°</w:t>
      </w:r>
      <w:r w:rsidR="00141C5D">
        <w:t>), the maximum consumption is 59.58 kWh/m</w:t>
      </w:r>
      <w:r w:rsidR="00141C5D" w:rsidRPr="00B363CB">
        <w:rPr>
          <w:vertAlign w:val="superscript"/>
        </w:rPr>
        <w:t>2</w:t>
      </w:r>
      <w:r w:rsidR="00141C5D">
        <w:t>/year (at 210</w:t>
      </w:r>
      <w:r w:rsidR="00141C5D">
        <w:rPr>
          <w:rFonts w:cs="Arial"/>
        </w:rPr>
        <w:t>°</w:t>
      </w:r>
      <w:r w:rsidR="00141C5D">
        <w:t>) and the mean consumption is 59.41 kWh/m</w:t>
      </w:r>
      <w:r w:rsidR="00141C5D" w:rsidRPr="00B363CB">
        <w:rPr>
          <w:vertAlign w:val="superscript"/>
        </w:rPr>
        <w:t>2</w:t>
      </w:r>
      <w:r w:rsidR="00141C5D">
        <w:t>/year. The minimum space heating consumption in this scenario is 5.37 kWh/m</w:t>
      </w:r>
      <w:r w:rsidR="00141C5D" w:rsidRPr="00A11292">
        <w:rPr>
          <w:vertAlign w:val="superscript"/>
        </w:rPr>
        <w:t>2</w:t>
      </w:r>
      <w:r w:rsidR="00141C5D">
        <w:t>/year (at 0</w:t>
      </w:r>
      <w:r w:rsidR="00141C5D" w:rsidRPr="00A11292">
        <w:rPr>
          <w:rFonts w:cs="Arial"/>
        </w:rPr>
        <w:t>°</w:t>
      </w:r>
      <w:r w:rsidR="00141C5D">
        <w:t>), the maximum consumption is 5.68 kWh/m</w:t>
      </w:r>
      <w:r w:rsidR="00141C5D" w:rsidRPr="00A11292">
        <w:rPr>
          <w:vertAlign w:val="superscript"/>
        </w:rPr>
        <w:t>2</w:t>
      </w:r>
      <w:r w:rsidR="00141C5D">
        <w:t>/year (at 210</w:t>
      </w:r>
      <w:r w:rsidR="00141C5D" w:rsidRPr="00A11292">
        <w:rPr>
          <w:rFonts w:cs="Arial"/>
        </w:rPr>
        <w:t>°</w:t>
      </w:r>
      <w:r w:rsidR="00141C5D">
        <w:t>) and the mean space heating consumption in this scenario is 5.51 kWh/m</w:t>
      </w:r>
      <w:r w:rsidR="00141C5D" w:rsidRPr="00A11292">
        <w:rPr>
          <w:vertAlign w:val="superscript"/>
        </w:rPr>
        <w:t>2</w:t>
      </w:r>
      <w:r w:rsidR="00141C5D">
        <w:t>/year.</w:t>
      </w:r>
    </w:p>
    <w:p w14:paraId="08F330C9" w14:textId="6E4ED154" w:rsidR="005A78B2" w:rsidRDefault="006673D2" w:rsidP="003975F5">
      <w:pPr>
        <w:pStyle w:val="NumPara"/>
      </w:pPr>
      <w:r>
        <w:t>As with S</w:t>
      </w:r>
      <w:r w:rsidR="002017E6">
        <w:t>cenario 3.2, s</w:t>
      </w:r>
      <w:r w:rsidR="00903071">
        <w:t xml:space="preserve">pace heating consumption is </w:t>
      </w:r>
      <w:r w:rsidR="002017E6">
        <w:t xml:space="preserve">also </w:t>
      </w:r>
      <w:r w:rsidR="00903071">
        <w:t xml:space="preserve">increased </w:t>
      </w:r>
      <w:r w:rsidR="00141C5D">
        <w:t xml:space="preserve">in this scenario </w:t>
      </w:r>
      <w:r w:rsidR="005A78B2">
        <w:t>due to non-optimised control of the natural ventilation which results in increase space heating. T</w:t>
      </w:r>
      <w:r w:rsidR="00903071">
        <w:t xml:space="preserve">his accounts for approximately </w:t>
      </w:r>
      <w:r w:rsidR="002017E6">
        <w:t>37</w:t>
      </w:r>
      <w:r w:rsidR="00903071">
        <w:t xml:space="preserve"> kWh/year of energy </w:t>
      </w:r>
      <w:r>
        <w:t>consumption when compared with S</w:t>
      </w:r>
      <w:r w:rsidR="00903071">
        <w:t xml:space="preserve">cenario 2.1. </w:t>
      </w:r>
      <w:r w:rsidR="005A78B2" w:rsidRPr="005A78B2">
        <w:t xml:space="preserve">Despite the increased energy consumption, the additional </w:t>
      </w:r>
      <w:r w:rsidR="005A78B2">
        <w:t xml:space="preserve">natural </w:t>
      </w:r>
      <w:r w:rsidR="005A78B2" w:rsidRPr="005A78B2">
        <w:t>ventilation does mitigate overheating to a certain ex</w:t>
      </w:r>
      <w:r w:rsidR="003975F5">
        <w:t xml:space="preserve">tent, as can be seen in </w:t>
      </w:r>
      <w:r w:rsidR="003975F5">
        <w:fldChar w:fldCharType="begin"/>
      </w:r>
      <w:r w:rsidR="003975F5">
        <w:instrText xml:space="preserve"> REF _Ref422424192 \h </w:instrText>
      </w:r>
      <w:r w:rsidR="003975F5">
        <w:fldChar w:fldCharType="separate"/>
      </w:r>
      <w:r w:rsidR="003975F5" w:rsidRPr="005A78B2">
        <w:t xml:space="preserve">Table </w:t>
      </w:r>
      <w:r w:rsidR="003975F5">
        <w:rPr>
          <w:noProof/>
        </w:rPr>
        <w:t>12</w:t>
      </w:r>
      <w:r w:rsidR="003975F5">
        <w:fldChar w:fldCharType="end"/>
      </w:r>
      <w:r w:rsidR="003975F5">
        <w:t xml:space="preserve"> and </w:t>
      </w:r>
      <w:r w:rsidR="003975F5">
        <w:fldChar w:fldCharType="begin"/>
      </w:r>
      <w:r w:rsidR="003975F5">
        <w:instrText xml:space="preserve"> REF _Ref422424194 \h </w:instrText>
      </w:r>
      <w:r w:rsidR="003975F5">
        <w:fldChar w:fldCharType="separate"/>
      </w:r>
      <w:r w:rsidR="003975F5" w:rsidRPr="005A78B2">
        <w:t xml:space="preserve">Table </w:t>
      </w:r>
      <w:r w:rsidR="003975F5" w:rsidRPr="005A78B2">
        <w:rPr>
          <w:noProof/>
        </w:rPr>
        <w:t>13</w:t>
      </w:r>
      <w:r w:rsidR="003975F5">
        <w:fldChar w:fldCharType="end"/>
      </w:r>
      <w:r w:rsidR="005A78B2" w:rsidRPr="005A78B2">
        <w:t>.</w:t>
      </w:r>
    </w:p>
    <w:p w14:paraId="3A4DFEF3" w14:textId="77777777" w:rsidR="00431DFA" w:rsidRDefault="00431DFA" w:rsidP="00431DFA">
      <w:pPr>
        <w:pStyle w:val="NumPara"/>
        <w:numPr>
          <w:ilvl w:val="0"/>
          <w:numId w:val="0"/>
        </w:numPr>
        <w:ind w:left="567"/>
      </w:pPr>
    </w:p>
    <w:p w14:paraId="5D3A79C8" w14:textId="77777777" w:rsidR="00431DFA" w:rsidRDefault="00431DFA" w:rsidP="00431DFA">
      <w:pPr>
        <w:pStyle w:val="NumPara"/>
        <w:numPr>
          <w:ilvl w:val="0"/>
          <w:numId w:val="0"/>
        </w:numPr>
        <w:ind w:left="567"/>
      </w:pPr>
      <w:r w:rsidRPr="00431DFA">
        <w:rPr>
          <w:noProof/>
          <w:lang w:eastAsia="en-GB"/>
        </w:rPr>
        <w:lastRenderedPageBreak/>
        <w:drawing>
          <wp:inline distT="0" distB="0" distL="0" distR="0" wp14:anchorId="7950B6BF" wp14:editId="287FB5A6">
            <wp:extent cx="5580000" cy="2415600"/>
            <wp:effectExtent l="0" t="0" r="190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0000" cy="2415600"/>
                    </a:xfrm>
                    <a:prstGeom prst="rect">
                      <a:avLst/>
                    </a:prstGeom>
                    <a:noFill/>
                    <a:ln>
                      <a:noFill/>
                    </a:ln>
                  </pic:spPr>
                </pic:pic>
              </a:graphicData>
            </a:graphic>
          </wp:inline>
        </w:drawing>
      </w:r>
    </w:p>
    <w:p w14:paraId="7B2EF843" w14:textId="06D5DD1C" w:rsidR="00431DFA" w:rsidRPr="005A78B2" w:rsidRDefault="005A78B2" w:rsidP="005A78B2">
      <w:pPr>
        <w:pStyle w:val="Caption"/>
        <w:jc w:val="center"/>
      </w:pPr>
      <w:bookmarkStart w:id="35" w:name="_Ref422424192"/>
      <w:r w:rsidRPr="005A78B2">
        <w:t xml:space="preserve">Table </w:t>
      </w:r>
      <w:r w:rsidR="00FA6C6B">
        <w:fldChar w:fldCharType="begin"/>
      </w:r>
      <w:r w:rsidR="00FA6C6B">
        <w:instrText xml:space="preserve"> SEQ Table \* ARABIC </w:instrText>
      </w:r>
      <w:r w:rsidR="00FA6C6B">
        <w:fldChar w:fldCharType="separate"/>
      </w:r>
      <w:r w:rsidR="00210048">
        <w:rPr>
          <w:noProof/>
        </w:rPr>
        <w:t>12</w:t>
      </w:r>
      <w:r w:rsidR="00FA6C6B">
        <w:rPr>
          <w:noProof/>
        </w:rPr>
        <w:fldChar w:fldCharType="end"/>
      </w:r>
      <w:bookmarkEnd w:id="35"/>
      <w:r w:rsidRPr="005A78B2">
        <w:t xml:space="preserve"> </w:t>
      </w:r>
      <w:r w:rsidR="00431DFA" w:rsidRPr="005A78B2">
        <w:t>Scenario 3.31 Percentage of occupied hours above 25</w:t>
      </w:r>
      <w:r w:rsidR="00431DFA" w:rsidRPr="005A78B2">
        <w:rPr>
          <w:rFonts w:cs="Arial"/>
        </w:rPr>
        <w:t>°</w:t>
      </w:r>
      <w:r w:rsidR="00431DFA" w:rsidRPr="005A78B2">
        <w:t>C and 28</w:t>
      </w:r>
      <w:r w:rsidR="00431DFA" w:rsidRPr="005A78B2">
        <w:rPr>
          <w:rFonts w:cs="Arial"/>
        </w:rPr>
        <w:t>°</w:t>
      </w:r>
      <w:r w:rsidR="00431DFA" w:rsidRPr="005A78B2">
        <w:t>C.</w:t>
      </w:r>
    </w:p>
    <w:p w14:paraId="53F711FB" w14:textId="77777777" w:rsidR="00431DFA" w:rsidRDefault="00431DFA" w:rsidP="00431DFA">
      <w:pPr>
        <w:pStyle w:val="NumPara"/>
        <w:numPr>
          <w:ilvl w:val="0"/>
          <w:numId w:val="0"/>
        </w:numPr>
        <w:ind w:left="567"/>
        <w:jc w:val="center"/>
      </w:pPr>
    </w:p>
    <w:p w14:paraId="4879BCE6" w14:textId="77777777" w:rsidR="00431DFA" w:rsidRDefault="00431DFA" w:rsidP="00431DFA">
      <w:pPr>
        <w:pStyle w:val="NumPara"/>
        <w:numPr>
          <w:ilvl w:val="0"/>
          <w:numId w:val="0"/>
        </w:numPr>
        <w:ind w:left="567"/>
        <w:jc w:val="center"/>
      </w:pPr>
      <w:r w:rsidRPr="00431DFA">
        <w:rPr>
          <w:noProof/>
          <w:lang w:eastAsia="en-GB"/>
        </w:rPr>
        <w:drawing>
          <wp:inline distT="0" distB="0" distL="0" distR="0" wp14:anchorId="46686950" wp14:editId="2E9CEAE5">
            <wp:extent cx="5580000" cy="2343600"/>
            <wp:effectExtent l="0" t="0" r="190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0000" cy="2343600"/>
                    </a:xfrm>
                    <a:prstGeom prst="rect">
                      <a:avLst/>
                    </a:prstGeom>
                    <a:noFill/>
                    <a:ln>
                      <a:noFill/>
                    </a:ln>
                  </pic:spPr>
                </pic:pic>
              </a:graphicData>
            </a:graphic>
          </wp:inline>
        </w:drawing>
      </w:r>
    </w:p>
    <w:p w14:paraId="0D3A174A" w14:textId="2CE42F2D" w:rsidR="00431DFA" w:rsidRPr="005A78B2" w:rsidRDefault="005A78B2" w:rsidP="005A78B2">
      <w:pPr>
        <w:pStyle w:val="Caption"/>
        <w:jc w:val="center"/>
      </w:pPr>
      <w:bookmarkStart w:id="36" w:name="_Ref422424194"/>
      <w:r w:rsidRPr="005A78B2">
        <w:t xml:space="preserve">Table </w:t>
      </w:r>
      <w:r w:rsidR="00FA6C6B">
        <w:fldChar w:fldCharType="begin"/>
      </w:r>
      <w:r w:rsidR="00FA6C6B">
        <w:instrText xml:space="preserve"> SEQ Table \* ARABIC </w:instrText>
      </w:r>
      <w:r w:rsidR="00FA6C6B">
        <w:fldChar w:fldCharType="separate"/>
      </w:r>
      <w:r w:rsidR="00210048">
        <w:rPr>
          <w:noProof/>
        </w:rPr>
        <w:t>13</w:t>
      </w:r>
      <w:r w:rsidR="00FA6C6B">
        <w:rPr>
          <w:noProof/>
        </w:rPr>
        <w:fldChar w:fldCharType="end"/>
      </w:r>
      <w:bookmarkEnd w:id="36"/>
      <w:r w:rsidRPr="005A78B2">
        <w:t xml:space="preserve"> </w:t>
      </w:r>
      <w:r w:rsidR="00431DFA" w:rsidRPr="005A78B2">
        <w:t>Scenario 3.31 adaptive comfort criteria results.</w:t>
      </w:r>
    </w:p>
    <w:p w14:paraId="089C230A" w14:textId="77777777" w:rsidR="00431DFA" w:rsidRDefault="00431DFA" w:rsidP="00431DFA">
      <w:pPr>
        <w:pStyle w:val="NumPara"/>
        <w:numPr>
          <w:ilvl w:val="0"/>
          <w:numId w:val="0"/>
        </w:numPr>
        <w:ind w:left="567"/>
        <w:jc w:val="center"/>
      </w:pPr>
    </w:p>
    <w:p w14:paraId="4F702190" w14:textId="65B73B66" w:rsidR="003975F5" w:rsidRDefault="00C77BD7" w:rsidP="00C77BD7">
      <w:pPr>
        <w:pStyle w:val="NumPara"/>
      </w:pPr>
      <w:r>
        <w:fldChar w:fldCharType="begin"/>
      </w:r>
      <w:r>
        <w:instrText xml:space="preserve"> REF _Ref422424192 \h </w:instrText>
      </w:r>
      <w:r>
        <w:fldChar w:fldCharType="separate"/>
      </w:r>
      <w:r w:rsidRPr="005A78B2">
        <w:t xml:space="preserve">Table </w:t>
      </w:r>
      <w:r>
        <w:rPr>
          <w:noProof/>
        </w:rPr>
        <w:t>12</w:t>
      </w:r>
      <w:r>
        <w:fldChar w:fldCharType="end"/>
      </w:r>
      <w:r>
        <w:t xml:space="preserve"> and </w:t>
      </w:r>
      <w:r>
        <w:fldChar w:fldCharType="begin"/>
      </w:r>
      <w:r>
        <w:instrText xml:space="preserve"> REF _Ref422424194 \h </w:instrText>
      </w:r>
      <w:r>
        <w:fldChar w:fldCharType="separate"/>
      </w:r>
      <w:r w:rsidRPr="005A78B2">
        <w:t xml:space="preserve">Table </w:t>
      </w:r>
      <w:r w:rsidRPr="005A78B2">
        <w:rPr>
          <w:noProof/>
        </w:rPr>
        <w:t>13</w:t>
      </w:r>
      <w:r>
        <w:fldChar w:fldCharType="end"/>
      </w:r>
      <w:r>
        <w:t xml:space="preserve"> illustrate that the addition of natural</w:t>
      </w:r>
      <w:r w:rsidR="00431DFA">
        <w:t xml:space="preserve"> ventilation reduces the percentage of hours that exceed the absolute metric</w:t>
      </w:r>
      <w:r w:rsidR="00471AA7">
        <w:t>s, to the extent that the L3 bedroom and the kitchen are not considered to excessively overheat. The kitchen in particular overhe</w:t>
      </w:r>
      <w:r>
        <w:t xml:space="preserve">ats less in this scenario than </w:t>
      </w:r>
      <w:r w:rsidR="00F77821">
        <w:t xml:space="preserve">in </w:t>
      </w:r>
      <w:r>
        <w:t>S</w:t>
      </w:r>
      <w:r w:rsidR="00471AA7">
        <w:t>cenario 3.11</w:t>
      </w:r>
      <w:r>
        <w:t>,</w:t>
      </w:r>
      <w:r w:rsidR="00471AA7">
        <w:t xml:space="preserve"> as there are two large windows and one small window providing </w:t>
      </w:r>
      <w:r w:rsidR="009A67CA">
        <w:t>ventilation in</w:t>
      </w:r>
      <w:r w:rsidR="00471AA7">
        <w:t xml:space="preserve"> this space.</w:t>
      </w:r>
      <w:r w:rsidR="00431DFA">
        <w:t xml:space="preserve"> </w:t>
      </w:r>
      <w:r w:rsidR="00471AA7">
        <w:t>W</w:t>
      </w:r>
      <w:r w:rsidR="00431DFA">
        <w:t>hen assessed using the adaptive comfort criteria</w:t>
      </w:r>
      <w:r>
        <w:t>,</w:t>
      </w:r>
      <w:r w:rsidR="00431DFA">
        <w:t xml:space="preserve"> </w:t>
      </w:r>
      <w:r>
        <w:t>all of the rooms are predicted</w:t>
      </w:r>
      <w:r w:rsidR="009A67CA">
        <w:t xml:space="preserve"> to remain within the acceptable thresholds</w:t>
      </w:r>
      <w:r w:rsidR="00471AA7">
        <w:t xml:space="preserve"> when using natural ventilation</w:t>
      </w:r>
      <w:r>
        <w:t>,</w:t>
      </w:r>
      <w:r w:rsidR="00471AA7">
        <w:t xml:space="preserve"> although both the study and lounge do fail criteria </w:t>
      </w:r>
      <w:r w:rsidR="009A67CA">
        <w:t xml:space="preserve">2 </w:t>
      </w:r>
      <w:r w:rsidR="00471AA7">
        <w:t>in all orientations</w:t>
      </w:r>
      <w:r w:rsidR="00903071">
        <w:t>.</w:t>
      </w:r>
    </w:p>
    <w:p w14:paraId="32D937A6" w14:textId="77777777" w:rsidR="00471AA7" w:rsidRDefault="00471AA7" w:rsidP="00C77BD7">
      <w:pPr>
        <w:pStyle w:val="NumPara"/>
        <w:numPr>
          <w:ilvl w:val="0"/>
          <w:numId w:val="0"/>
        </w:numPr>
        <w:ind w:left="567"/>
      </w:pPr>
    </w:p>
    <w:p w14:paraId="52389E4A" w14:textId="77777777" w:rsidR="00471AA7" w:rsidRPr="002D3A66" w:rsidRDefault="00471AA7" w:rsidP="00471AA7">
      <w:pPr>
        <w:pStyle w:val="NumPara"/>
        <w:numPr>
          <w:ilvl w:val="0"/>
          <w:numId w:val="0"/>
        </w:numPr>
        <w:ind w:left="567"/>
        <w:rPr>
          <w:b/>
          <w:i/>
        </w:rPr>
      </w:pPr>
      <w:r>
        <w:rPr>
          <w:b/>
          <w:i/>
        </w:rPr>
        <w:t>Comparison of performance for alternative scenarios</w:t>
      </w:r>
      <w:r w:rsidRPr="002D3A66">
        <w:rPr>
          <w:b/>
          <w:i/>
        </w:rPr>
        <w:t xml:space="preserve"> </w:t>
      </w:r>
    </w:p>
    <w:p w14:paraId="611D658E" w14:textId="42596B48" w:rsidR="00471AA7" w:rsidRDefault="00471AA7" w:rsidP="00471AA7">
      <w:pPr>
        <w:pStyle w:val="NumPara"/>
      </w:pPr>
      <w:r>
        <w:t>It is useful to compare the mean performance from all of the scenarios evaluate</w:t>
      </w:r>
      <w:r w:rsidR="00381B2F">
        <w:t>d</w:t>
      </w:r>
      <w:r w:rsidR="004B3B61">
        <w:t xml:space="preserve"> within</w:t>
      </w:r>
      <w:r>
        <w:t xml:space="preserve"> this report and the report produced for the Innovate UK Innovation Voucher</w:t>
      </w:r>
      <w:r w:rsidR="00CA6290">
        <w:t xml:space="preserve"> (see Johnston, Brooke-Peat and Parker, 2015). As mentioned previously</w:t>
      </w:r>
      <w:r>
        <w:t xml:space="preserve">, although </w:t>
      </w:r>
      <w:r w:rsidR="00256277">
        <w:t>a comparison can be made between the total energy consumed in each scenario</w:t>
      </w:r>
      <w:r w:rsidR="00CA6290">
        <w:t>,</w:t>
      </w:r>
      <w:r w:rsidR="00256277">
        <w:t xml:space="preserve"> this does not provide a </w:t>
      </w:r>
      <w:r w:rsidR="00381B2F">
        <w:t>meaningful</w:t>
      </w:r>
      <w:r w:rsidR="00256277">
        <w:t xml:space="preserve"> compa</w:t>
      </w:r>
      <w:r w:rsidR="00CA6290">
        <w:t>rison between scenarios that have used gas as opposed to electric space and domestic hot water heating</w:t>
      </w:r>
      <w:r w:rsidR="00256277">
        <w:t>. This is due to the higher cost and carbon intensi</w:t>
      </w:r>
      <w:r w:rsidR="00CA6290">
        <w:t>ty of grid supplied electricity. The effect of comparing</w:t>
      </w:r>
      <w:r w:rsidR="00256277">
        <w:t xml:space="preserve"> </w:t>
      </w:r>
      <w:r w:rsidR="00CA6290">
        <w:t xml:space="preserve">the </w:t>
      </w:r>
      <w:r w:rsidR="00256277">
        <w:t xml:space="preserve">scenarios </w:t>
      </w:r>
      <w:r w:rsidR="00CA6290">
        <w:t xml:space="preserve">in such a way </w:t>
      </w:r>
      <w:r w:rsidR="00256277">
        <w:t>is emphasised in</w:t>
      </w:r>
      <w:r w:rsidR="00CA6290">
        <w:t xml:space="preserve"> </w:t>
      </w:r>
      <w:r w:rsidR="00CA6290">
        <w:fldChar w:fldCharType="begin"/>
      </w:r>
      <w:r w:rsidR="00CA6290">
        <w:instrText xml:space="preserve"> REF _Ref422425673 \h </w:instrText>
      </w:r>
      <w:r w:rsidR="00CA6290">
        <w:fldChar w:fldCharType="separate"/>
      </w:r>
      <w:r w:rsidR="00CA6290" w:rsidRPr="00CA6290">
        <w:t xml:space="preserve">Figure </w:t>
      </w:r>
      <w:r w:rsidR="00CA6290">
        <w:rPr>
          <w:noProof/>
        </w:rPr>
        <w:t>17</w:t>
      </w:r>
      <w:r w:rsidR="00CA6290">
        <w:fldChar w:fldCharType="end"/>
      </w:r>
      <w:r w:rsidR="00CA6290">
        <w:t xml:space="preserve"> and </w:t>
      </w:r>
      <w:r w:rsidR="00CA6290">
        <w:fldChar w:fldCharType="begin"/>
      </w:r>
      <w:r w:rsidR="00CA6290">
        <w:instrText xml:space="preserve"> REF _Ref422425674 \h </w:instrText>
      </w:r>
      <w:r w:rsidR="00CA6290">
        <w:fldChar w:fldCharType="separate"/>
      </w:r>
      <w:r w:rsidR="00CA6290" w:rsidRPr="00CA6290">
        <w:t xml:space="preserve">Figure </w:t>
      </w:r>
      <w:r w:rsidR="00CA6290" w:rsidRPr="00CA6290">
        <w:rPr>
          <w:noProof/>
        </w:rPr>
        <w:t>18</w:t>
      </w:r>
      <w:r w:rsidR="00CA6290">
        <w:fldChar w:fldCharType="end"/>
      </w:r>
      <w:r w:rsidR="00256277">
        <w:t>.</w:t>
      </w:r>
    </w:p>
    <w:p w14:paraId="3FCDEF46" w14:textId="77777777" w:rsidR="00C34AC7" w:rsidRDefault="00C34AC7" w:rsidP="00C34AC7">
      <w:pPr>
        <w:pStyle w:val="NumPara"/>
        <w:numPr>
          <w:ilvl w:val="0"/>
          <w:numId w:val="0"/>
        </w:numPr>
      </w:pPr>
    </w:p>
    <w:p w14:paraId="5A611F7A" w14:textId="77777777" w:rsidR="00C34AC7" w:rsidRDefault="00C34AC7" w:rsidP="00C34AC7">
      <w:pPr>
        <w:pStyle w:val="NumPara"/>
        <w:numPr>
          <w:ilvl w:val="0"/>
          <w:numId w:val="0"/>
        </w:numPr>
      </w:pPr>
      <w:r>
        <w:rPr>
          <w:noProof/>
          <w:lang w:eastAsia="en-GB"/>
        </w:rPr>
        <w:lastRenderedPageBreak/>
        <w:drawing>
          <wp:inline distT="0" distB="0" distL="0" distR="0" wp14:anchorId="54EC1BF2" wp14:editId="00F8FB12">
            <wp:extent cx="5943600" cy="2497015"/>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331DCB" w14:textId="5AAB6EFA" w:rsidR="00807166" w:rsidRPr="00CA6290" w:rsidRDefault="00CA6290" w:rsidP="00CA6290">
      <w:pPr>
        <w:pStyle w:val="Caption"/>
        <w:jc w:val="center"/>
      </w:pPr>
      <w:bookmarkStart w:id="37" w:name="_Ref422425673"/>
      <w:r w:rsidRPr="00CA6290">
        <w:t xml:space="preserve">Figure </w:t>
      </w:r>
      <w:r w:rsidR="00FA6C6B">
        <w:fldChar w:fldCharType="begin"/>
      </w:r>
      <w:r w:rsidR="00FA6C6B">
        <w:instrText xml:space="preserve"> SEQ Figure \* ARABIC </w:instrText>
      </w:r>
      <w:r w:rsidR="00FA6C6B">
        <w:fldChar w:fldCharType="separate"/>
      </w:r>
      <w:r w:rsidR="002712F1">
        <w:rPr>
          <w:noProof/>
        </w:rPr>
        <w:t>17</w:t>
      </w:r>
      <w:r w:rsidR="00FA6C6B">
        <w:rPr>
          <w:noProof/>
        </w:rPr>
        <w:fldChar w:fldCharType="end"/>
      </w:r>
      <w:bookmarkEnd w:id="37"/>
      <w:r w:rsidRPr="00CA6290">
        <w:t xml:space="preserve"> </w:t>
      </w:r>
      <w:r w:rsidR="00807166" w:rsidRPr="00CA6290">
        <w:t xml:space="preserve">Comparison of </w:t>
      </w:r>
      <w:r w:rsidR="00A66A5E" w:rsidRPr="00CA6290">
        <w:t xml:space="preserve">mean </w:t>
      </w:r>
      <w:r w:rsidR="00807166" w:rsidRPr="00CA6290">
        <w:t>energy consumption for Leeds based scenarios.</w:t>
      </w:r>
    </w:p>
    <w:p w14:paraId="3B0AD9C0" w14:textId="77777777" w:rsidR="00807166" w:rsidRDefault="00807166" w:rsidP="00807166">
      <w:pPr>
        <w:pStyle w:val="NumPara"/>
        <w:numPr>
          <w:ilvl w:val="0"/>
          <w:numId w:val="0"/>
        </w:numPr>
        <w:jc w:val="center"/>
        <w:rPr>
          <w:b/>
        </w:rPr>
      </w:pPr>
    </w:p>
    <w:p w14:paraId="2A506EE5" w14:textId="77777777" w:rsidR="00807166" w:rsidRDefault="00807166" w:rsidP="007B4A81">
      <w:pPr>
        <w:pStyle w:val="NumPara"/>
        <w:numPr>
          <w:ilvl w:val="0"/>
          <w:numId w:val="0"/>
        </w:numPr>
        <w:jc w:val="center"/>
        <w:rPr>
          <w:b/>
        </w:rPr>
      </w:pPr>
      <w:r>
        <w:rPr>
          <w:noProof/>
          <w:lang w:eastAsia="en-GB"/>
        </w:rPr>
        <w:drawing>
          <wp:inline distT="0" distB="0" distL="0" distR="0" wp14:anchorId="6AC48115" wp14:editId="0F98EE88">
            <wp:extent cx="5943600" cy="2453054"/>
            <wp:effectExtent l="0" t="0" r="0" b="444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ABB205B" w14:textId="60D56B61" w:rsidR="00807166" w:rsidRPr="00CA6290" w:rsidRDefault="00CA6290" w:rsidP="00CA6290">
      <w:pPr>
        <w:pStyle w:val="Caption"/>
        <w:jc w:val="center"/>
      </w:pPr>
      <w:bookmarkStart w:id="38" w:name="_Ref422425674"/>
      <w:r w:rsidRPr="00CA6290">
        <w:t xml:space="preserve">Figure </w:t>
      </w:r>
      <w:r w:rsidR="00FA6C6B">
        <w:fldChar w:fldCharType="begin"/>
      </w:r>
      <w:r w:rsidR="00FA6C6B">
        <w:instrText xml:space="preserve"> SEQ Figure \* ARABIC </w:instrText>
      </w:r>
      <w:r w:rsidR="00FA6C6B">
        <w:fldChar w:fldCharType="separate"/>
      </w:r>
      <w:r w:rsidR="002712F1">
        <w:rPr>
          <w:noProof/>
        </w:rPr>
        <w:t>18</w:t>
      </w:r>
      <w:r w:rsidR="00FA6C6B">
        <w:rPr>
          <w:noProof/>
        </w:rPr>
        <w:fldChar w:fldCharType="end"/>
      </w:r>
      <w:bookmarkEnd w:id="38"/>
      <w:r w:rsidRPr="00CA6290">
        <w:t xml:space="preserve"> </w:t>
      </w:r>
      <w:r w:rsidR="00807166" w:rsidRPr="00CA6290">
        <w:t xml:space="preserve">Comparison of </w:t>
      </w:r>
      <w:r w:rsidR="00A66A5E" w:rsidRPr="00CA6290">
        <w:t xml:space="preserve">mean </w:t>
      </w:r>
      <w:r w:rsidR="00807166" w:rsidRPr="00CA6290">
        <w:t>CO</w:t>
      </w:r>
      <w:r w:rsidR="00807166" w:rsidRPr="00CA6290">
        <w:rPr>
          <w:vertAlign w:val="subscript"/>
        </w:rPr>
        <w:t>2</w:t>
      </w:r>
      <w:r w:rsidR="00807166" w:rsidRPr="00CA6290">
        <w:t xml:space="preserve"> emission</w:t>
      </w:r>
      <w:r w:rsidR="0036778C">
        <w:t>s</w:t>
      </w:r>
      <w:r w:rsidR="00807166" w:rsidRPr="00CA6290">
        <w:t xml:space="preserve"> for Leeds based scenarios.</w:t>
      </w:r>
    </w:p>
    <w:p w14:paraId="27D522BE" w14:textId="77777777" w:rsidR="00807166" w:rsidRPr="00807166" w:rsidRDefault="00807166" w:rsidP="00807166">
      <w:pPr>
        <w:pStyle w:val="NumPara"/>
        <w:numPr>
          <w:ilvl w:val="0"/>
          <w:numId w:val="0"/>
        </w:numPr>
        <w:rPr>
          <w:b/>
        </w:rPr>
      </w:pPr>
    </w:p>
    <w:p w14:paraId="36A2AB24" w14:textId="469BC4B0" w:rsidR="00471AA7" w:rsidRDefault="00187DF5" w:rsidP="0036778C">
      <w:pPr>
        <w:pStyle w:val="NumPara"/>
      </w:pPr>
      <w:r>
        <w:t>Based upon a comparison of</w:t>
      </w:r>
      <w:r w:rsidR="00DD0DE3">
        <w:t xml:space="preserve"> mean energy consumption alone, S</w:t>
      </w:r>
      <w:r>
        <w:t>cenarios 2.1 to</w:t>
      </w:r>
      <w:r w:rsidR="00A66A5E">
        <w:t xml:space="preserve"> 3.3 are considerably more efficient than the scenarios </w:t>
      </w:r>
      <w:r>
        <w:t xml:space="preserve">that incorporate a </w:t>
      </w:r>
      <w:r w:rsidR="00A66A5E">
        <w:t>gas</w:t>
      </w:r>
      <w:r>
        <w:t>-fired space and domestic hot water heating</w:t>
      </w:r>
      <w:r w:rsidR="00A66A5E">
        <w:t xml:space="preserve"> system</w:t>
      </w:r>
      <w:r>
        <w:t>. Total energy consumption in S</w:t>
      </w:r>
      <w:r w:rsidR="00A66A5E">
        <w:t>cenario 1.1 is almost do</w:t>
      </w:r>
      <w:r w:rsidR="00381B2F">
        <w:t>uble</w:t>
      </w:r>
      <w:r w:rsidR="0036778C">
        <w:t xml:space="preserve"> that estimated in S</w:t>
      </w:r>
      <w:r w:rsidR="00A66A5E">
        <w:t>cenario 2.1. However, when total CO</w:t>
      </w:r>
      <w:r w:rsidR="00A66A5E" w:rsidRPr="00187DF5">
        <w:rPr>
          <w:vertAlign w:val="subscript"/>
        </w:rPr>
        <w:t>2</w:t>
      </w:r>
      <w:r w:rsidR="00A66A5E">
        <w:t xml:space="preserve"> emissions are considered, performance between all</w:t>
      </w:r>
      <w:r w:rsidR="0036778C">
        <w:t xml:space="preserve"> of the scenarios tested is less varied. </w:t>
      </w:r>
      <w:r w:rsidR="00A66A5E">
        <w:t xml:space="preserve">It is only the high </w:t>
      </w:r>
      <w:proofErr w:type="spellStart"/>
      <w:r w:rsidR="00A66A5E">
        <w:t>CoP</w:t>
      </w:r>
      <w:proofErr w:type="spellEnd"/>
      <w:r w:rsidR="00A66A5E">
        <w:t xml:space="preserve"> of the heat pump system that results in low</w:t>
      </w:r>
      <w:r w:rsidR="0036778C">
        <w:t xml:space="preserve">er emissions in Scenarios 2.1 to </w:t>
      </w:r>
      <w:r w:rsidR="00A66A5E">
        <w:t xml:space="preserve">3.3 when compared with 1.1 and 1.2. A similar situation may be apparent if annual energy costs for </w:t>
      </w:r>
      <w:r w:rsidR="0036778C">
        <w:t xml:space="preserve">all of </w:t>
      </w:r>
      <w:r w:rsidR="00A66A5E">
        <w:t>the alternative scenarios were compared</w:t>
      </w:r>
      <w:r w:rsidR="0036778C">
        <w:t>,</w:t>
      </w:r>
      <w:r w:rsidR="00A66A5E">
        <w:t xml:space="preserve"> although this is outside the scope of this report.</w:t>
      </w:r>
    </w:p>
    <w:p w14:paraId="198C4EEF" w14:textId="77777777" w:rsidR="00A66A5E" w:rsidRDefault="00A66A5E" w:rsidP="00A66A5E">
      <w:pPr>
        <w:pStyle w:val="NumPara"/>
        <w:numPr>
          <w:ilvl w:val="0"/>
          <w:numId w:val="0"/>
        </w:numPr>
        <w:ind w:left="567"/>
      </w:pPr>
    </w:p>
    <w:p w14:paraId="36BCEBE9" w14:textId="77777777" w:rsidR="00471AA7" w:rsidRPr="002D3A66" w:rsidRDefault="00471AA7" w:rsidP="00471AA7">
      <w:pPr>
        <w:pStyle w:val="NumPara"/>
        <w:numPr>
          <w:ilvl w:val="0"/>
          <w:numId w:val="0"/>
        </w:numPr>
        <w:ind w:left="567"/>
        <w:rPr>
          <w:b/>
          <w:i/>
        </w:rPr>
      </w:pPr>
      <w:r>
        <w:rPr>
          <w:b/>
          <w:i/>
        </w:rPr>
        <w:t>Performance in alternative geographic locations within the UK</w:t>
      </w:r>
      <w:r w:rsidRPr="002D3A66">
        <w:rPr>
          <w:b/>
          <w:i/>
        </w:rPr>
        <w:t xml:space="preserve"> </w:t>
      </w:r>
    </w:p>
    <w:p w14:paraId="08B30F42" w14:textId="5C957FA9" w:rsidR="00A12C69" w:rsidRDefault="00A12C69" w:rsidP="00A12C69">
      <w:pPr>
        <w:pStyle w:val="NumPara"/>
      </w:pPr>
      <w:r>
        <w:t>As part of this work</w:t>
      </w:r>
      <w:r w:rsidR="00894361">
        <w:t>,</w:t>
      </w:r>
      <w:r>
        <w:t xml:space="preserve"> simulations were produced to estimate the performance of the </w:t>
      </w:r>
      <w:r w:rsidR="00894361">
        <w:t xml:space="preserve">prototype </w:t>
      </w:r>
      <w:r>
        <w:t>dwelling in the fourteen different CIBSE weather locations</w:t>
      </w:r>
      <w:r w:rsidR="00471AA7">
        <w:t>.</w:t>
      </w:r>
      <w:r>
        <w:t xml:space="preserve"> The TRY files were used to estimate annual </w:t>
      </w:r>
      <w:r w:rsidR="00894361">
        <w:t xml:space="preserve">energy </w:t>
      </w:r>
      <w:r>
        <w:t>consumption and the DSY files were used to evaluate overheating. All versions of the model are assumed to be south facing (orientated to 180</w:t>
      </w:r>
      <w:r>
        <w:rPr>
          <w:rFonts w:cs="Arial"/>
        </w:rPr>
        <w:t>°</w:t>
      </w:r>
      <w:r>
        <w:t>).</w:t>
      </w:r>
      <w:r w:rsidR="00701EE4">
        <w:t xml:space="preserve"> Locations </w:t>
      </w:r>
      <w:r w:rsidR="00381B2F">
        <w:t>are listed in order of Latitude,</w:t>
      </w:r>
      <w:r w:rsidR="00701EE4">
        <w:t xml:space="preserve"> from the furthest south to the furthest north.</w:t>
      </w:r>
    </w:p>
    <w:p w14:paraId="585D00A3" w14:textId="77777777" w:rsidR="00A12C69" w:rsidRDefault="00A12C69" w:rsidP="00A12C69">
      <w:pPr>
        <w:pStyle w:val="NumPara"/>
        <w:numPr>
          <w:ilvl w:val="0"/>
          <w:numId w:val="0"/>
        </w:numPr>
        <w:ind w:left="567"/>
      </w:pPr>
    </w:p>
    <w:p w14:paraId="02EE46C2" w14:textId="77777777" w:rsidR="00A12C69" w:rsidRPr="00A12C69" w:rsidRDefault="00A12C69" w:rsidP="00A12C69">
      <w:pPr>
        <w:pStyle w:val="NumPara"/>
        <w:numPr>
          <w:ilvl w:val="0"/>
          <w:numId w:val="0"/>
        </w:numPr>
        <w:ind w:left="567"/>
        <w:rPr>
          <w:b/>
          <w:i/>
        </w:rPr>
      </w:pPr>
      <w:r w:rsidRPr="00A12C69">
        <w:rPr>
          <w:b/>
          <w:i/>
        </w:rPr>
        <w:t>Scenario 4.1 – SAP inputs in different geographical locations.</w:t>
      </w:r>
    </w:p>
    <w:p w14:paraId="0A1D3647" w14:textId="78865787" w:rsidR="00FA66F2" w:rsidRDefault="00A12C69" w:rsidP="00FA66F2">
      <w:pPr>
        <w:pStyle w:val="NumPara"/>
      </w:pPr>
      <w:r>
        <w:t>Results for end-use energy consumption and space heating consumptio</w:t>
      </w:r>
      <w:r w:rsidR="0005385D">
        <w:t xml:space="preserve">n are shown in </w:t>
      </w:r>
      <w:r w:rsidR="0005385D">
        <w:fldChar w:fldCharType="begin"/>
      </w:r>
      <w:r w:rsidR="0005385D">
        <w:instrText xml:space="preserve"> REF _Ref422427499 \h </w:instrText>
      </w:r>
      <w:r w:rsidR="0005385D">
        <w:fldChar w:fldCharType="separate"/>
      </w:r>
      <w:r w:rsidR="0005385D" w:rsidRPr="00894361">
        <w:t xml:space="preserve">Figure </w:t>
      </w:r>
      <w:r w:rsidR="0005385D">
        <w:rPr>
          <w:noProof/>
        </w:rPr>
        <w:t>19</w:t>
      </w:r>
      <w:r w:rsidR="0005385D">
        <w:fldChar w:fldCharType="end"/>
      </w:r>
      <w:r w:rsidR="0005385D">
        <w:t xml:space="preserve"> and </w:t>
      </w:r>
      <w:r w:rsidR="0005385D">
        <w:fldChar w:fldCharType="begin"/>
      </w:r>
      <w:r w:rsidR="0005385D">
        <w:instrText xml:space="preserve"> REF _Ref422427500 \h </w:instrText>
      </w:r>
      <w:r w:rsidR="0005385D">
        <w:fldChar w:fldCharType="separate"/>
      </w:r>
      <w:r w:rsidR="0005385D" w:rsidRPr="00894361">
        <w:t xml:space="preserve">Figure </w:t>
      </w:r>
      <w:r w:rsidR="0005385D" w:rsidRPr="00894361">
        <w:rPr>
          <w:noProof/>
        </w:rPr>
        <w:t>20</w:t>
      </w:r>
      <w:r w:rsidR="0005385D">
        <w:fldChar w:fldCharType="end"/>
      </w:r>
      <w:r>
        <w:t xml:space="preserve">. There is a wide range of predicted performance across these locations. The </w:t>
      </w:r>
      <w:r w:rsidR="0083552B">
        <w:t xml:space="preserve">lowest </w:t>
      </w:r>
      <w:r w:rsidR="0083552B">
        <w:lastRenderedPageBreak/>
        <w:t>consumption would be 57.65 kWh/m</w:t>
      </w:r>
      <w:r w:rsidR="0083552B" w:rsidRPr="00B363CB">
        <w:rPr>
          <w:vertAlign w:val="superscript"/>
        </w:rPr>
        <w:t>2</w:t>
      </w:r>
      <w:r w:rsidR="0083552B">
        <w:t xml:space="preserve">/year in Plymouth, whilst the </w:t>
      </w:r>
      <w:r>
        <w:t xml:space="preserve">maximum energy consumption would be experienced in </w:t>
      </w:r>
      <w:r w:rsidR="00C65FF4">
        <w:t>Glasgow</w:t>
      </w:r>
      <w:r w:rsidR="0083552B">
        <w:t xml:space="preserve">, </w:t>
      </w:r>
      <w:r>
        <w:t xml:space="preserve">with a total consumption of </w:t>
      </w:r>
      <w:r w:rsidR="00C65FF4">
        <w:t>60</w:t>
      </w:r>
      <w:r>
        <w:t>.</w:t>
      </w:r>
      <w:r w:rsidR="00C65FF4">
        <w:t>56</w:t>
      </w:r>
      <w:r>
        <w:t xml:space="preserve"> kWh/m</w:t>
      </w:r>
      <w:r w:rsidRPr="00B363CB">
        <w:rPr>
          <w:vertAlign w:val="superscript"/>
        </w:rPr>
        <w:t>2</w:t>
      </w:r>
      <w:r w:rsidR="0083552B">
        <w:t xml:space="preserve">/year. </w:t>
      </w:r>
      <w:r w:rsidR="00C65FF4">
        <w:t>The mean across all sites was 59.27 kWh/m</w:t>
      </w:r>
      <w:r w:rsidR="00C65FF4" w:rsidRPr="00B363CB">
        <w:rPr>
          <w:vertAlign w:val="superscript"/>
        </w:rPr>
        <w:t>2</w:t>
      </w:r>
      <w:r w:rsidR="00C65FF4">
        <w:t>/year.</w:t>
      </w:r>
    </w:p>
    <w:p w14:paraId="1DB8054F" w14:textId="77777777" w:rsidR="00FA66F2" w:rsidRDefault="00FA66F2" w:rsidP="00FA66F2">
      <w:pPr>
        <w:pStyle w:val="NumPara"/>
        <w:numPr>
          <w:ilvl w:val="0"/>
          <w:numId w:val="0"/>
        </w:numPr>
        <w:ind w:left="567"/>
      </w:pPr>
    </w:p>
    <w:p w14:paraId="37B0650F" w14:textId="77777777" w:rsidR="00FA66F2" w:rsidRDefault="002064F9" w:rsidP="002064F9">
      <w:pPr>
        <w:pStyle w:val="NumPara"/>
        <w:numPr>
          <w:ilvl w:val="0"/>
          <w:numId w:val="0"/>
        </w:numPr>
        <w:ind w:left="567" w:hanging="567"/>
      </w:pPr>
      <w:r>
        <w:rPr>
          <w:noProof/>
          <w:lang w:eastAsia="en-GB"/>
        </w:rPr>
        <w:drawing>
          <wp:inline distT="0" distB="0" distL="0" distR="0" wp14:anchorId="790385A2" wp14:editId="172A9AD4">
            <wp:extent cx="5943600" cy="2532184"/>
            <wp:effectExtent l="0" t="0" r="0" b="190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521B1FA" w14:textId="169C6ED2" w:rsidR="007B4A81" w:rsidRDefault="00894361" w:rsidP="00894361">
      <w:pPr>
        <w:pStyle w:val="Caption"/>
        <w:jc w:val="center"/>
      </w:pPr>
      <w:bookmarkStart w:id="39" w:name="_Ref422427499"/>
      <w:r w:rsidRPr="00894361">
        <w:t xml:space="preserve">Figure </w:t>
      </w:r>
      <w:r w:rsidR="00FA6C6B">
        <w:fldChar w:fldCharType="begin"/>
      </w:r>
      <w:r w:rsidR="00FA6C6B">
        <w:instrText xml:space="preserve"> SEQ Figure \* ARABIC </w:instrText>
      </w:r>
      <w:r w:rsidR="00FA6C6B">
        <w:fldChar w:fldCharType="separate"/>
      </w:r>
      <w:r w:rsidR="002712F1">
        <w:rPr>
          <w:noProof/>
        </w:rPr>
        <w:t>19</w:t>
      </w:r>
      <w:r w:rsidR="00FA6C6B">
        <w:rPr>
          <w:noProof/>
        </w:rPr>
        <w:fldChar w:fldCharType="end"/>
      </w:r>
      <w:bookmarkEnd w:id="39"/>
      <w:r w:rsidRPr="00894361">
        <w:t xml:space="preserve"> </w:t>
      </w:r>
      <w:r w:rsidR="007B4A81" w:rsidRPr="00894361">
        <w:t>Scenario 4.1 end-use energy consumption in different CIBSE locations.</w:t>
      </w:r>
    </w:p>
    <w:p w14:paraId="0D02053F" w14:textId="77777777" w:rsidR="00894361" w:rsidRPr="00894361" w:rsidRDefault="00894361" w:rsidP="00894361"/>
    <w:p w14:paraId="0A542ECE" w14:textId="77777777" w:rsidR="00894361" w:rsidRPr="00894361" w:rsidRDefault="00894361" w:rsidP="00894361"/>
    <w:p w14:paraId="78B5848E" w14:textId="77777777" w:rsidR="002064F9" w:rsidRDefault="007B4A81" w:rsidP="002064F9">
      <w:pPr>
        <w:pStyle w:val="NumPara"/>
        <w:numPr>
          <w:ilvl w:val="0"/>
          <w:numId w:val="0"/>
        </w:numPr>
        <w:ind w:left="567" w:hanging="567"/>
        <w:jc w:val="center"/>
      </w:pPr>
      <w:r>
        <w:rPr>
          <w:noProof/>
          <w:lang w:eastAsia="en-GB"/>
        </w:rPr>
        <w:drawing>
          <wp:inline distT="0" distB="0" distL="0" distR="0" wp14:anchorId="58827DF9" wp14:editId="212793D3">
            <wp:extent cx="5655468" cy="2655093"/>
            <wp:effectExtent l="0" t="0" r="254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6AB3963" w14:textId="059A56D6" w:rsidR="007B4A81" w:rsidRPr="00894361" w:rsidRDefault="00894361" w:rsidP="00894361">
      <w:pPr>
        <w:pStyle w:val="Caption"/>
        <w:jc w:val="center"/>
      </w:pPr>
      <w:bookmarkStart w:id="40" w:name="_Ref422427500"/>
      <w:r w:rsidRPr="00894361">
        <w:t xml:space="preserve">Figure </w:t>
      </w:r>
      <w:r w:rsidR="00FA6C6B">
        <w:fldChar w:fldCharType="begin"/>
      </w:r>
      <w:r w:rsidR="00FA6C6B">
        <w:instrText xml:space="preserve"> SEQ Figure \* ARABIC </w:instrText>
      </w:r>
      <w:r w:rsidR="00FA6C6B">
        <w:fldChar w:fldCharType="separate"/>
      </w:r>
      <w:r w:rsidR="002712F1">
        <w:rPr>
          <w:noProof/>
        </w:rPr>
        <w:t>20</w:t>
      </w:r>
      <w:r w:rsidR="00FA6C6B">
        <w:rPr>
          <w:noProof/>
        </w:rPr>
        <w:fldChar w:fldCharType="end"/>
      </w:r>
      <w:bookmarkEnd w:id="40"/>
      <w:r w:rsidRPr="00894361">
        <w:t xml:space="preserve"> </w:t>
      </w:r>
      <w:r w:rsidR="007B4A81" w:rsidRPr="00894361">
        <w:t>Scenario 4.1 space heating energy consumption.</w:t>
      </w:r>
    </w:p>
    <w:p w14:paraId="51C58A44" w14:textId="77777777" w:rsidR="002064F9" w:rsidRDefault="002064F9" w:rsidP="002064F9">
      <w:pPr>
        <w:pStyle w:val="NumPara"/>
        <w:numPr>
          <w:ilvl w:val="0"/>
          <w:numId w:val="0"/>
        </w:numPr>
        <w:ind w:left="567" w:hanging="567"/>
        <w:jc w:val="center"/>
      </w:pPr>
    </w:p>
    <w:p w14:paraId="6A8F46C1" w14:textId="77777777" w:rsidR="00D81BBC" w:rsidRDefault="00A90A85" w:rsidP="00D81BBC">
      <w:pPr>
        <w:pStyle w:val="NumPara"/>
      </w:pPr>
      <w:r>
        <w:t xml:space="preserve">The range of performance across </w:t>
      </w:r>
      <w:r w:rsidR="00701EE4">
        <w:t xml:space="preserve">the locations </w:t>
      </w:r>
      <w:r>
        <w:t xml:space="preserve">in terms of overheating is similar to that for overall energy consumption. </w:t>
      </w:r>
      <w:r w:rsidR="00D81BBC">
        <w:t>Results for S</w:t>
      </w:r>
      <w:r w:rsidR="00FA66F2">
        <w:t>cenario 4.11 a</w:t>
      </w:r>
      <w:r w:rsidR="00337A2D">
        <w:t xml:space="preserve">re presented in </w:t>
      </w:r>
      <w:r w:rsidR="00337A2D">
        <w:fldChar w:fldCharType="begin"/>
      </w:r>
      <w:r w:rsidR="00337A2D">
        <w:instrText xml:space="preserve"> REF _Ref422427681 \h </w:instrText>
      </w:r>
      <w:r w:rsidR="00337A2D">
        <w:fldChar w:fldCharType="separate"/>
      </w:r>
      <w:r w:rsidR="00337A2D" w:rsidRPr="00337A2D">
        <w:t xml:space="preserve">Table </w:t>
      </w:r>
      <w:r w:rsidR="00337A2D">
        <w:rPr>
          <w:noProof/>
        </w:rPr>
        <w:t>14</w:t>
      </w:r>
      <w:r w:rsidR="00337A2D">
        <w:fldChar w:fldCharType="end"/>
      </w:r>
      <w:r w:rsidR="00337A2D">
        <w:t xml:space="preserve"> and </w:t>
      </w:r>
      <w:r w:rsidR="00337A2D">
        <w:fldChar w:fldCharType="begin"/>
      </w:r>
      <w:r w:rsidR="00337A2D">
        <w:instrText xml:space="preserve"> REF _Ref422427682 \h </w:instrText>
      </w:r>
      <w:r w:rsidR="00337A2D">
        <w:fldChar w:fldCharType="separate"/>
      </w:r>
      <w:r w:rsidR="00337A2D" w:rsidRPr="00337A2D">
        <w:t xml:space="preserve">Table </w:t>
      </w:r>
      <w:r w:rsidR="00337A2D" w:rsidRPr="00337A2D">
        <w:rPr>
          <w:noProof/>
        </w:rPr>
        <w:t>15</w:t>
      </w:r>
      <w:r w:rsidR="00337A2D">
        <w:fldChar w:fldCharType="end"/>
      </w:r>
      <w:r w:rsidR="00FA66F2">
        <w:t xml:space="preserve">. </w:t>
      </w:r>
      <w:r>
        <w:t xml:space="preserve">Many of the more northern </w:t>
      </w:r>
      <w:r w:rsidR="00701EE4">
        <w:t xml:space="preserve">and costal </w:t>
      </w:r>
      <w:r>
        <w:t>site</w:t>
      </w:r>
      <w:r w:rsidR="00701EE4">
        <w:t xml:space="preserve">s </w:t>
      </w:r>
      <w:r w:rsidR="00C65FF4">
        <w:t>overheat</w:t>
      </w:r>
      <w:r w:rsidR="00337A2D">
        <w:t xml:space="preserve"> less frequently, as would b</w:t>
      </w:r>
      <w:r w:rsidR="00D81BBC">
        <w:t>e expected. However,</w:t>
      </w:r>
      <w:r w:rsidR="00337A2D">
        <w:t xml:space="preserve"> at</w:t>
      </w:r>
      <w:r w:rsidR="00701EE4">
        <w:t xml:space="preserve"> all sites</w:t>
      </w:r>
      <w:r w:rsidR="00FA66F2">
        <w:t>,</w:t>
      </w:r>
      <w:r w:rsidR="00701EE4">
        <w:t xml:space="preserve"> the lounge, study and kitchen all exceed the 25</w:t>
      </w:r>
      <w:r w:rsidR="00701EE4">
        <w:rPr>
          <w:rFonts w:cs="Arial"/>
        </w:rPr>
        <w:t>°</w:t>
      </w:r>
      <w:r w:rsidR="00701EE4">
        <w:t xml:space="preserve">C </w:t>
      </w:r>
      <w:r w:rsidR="00337A2D">
        <w:t xml:space="preserve">absolute </w:t>
      </w:r>
      <w:r w:rsidR="00701EE4">
        <w:t xml:space="preserve">threshold. It is of particular note that the locations experiencing the greatest overheating are within large cities, specifically London, Birmingham, Manchester and Leeds. </w:t>
      </w:r>
      <w:r w:rsidR="00337A2D">
        <w:t xml:space="preserve">It is likely that part of the reason for the greater degree of overheating may be attributable to the </w:t>
      </w:r>
      <w:r w:rsidR="00D81BBC">
        <w:t>urban heat island effect.</w:t>
      </w:r>
    </w:p>
    <w:p w14:paraId="225643D9" w14:textId="159A3C0C" w:rsidR="00FA66F2" w:rsidRDefault="00EA3F59" w:rsidP="00D81BBC">
      <w:pPr>
        <w:pStyle w:val="NumPara"/>
      </w:pPr>
      <w:r>
        <w:t xml:space="preserve">When </w:t>
      </w:r>
      <w:r w:rsidR="00D81BBC">
        <w:t xml:space="preserve">he results are </w:t>
      </w:r>
      <w:r>
        <w:t xml:space="preserve">analysed in terms of the adaptive comfort criteria, </w:t>
      </w:r>
      <w:r w:rsidR="00D81BBC">
        <w:t xml:space="preserve">although all of the large city locations mentioned above are more tolerable, </w:t>
      </w:r>
      <w:r w:rsidR="00D81BBC" w:rsidRPr="00D81BBC">
        <w:t>t</w:t>
      </w:r>
      <w:r w:rsidR="00D81BBC">
        <w:t>he lounge, study and kitchen tends to</w:t>
      </w:r>
      <w:r w:rsidR="00D81BBC" w:rsidRPr="00D81BBC">
        <w:t xml:space="preserve"> fail against at least two of the criteria</w:t>
      </w:r>
      <w:r w:rsidR="00D81BBC">
        <w:t>. The only exception to this is Manchester, where the study falls within an acceptable range. The site that is predicted to overheat the most excessively is London, where the L6 bedroom fails</w:t>
      </w:r>
      <w:r w:rsidR="00701EE4">
        <w:t xml:space="preserve"> against all three </w:t>
      </w:r>
      <w:r w:rsidR="00D81BBC">
        <w:t xml:space="preserve">adaptive comfort </w:t>
      </w:r>
      <w:r w:rsidR="00701EE4">
        <w:t xml:space="preserve">criteria along with the lounge, study and kitchen.  </w:t>
      </w:r>
    </w:p>
    <w:p w14:paraId="627599F2" w14:textId="77777777" w:rsidR="00FA66F2" w:rsidRDefault="00FA66F2" w:rsidP="00FA66F2">
      <w:pPr>
        <w:pStyle w:val="NumPara"/>
        <w:numPr>
          <w:ilvl w:val="0"/>
          <w:numId w:val="0"/>
        </w:numPr>
        <w:ind w:left="567"/>
      </w:pPr>
    </w:p>
    <w:p w14:paraId="549FC901" w14:textId="77777777" w:rsidR="00FA66F2" w:rsidRDefault="00FA66F2" w:rsidP="00FA66F2">
      <w:pPr>
        <w:pStyle w:val="NumPara"/>
        <w:numPr>
          <w:ilvl w:val="0"/>
          <w:numId w:val="0"/>
        </w:numPr>
        <w:ind w:left="567"/>
        <w:jc w:val="center"/>
      </w:pPr>
      <w:r w:rsidRPr="00FA66F2">
        <w:rPr>
          <w:noProof/>
          <w:lang w:eastAsia="en-GB"/>
        </w:rPr>
        <w:drawing>
          <wp:inline distT="0" distB="0" distL="0" distR="0" wp14:anchorId="065EBB61" wp14:editId="7B4734C7">
            <wp:extent cx="5580000" cy="2401200"/>
            <wp:effectExtent l="0" t="0" r="190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0000" cy="2401200"/>
                    </a:xfrm>
                    <a:prstGeom prst="rect">
                      <a:avLst/>
                    </a:prstGeom>
                    <a:noFill/>
                    <a:ln>
                      <a:noFill/>
                    </a:ln>
                  </pic:spPr>
                </pic:pic>
              </a:graphicData>
            </a:graphic>
          </wp:inline>
        </w:drawing>
      </w:r>
    </w:p>
    <w:p w14:paraId="40E03CF0" w14:textId="430DA705" w:rsidR="00FA66F2" w:rsidRPr="00337A2D" w:rsidRDefault="00337A2D" w:rsidP="00337A2D">
      <w:pPr>
        <w:pStyle w:val="Caption"/>
        <w:jc w:val="center"/>
      </w:pPr>
      <w:bookmarkStart w:id="41" w:name="_Ref422427681"/>
      <w:r w:rsidRPr="00337A2D">
        <w:t xml:space="preserve">Table </w:t>
      </w:r>
      <w:r w:rsidR="00FA6C6B">
        <w:fldChar w:fldCharType="begin"/>
      </w:r>
      <w:r w:rsidR="00FA6C6B">
        <w:instrText xml:space="preserve"> SEQ Table \* ARABIC </w:instrText>
      </w:r>
      <w:r w:rsidR="00FA6C6B">
        <w:fldChar w:fldCharType="separate"/>
      </w:r>
      <w:r w:rsidR="00210048">
        <w:rPr>
          <w:noProof/>
        </w:rPr>
        <w:t>14</w:t>
      </w:r>
      <w:r w:rsidR="00FA6C6B">
        <w:rPr>
          <w:noProof/>
        </w:rPr>
        <w:fldChar w:fldCharType="end"/>
      </w:r>
      <w:bookmarkEnd w:id="41"/>
      <w:r w:rsidRPr="00337A2D">
        <w:t xml:space="preserve"> </w:t>
      </w:r>
      <w:r w:rsidR="00FA66F2" w:rsidRPr="00337A2D">
        <w:t>Scenario 4.11 Percentage of occupied hours above 25</w:t>
      </w:r>
      <w:r w:rsidR="00FA66F2" w:rsidRPr="00337A2D">
        <w:rPr>
          <w:rFonts w:cs="Arial"/>
        </w:rPr>
        <w:t>°</w:t>
      </w:r>
      <w:r w:rsidR="00FA66F2" w:rsidRPr="00337A2D">
        <w:t>C and 28</w:t>
      </w:r>
      <w:r w:rsidR="00FA66F2" w:rsidRPr="00337A2D">
        <w:rPr>
          <w:rFonts w:cs="Arial"/>
        </w:rPr>
        <w:t>°</w:t>
      </w:r>
      <w:r w:rsidR="00FA66F2" w:rsidRPr="00337A2D">
        <w:t>C.</w:t>
      </w:r>
    </w:p>
    <w:p w14:paraId="758E8D97" w14:textId="77777777" w:rsidR="00FA66F2" w:rsidRDefault="00FA66F2" w:rsidP="00FA66F2">
      <w:pPr>
        <w:pStyle w:val="NumPara"/>
        <w:numPr>
          <w:ilvl w:val="0"/>
          <w:numId w:val="0"/>
        </w:numPr>
        <w:ind w:left="567"/>
        <w:jc w:val="center"/>
        <w:rPr>
          <w:b/>
        </w:rPr>
      </w:pPr>
    </w:p>
    <w:p w14:paraId="78DAC1DA" w14:textId="77777777" w:rsidR="00FA66F2" w:rsidRDefault="00FA66F2" w:rsidP="00FA66F2">
      <w:pPr>
        <w:pStyle w:val="NumPara"/>
        <w:numPr>
          <w:ilvl w:val="0"/>
          <w:numId w:val="0"/>
        </w:numPr>
        <w:ind w:left="567"/>
        <w:jc w:val="center"/>
      </w:pPr>
      <w:r w:rsidRPr="00FA66F2">
        <w:rPr>
          <w:noProof/>
          <w:lang w:eastAsia="en-GB"/>
        </w:rPr>
        <w:drawing>
          <wp:inline distT="0" distB="0" distL="0" distR="0" wp14:anchorId="75C0AD80" wp14:editId="7BCD0766">
            <wp:extent cx="5580000" cy="232560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0000" cy="2325600"/>
                    </a:xfrm>
                    <a:prstGeom prst="rect">
                      <a:avLst/>
                    </a:prstGeom>
                    <a:noFill/>
                    <a:ln>
                      <a:noFill/>
                    </a:ln>
                  </pic:spPr>
                </pic:pic>
              </a:graphicData>
            </a:graphic>
          </wp:inline>
        </w:drawing>
      </w:r>
    </w:p>
    <w:p w14:paraId="26003B0B" w14:textId="3D87D905" w:rsidR="00FA66F2" w:rsidRPr="00337A2D" w:rsidRDefault="00337A2D" w:rsidP="00337A2D">
      <w:pPr>
        <w:pStyle w:val="Caption"/>
        <w:jc w:val="center"/>
      </w:pPr>
      <w:bookmarkStart w:id="42" w:name="_Ref422427682"/>
      <w:r w:rsidRPr="00337A2D">
        <w:t xml:space="preserve">Table </w:t>
      </w:r>
      <w:r w:rsidR="00FA6C6B">
        <w:fldChar w:fldCharType="begin"/>
      </w:r>
      <w:r w:rsidR="00FA6C6B">
        <w:instrText xml:space="preserve"> SEQ Table \* ARABIC </w:instrText>
      </w:r>
      <w:r w:rsidR="00FA6C6B">
        <w:fldChar w:fldCharType="separate"/>
      </w:r>
      <w:r w:rsidR="00210048">
        <w:rPr>
          <w:noProof/>
        </w:rPr>
        <w:t>15</w:t>
      </w:r>
      <w:r w:rsidR="00FA6C6B">
        <w:rPr>
          <w:noProof/>
        </w:rPr>
        <w:fldChar w:fldCharType="end"/>
      </w:r>
      <w:bookmarkEnd w:id="42"/>
      <w:r w:rsidRPr="00337A2D">
        <w:t xml:space="preserve"> </w:t>
      </w:r>
      <w:r w:rsidR="00FA66F2" w:rsidRPr="00337A2D">
        <w:t>Scenario 4.11 adaptive comf</w:t>
      </w:r>
      <w:r w:rsidRPr="00337A2D">
        <w:t>ort criteria results.</w:t>
      </w:r>
    </w:p>
    <w:p w14:paraId="71E5E458" w14:textId="77777777" w:rsidR="00FA66F2" w:rsidRPr="00FA66F2" w:rsidRDefault="00FA66F2" w:rsidP="00FA66F2">
      <w:pPr>
        <w:pStyle w:val="NumPara"/>
        <w:numPr>
          <w:ilvl w:val="0"/>
          <w:numId w:val="0"/>
        </w:numPr>
        <w:ind w:left="567"/>
        <w:jc w:val="center"/>
        <w:rPr>
          <w:b/>
        </w:rPr>
      </w:pPr>
    </w:p>
    <w:p w14:paraId="1B75EB86" w14:textId="77777777" w:rsidR="00FA66F2" w:rsidRPr="00A12C69" w:rsidRDefault="00FA66F2" w:rsidP="00FA66F2">
      <w:pPr>
        <w:pStyle w:val="NumPara"/>
        <w:numPr>
          <w:ilvl w:val="0"/>
          <w:numId w:val="0"/>
        </w:numPr>
        <w:ind w:left="567"/>
        <w:rPr>
          <w:b/>
          <w:i/>
        </w:rPr>
      </w:pPr>
      <w:r w:rsidRPr="00A12C69">
        <w:rPr>
          <w:b/>
          <w:i/>
        </w:rPr>
        <w:t>Scenario 4.</w:t>
      </w:r>
      <w:r>
        <w:rPr>
          <w:b/>
          <w:i/>
        </w:rPr>
        <w:t>2</w:t>
      </w:r>
      <w:r w:rsidRPr="00A12C69">
        <w:rPr>
          <w:b/>
          <w:i/>
        </w:rPr>
        <w:t xml:space="preserve"> – SAP inputs </w:t>
      </w:r>
      <w:r>
        <w:rPr>
          <w:b/>
          <w:i/>
        </w:rPr>
        <w:t xml:space="preserve">with natural ventilation </w:t>
      </w:r>
      <w:r w:rsidRPr="00A12C69">
        <w:rPr>
          <w:b/>
          <w:i/>
        </w:rPr>
        <w:t>in different geographical locations.</w:t>
      </w:r>
    </w:p>
    <w:p w14:paraId="15D9285B" w14:textId="1853018D" w:rsidR="00FA66F2" w:rsidRDefault="00D81BBC" w:rsidP="000C0422">
      <w:pPr>
        <w:pStyle w:val="NumPara"/>
      </w:pPr>
      <w:r>
        <w:t>The end-use energy consumption and space heating consumption r</w:t>
      </w:r>
      <w:r w:rsidR="00FA66F2">
        <w:t xml:space="preserve">esults for </w:t>
      </w:r>
      <w:r>
        <w:t>S</w:t>
      </w:r>
      <w:r w:rsidR="00C65FF4">
        <w:t xml:space="preserve">cenario 4.2 </w:t>
      </w:r>
      <w:r w:rsidR="0083552B">
        <w:t xml:space="preserve">are shown in </w:t>
      </w:r>
      <w:r w:rsidR="002712F1">
        <w:fldChar w:fldCharType="begin"/>
      </w:r>
      <w:r w:rsidR="002712F1">
        <w:instrText xml:space="preserve"> REF _Ref422462490 \h </w:instrText>
      </w:r>
      <w:r w:rsidR="002712F1">
        <w:fldChar w:fldCharType="separate"/>
      </w:r>
      <w:r w:rsidR="002712F1" w:rsidRPr="002712F1">
        <w:t xml:space="preserve">Figure </w:t>
      </w:r>
      <w:r w:rsidR="002712F1">
        <w:rPr>
          <w:noProof/>
        </w:rPr>
        <w:t>21</w:t>
      </w:r>
      <w:r w:rsidR="002712F1">
        <w:fldChar w:fldCharType="end"/>
      </w:r>
      <w:r w:rsidR="002712F1">
        <w:t xml:space="preserve"> and </w:t>
      </w:r>
      <w:r w:rsidR="002712F1">
        <w:fldChar w:fldCharType="begin"/>
      </w:r>
      <w:r w:rsidR="002712F1">
        <w:instrText xml:space="preserve"> REF _Ref422462492 \h </w:instrText>
      </w:r>
      <w:r w:rsidR="002712F1">
        <w:fldChar w:fldCharType="separate"/>
      </w:r>
      <w:r w:rsidR="002712F1" w:rsidRPr="002712F1">
        <w:t xml:space="preserve">Figure </w:t>
      </w:r>
      <w:r w:rsidR="002712F1" w:rsidRPr="002712F1">
        <w:rPr>
          <w:noProof/>
        </w:rPr>
        <w:t>22</w:t>
      </w:r>
      <w:r w:rsidR="002712F1">
        <w:fldChar w:fldCharType="end"/>
      </w:r>
      <w:r w:rsidR="00FA66F2">
        <w:t xml:space="preserve">. The </w:t>
      </w:r>
      <w:r w:rsidR="0083552B">
        <w:t>lowest consumption would be 58.28 kWh/m</w:t>
      </w:r>
      <w:r w:rsidR="0083552B" w:rsidRPr="00B363CB">
        <w:rPr>
          <w:vertAlign w:val="superscript"/>
        </w:rPr>
        <w:t>2</w:t>
      </w:r>
      <w:r w:rsidR="0083552B">
        <w:t xml:space="preserve">/year in Plymouth, whilst the </w:t>
      </w:r>
      <w:r w:rsidR="00FA66F2">
        <w:t xml:space="preserve">maximum energy consumption would </w:t>
      </w:r>
      <w:r w:rsidR="00C65FF4">
        <w:t xml:space="preserve">again </w:t>
      </w:r>
      <w:r w:rsidR="00FA66F2">
        <w:t xml:space="preserve">be experienced in </w:t>
      </w:r>
      <w:r w:rsidR="00C65FF4">
        <w:t>Glasgow</w:t>
      </w:r>
      <w:r w:rsidR="00FA66F2">
        <w:t xml:space="preserve">, with a total consumption of </w:t>
      </w:r>
      <w:r w:rsidR="00C65FF4">
        <w:t>60</w:t>
      </w:r>
      <w:r w:rsidR="00FA66F2">
        <w:t>.</w:t>
      </w:r>
      <w:r w:rsidR="00C65FF4">
        <w:t>59</w:t>
      </w:r>
      <w:r w:rsidR="00FA66F2">
        <w:t xml:space="preserve"> kWh/m</w:t>
      </w:r>
      <w:r w:rsidR="00FA66F2" w:rsidRPr="0083552B">
        <w:rPr>
          <w:vertAlign w:val="superscript"/>
        </w:rPr>
        <w:t>2</w:t>
      </w:r>
      <w:r w:rsidR="0083552B">
        <w:t>/year</w:t>
      </w:r>
      <w:r w:rsidR="00FA66F2">
        <w:t>.</w:t>
      </w:r>
      <w:r w:rsidR="00C65FF4">
        <w:t xml:space="preserve"> The mean consumption across all sites was 59.35</w:t>
      </w:r>
      <w:r w:rsidR="000C0422">
        <w:t xml:space="preserve"> </w:t>
      </w:r>
      <w:r w:rsidR="00C65FF4">
        <w:t>kWh/m</w:t>
      </w:r>
      <w:r w:rsidR="00C65FF4" w:rsidRPr="000C0422">
        <w:rPr>
          <w:vertAlign w:val="superscript"/>
        </w:rPr>
        <w:t>2</w:t>
      </w:r>
      <w:r w:rsidR="00C65FF4">
        <w:t>/year. The space heating energy consumption ranges from 4.38 kWh/m</w:t>
      </w:r>
      <w:r w:rsidR="00C65FF4" w:rsidRPr="000C0422">
        <w:rPr>
          <w:vertAlign w:val="superscript"/>
        </w:rPr>
        <w:t>2</w:t>
      </w:r>
      <w:r w:rsidR="00C65FF4">
        <w:t>/year in Plymouth to 6</w:t>
      </w:r>
      <w:r w:rsidR="0070656A">
        <w:t>.69 kWh/m</w:t>
      </w:r>
      <w:r w:rsidR="0070656A" w:rsidRPr="000C0422">
        <w:rPr>
          <w:vertAlign w:val="superscript"/>
        </w:rPr>
        <w:t>2</w:t>
      </w:r>
      <w:r w:rsidR="0070656A">
        <w:t>/year in Glasgow.</w:t>
      </w:r>
    </w:p>
    <w:p w14:paraId="46EDF922" w14:textId="77777777" w:rsidR="007B4A81" w:rsidRDefault="007B4A81" w:rsidP="007B4A81">
      <w:pPr>
        <w:pStyle w:val="NumPara"/>
        <w:numPr>
          <w:ilvl w:val="0"/>
          <w:numId w:val="0"/>
        </w:numPr>
      </w:pPr>
    </w:p>
    <w:p w14:paraId="327B7188" w14:textId="77777777" w:rsidR="007B4A81" w:rsidRDefault="00F034FC" w:rsidP="007B4A81">
      <w:pPr>
        <w:pStyle w:val="NumPara"/>
        <w:numPr>
          <w:ilvl w:val="0"/>
          <w:numId w:val="0"/>
        </w:numPr>
        <w:jc w:val="center"/>
      </w:pPr>
      <w:r>
        <w:rPr>
          <w:noProof/>
          <w:lang w:eastAsia="en-GB"/>
        </w:rPr>
        <w:lastRenderedPageBreak/>
        <w:drawing>
          <wp:inline distT="0" distB="0" distL="0" distR="0" wp14:anchorId="03A1D6A9" wp14:editId="72B4B595">
            <wp:extent cx="5943600" cy="2928025"/>
            <wp:effectExtent l="0" t="0" r="0" b="5715"/>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BF42A0" w14:textId="3983AE45" w:rsidR="00F034FC" w:rsidRPr="002712F1" w:rsidRDefault="002712F1" w:rsidP="002712F1">
      <w:pPr>
        <w:pStyle w:val="Caption"/>
        <w:jc w:val="center"/>
      </w:pPr>
      <w:bookmarkStart w:id="43" w:name="_Ref422462490"/>
      <w:r w:rsidRPr="002712F1">
        <w:t xml:space="preserve">Figure </w:t>
      </w:r>
      <w:r w:rsidR="00FA6C6B">
        <w:fldChar w:fldCharType="begin"/>
      </w:r>
      <w:r w:rsidR="00FA6C6B">
        <w:instrText xml:space="preserve"> SEQ Figure \* ARABIC </w:instrText>
      </w:r>
      <w:r w:rsidR="00FA6C6B">
        <w:fldChar w:fldCharType="separate"/>
      </w:r>
      <w:r>
        <w:rPr>
          <w:noProof/>
        </w:rPr>
        <w:t>21</w:t>
      </w:r>
      <w:r w:rsidR="00FA6C6B">
        <w:rPr>
          <w:noProof/>
        </w:rPr>
        <w:fldChar w:fldCharType="end"/>
      </w:r>
      <w:bookmarkEnd w:id="43"/>
      <w:r w:rsidRPr="002712F1">
        <w:t xml:space="preserve"> </w:t>
      </w:r>
      <w:r w:rsidR="00F034FC" w:rsidRPr="002712F1">
        <w:t>Scenario 4.2 end-use energy consumption in different CIBSE locations.</w:t>
      </w:r>
    </w:p>
    <w:p w14:paraId="786BD441" w14:textId="77777777" w:rsidR="00F034FC" w:rsidRDefault="00F034FC" w:rsidP="00F034FC">
      <w:pPr>
        <w:pStyle w:val="NumPara"/>
        <w:numPr>
          <w:ilvl w:val="0"/>
          <w:numId w:val="0"/>
        </w:numPr>
        <w:ind w:left="567" w:hanging="567"/>
        <w:jc w:val="center"/>
        <w:rPr>
          <w:b/>
        </w:rPr>
      </w:pPr>
    </w:p>
    <w:p w14:paraId="5BBAC38A" w14:textId="77777777" w:rsidR="00F034FC" w:rsidRDefault="00F034FC" w:rsidP="00F034FC">
      <w:pPr>
        <w:pStyle w:val="NumPara"/>
        <w:numPr>
          <w:ilvl w:val="0"/>
          <w:numId w:val="0"/>
        </w:numPr>
        <w:ind w:left="567" w:hanging="567"/>
        <w:jc w:val="center"/>
        <w:rPr>
          <w:b/>
        </w:rPr>
      </w:pPr>
      <w:r>
        <w:rPr>
          <w:noProof/>
          <w:lang w:eastAsia="en-GB"/>
        </w:rPr>
        <w:drawing>
          <wp:inline distT="0" distB="0" distL="0" distR="0" wp14:anchorId="19A70B12" wp14:editId="3860616B">
            <wp:extent cx="5661497" cy="2801566"/>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EC5DC6" w14:textId="33E8125B" w:rsidR="00F034FC" w:rsidRPr="002712F1" w:rsidRDefault="002712F1" w:rsidP="002712F1">
      <w:pPr>
        <w:pStyle w:val="Caption"/>
        <w:jc w:val="center"/>
      </w:pPr>
      <w:bookmarkStart w:id="44" w:name="_Ref422462492"/>
      <w:r w:rsidRPr="002712F1">
        <w:t xml:space="preserve">Figure </w:t>
      </w:r>
      <w:r w:rsidR="00FA6C6B">
        <w:fldChar w:fldCharType="begin"/>
      </w:r>
      <w:r w:rsidR="00FA6C6B">
        <w:instrText xml:space="preserve"> SEQ Figure \* ARABIC </w:instrText>
      </w:r>
      <w:r w:rsidR="00FA6C6B">
        <w:fldChar w:fldCharType="separate"/>
      </w:r>
      <w:r w:rsidRPr="002712F1">
        <w:rPr>
          <w:noProof/>
        </w:rPr>
        <w:t>22</w:t>
      </w:r>
      <w:r w:rsidR="00FA6C6B">
        <w:rPr>
          <w:noProof/>
        </w:rPr>
        <w:fldChar w:fldCharType="end"/>
      </w:r>
      <w:bookmarkEnd w:id="44"/>
      <w:r w:rsidRPr="002712F1">
        <w:t xml:space="preserve"> </w:t>
      </w:r>
      <w:r w:rsidR="00F034FC" w:rsidRPr="002712F1">
        <w:t>Scenario 4.1 space heating energy consumption.</w:t>
      </w:r>
    </w:p>
    <w:p w14:paraId="54D64A32" w14:textId="77777777" w:rsidR="007B4A81" w:rsidRDefault="007B4A81" w:rsidP="007B4A81">
      <w:pPr>
        <w:pStyle w:val="NumPara"/>
        <w:numPr>
          <w:ilvl w:val="0"/>
          <w:numId w:val="0"/>
        </w:numPr>
      </w:pPr>
    </w:p>
    <w:p w14:paraId="3BE95521" w14:textId="3D73EF3B" w:rsidR="0070656A" w:rsidRDefault="0083552B" w:rsidP="0070656A">
      <w:pPr>
        <w:pStyle w:val="NumPara"/>
      </w:pPr>
      <w:r>
        <w:t>With respect to overheating, a</w:t>
      </w:r>
      <w:r w:rsidR="0070656A">
        <w:t>side from the London site, all other locations experience relatively low levels of summer overheating when natural ventilation is introduced</w:t>
      </w:r>
      <w:r w:rsidR="006669B1">
        <w:t xml:space="preserve"> (see </w:t>
      </w:r>
      <w:r w:rsidR="006669B1">
        <w:fldChar w:fldCharType="begin"/>
      </w:r>
      <w:r w:rsidR="006669B1">
        <w:instrText xml:space="preserve"> REF _Ref422464241 \h </w:instrText>
      </w:r>
      <w:r w:rsidR="006669B1">
        <w:fldChar w:fldCharType="separate"/>
      </w:r>
      <w:r w:rsidR="006669B1" w:rsidRPr="006669B1">
        <w:t xml:space="preserve">Table </w:t>
      </w:r>
      <w:r w:rsidR="006669B1">
        <w:rPr>
          <w:noProof/>
        </w:rPr>
        <w:t>16</w:t>
      </w:r>
      <w:r w:rsidR="006669B1">
        <w:fldChar w:fldCharType="end"/>
      </w:r>
      <w:r w:rsidR="006669B1">
        <w:t xml:space="preserve"> and </w:t>
      </w:r>
      <w:r w:rsidR="006669B1">
        <w:fldChar w:fldCharType="begin"/>
      </w:r>
      <w:r w:rsidR="006669B1">
        <w:instrText xml:space="preserve"> REF _Ref422464243 \h </w:instrText>
      </w:r>
      <w:r w:rsidR="006669B1">
        <w:fldChar w:fldCharType="separate"/>
      </w:r>
      <w:r w:rsidR="006669B1" w:rsidRPr="006669B1">
        <w:t xml:space="preserve">Table </w:t>
      </w:r>
      <w:r w:rsidR="006669B1" w:rsidRPr="006669B1">
        <w:rPr>
          <w:noProof/>
        </w:rPr>
        <w:t>17</w:t>
      </w:r>
      <w:r w:rsidR="006669B1">
        <w:fldChar w:fldCharType="end"/>
      </w:r>
      <w:r w:rsidR="006669B1">
        <w:t>)</w:t>
      </w:r>
      <w:r w:rsidR="00FA66F2">
        <w:t>.</w:t>
      </w:r>
      <w:r w:rsidR="0070656A">
        <w:t xml:space="preserve"> Using the absolute metrics</w:t>
      </w:r>
      <w:r w:rsidR="0084559C">
        <w:t>,</w:t>
      </w:r>
      <w:r w:rsidR="0070656A">
        <w:t xml:space="preserve"> only the L3 bedroom falls within acceptable </w:t>
      </w:r>
      <w:r w:rsidR="006669B1">
        <w:t>tolerances for the London site, whilst in</w:t>
      </w:r>
      <w:r w:rsidR="0070656A">
        <w:t xml:space="preserve"> Birmingham, Manchester and Leeds</w:t>
      </w:r>
      <w:r w:rsidR="006669B1">
        <w:t xml:space="preserve">, </w:t>
      </w:r>
      <w:r w:rsidR="0070656A">
        <w:t xml:space="preserve">some overheating </w:t>
      </w:r>
      <w:r w:rsidR="006669B1">
        <w:t xml:space="preserve">is experienced </w:t>
      </w:r>
      <w:r w:rsidR="0070656A">
        <w:t>in the study and</w:t>
      </w:r>
      <w:r w:rsidR="006669B1">
        <w:t>/or</w:t>
      </w:r>
      <w:r w:rsidR="0070656A">
        <w:t xml:space="preserve"> </w:t>
      </w:r>
      <w:r w:rsidR="006669B1">
        <w:t xml:space="preserve">the </w:t>
      </w:r>
      <w:r w:rsidR="0070656A">
        <w:t>lounge. When assessed using the adaptive comfort criteria, it is only the London site that includes any rooms that fail two criteria or more. In all other locations</w:t>
      </w:r>
      <w:r w:rsidR="006669B1">
        <w:t>,</w:t>
      </w:r>
      <w:r w:rsidR="0070656A">
        <w:t xml:space="preserve"> the natural ventilation strategy is predicted to mitigate overhe</w:t>
      </w:r>
      <w:r w:rsidR="006669B1">
        <w:t>ating in all rooms examined</w:t>
      </w:r>
      <w:r w:rsidR="0070656A">
        <w:t>.</w:t>
      </w:r>
    </w:p>
    <w:p w14:paraId="01739B39" w14:textId="77777777" w:rsidR="00776060" w:rsidRDefault="00776060" w:rsidP="00776060">
      <w:pPr>
        <w:pStyle w:val="NumPara"/>
        <w:numPr>
          <w:ilvl w:val="0"/>
          <w:numId w:val="0"/>
        </w:numPr>
        <w:ind w:left="567"/>
      </w:pPr>
    </w:p>
    <w:p w14:paraId="4B169114" w14:textId="77777777" w:rsidR="00776060" w:rsidRDefault="00776060" w:rsidP="00776060">
      <w:pPr>
        <w:pStyle w:val="NumPara"/>
        <w:numPr>
          <w:ilvl w:val="0"/>
          <w:numId w:val="0"/>
        </w:numPr>
        <w:ind w:left="567"/>
      </w:pPr>
      <w:r w:rsidRPr="00776060">
        <w:rPr>
          <w:noProof/>
          <w:lang w:eastAsia="en-GB"/>
        </w:rPr>
        <w:lastRenderedPageBreak/>
        <w:drawing>
          <wp:inline distT="0" distB="0" distL="0" distR="0" wp14:anchorId="64862255" wp14:editId="08DFF644">
            <wp:extent cx="5580000" cy="2505600"/>
            <wp:effectExtent l="0" t="0" r="190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0000" cy="2505600"/>
                    </a:xfrm>
                    <a:prstGeom prst="rect">
                      <a:avLst/>
                    </a:prstGeom>
                    <a:noFill/>
                    <a:ln>
                      <a:noFill/>
                    </a:ln>
                  </pic:spPr>
                </pic:pic>
              </a:graphicData>
            </a:graphic>
          </wp:inline>
        </w:drawing>
      </w:r>
    </w:p>
    <w:p w14:paraId="1823A78F" w14:textId="5F72FED5" w:rsidR="00776060" w:rsidRPr="006669B1" w:rsidRDefault="006669B1" w:rsidP="006669B1">
      <w:pPr>
        <w:pStyle w:val="Caption"/>
        <w:jc w:val="center"/>
      </w:pPr>
      <w:bookmarkStart w:id="45" w:name="_Ref422464241"/>
      <w:r w:rsidRPr="006669B1">
        <w:t xml:space="preserve">Table </w:t>
      </w:r>
      <w:r w:rsidR="00FA6C6B">
        <w:fldChar w:fldCharType="begin"/>
      </w:r>
      <w:r w:rsidR="00FA6C6B">
        <w:instrText xml:space="preserve"> SEQ Table \* ARABIC </w:instrText>
      </w:r>
      <w:r w:rsidR="00FA6C6B">
        <w:fldChar w:fldCharType="separate"/>
      </w:r>
      <w:r w:rsidR="00210048">
        <w:rPr>
          <w:noProof/>
        </w:rPr>
        <w:t>16</w:t>
      </w:r>
      <w:r w:rsidR="00FA6C6B">
        <w:rPr>
          <w:noProof/>
        </w:rPr>
        <w:fldChar w:fldCharType="end"/>
      </w:r>
      <w:bookmarkEnd w:id="45"/>
      <w:r w:rsidRPr="006669B1">
        <w:t xml:space="preserve"> </w:t>
      </w:r>
      <w:r w:rsidR="00776060" w:rsidRPr="006669B1">
        <w:t>Scenario 4.21 Percentage of occupied hours above 25</w:t>
      </w:r>
      <w:r w:rsidR="00776060" w:rsidRPr="006669B1">
        <w:rPr>
          <w:rFonts w:cs="Arial"/>
        </w:rPr>
        <w:t>°</w:t>
      </w:r>
      <w:r w:rsidR="00776060" w:rsidRPr="006669B1">
        <w:t>C and 28</w:t>
      </w:r>
      <w:r w:rsidR="00776060" w:rsidRPr="006669B1">
        <w:rPr>
          <w:rFonts w:cs="Arial"/>
        </w:rPr>
        <w:t>°</w:t>
      </w:r>
      <w:r w:rsidR="00776060" w:rsidRPr="006669B1">
        <w:t>C.</w:t>
      </w:r>
    </w:p>
    <w:p w14:paraId="2ADFCC47" w14:textId="77777777" w:rsidR="00776060" w:rsidRDefault="00776060" w:rsidP="00776060">
      <w:pPr>
        <w:pStyle w:val="NumPara"/>
        <w:numPr>
          <w:ilvl w:val="0"/>
          <w:numId w:val="0"/>
        </w:numPr>
        <w:ind w:left="567"/>
        <w:jc w:val="center"/>
        <w:rPr>
          <w:b/>
        </w:rPr>
      </w:pPr>
    </w:p>
    <w:p w14:paraId="66AC8387" w14:textId="77777777" w:rsidR="00776060" w:rsidRDefault="00776060" w:rsidP="00776060">
      <w:pPr>
        <w:pStyle w:val="NumPara"/>
        <w:numPr>
          <w:ilvl w:val="0"/>
          <w:numId w:val="0"/>
        </w:numPr>
        <w:ind w:left="567"/>
        <w:jc w:val="center"/>
      </w:pPr>
      <w:r w:rsidRPr="00776060">
        <w:rPr>
          <w:noProof/>
          <w:lang w:eastAsia="en-GB"/>
        </w:rPr>
        <w:drawing>
          <wp:inline distT="0" distB="0" distL="0" distR="0" wp14:anchorId="12F74AF3" wp14:editId="34030141">
            <wp:extent cx="5580000" cy="2430000"/>
            <wp:effectExtent l="0" t="0" r="1905"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0000" cy="2430000"/>
                    </a:xfrm>
                    <a:prstGeom prst="rect">
                      <a:avLst/>
                    </a:prstGeom>
                    <a:noFill/>
                    <a:ln>
                      <a:noFill/>
                    </a:ln>
                  </pic:spPr>
                </pic:pic>
              </a:graphicData>
            </a:graphic>
          </wp:inline>
        </w:drawing>
      </w:r>
    </w:p>
    <w:p w14:paraId="177FC154" w14:textId="4812D8E9" w:rsidR="00776060" w:rsidRPr="006669B1" w:rsidRDefault="006669B1" w:rsidP="006669B1">
      <w:pPr>
        <w:pStyle w:val="Caption"/>
        <w:jc w:val="center"/>
      </w:pPr>
      <w:bookmarkStart w:id="46" w:name="_Ref422464243"/>
      <w:r w:rsidRPr="006669B1">
        <w:t xml:space="preserve">Table </w:t>
      </w:r>
      <w:r w:rsidR="00FA6C6B">
        <w:fldChar w:fldCharType="begin"/>
      </w:r>
      <w:r w:rsidR="00FA6C6B">
        <w:instrText xml:space="preserve"> SEQ Table \* ARABIC </w:instrText>
      </w:r>
      <w:r w:rsidR="00FA6C6B">
        <w:fldChar w:fldCharType="separate"/>
      </w:r>
      <w:r w:rsidR="00210048">
        <w:rPr>
          <w:noProof/>
        </w:rPr>
        <w:t>17</w:t>
      </w:r>
      <w:r w:rsidR="00FA6C6B">
        <w:rPr>
          <w:noProof/>
        </w:rPr>
        <w:fldChar w:fldCharType="end"/>
      </w:r>
      <w:bookmarkEnd w:id="46"/>
      <w:r w:rsidRPr="006669B1">
        <w:t xml:space="preserve"> </w:t>
      </w:r>
      <w:r w:rsidR="00776060" w:rsidRPr="006669B1">
        <w:t>Scenario 4.21 adaptive comfort criteria results.</w:t>
      </w:r>
    </w:p>
    <w:p w14:paraId="1B285FF4" w14:textId="77777777" w:rsidR="00776060" w:rsidRPr="00FA66F2" w:rsidRDefault="00776060" w:rsidP="00776060">
      <w:pPr>
        <w:pStyle w:val="NumPara"/>
        <w:numPr>
          <w:ilvl w:val="0"/>
          <w:numId w:val="0"/>
        </w:numPr>
        <w:ind w:left="567"/>
        <w:jc w:val="center"/>
      </w:pPr>
    </w:p>
    <w:p w14:paraId="76F5D31A" w14:textId="77777777" w:rsidR="0015568E" w:rsidRPr="002D3A66" w:rsidRDefault="0015568E" w:rsidP="0015568E">
      <w:pPr>
        <w:pStyle w:val="NumPara"/>
        <w:numPr>
          <w:ilvl w:val="0"/>
          <w:numId w:val="0"/>
        </w:numPr>
        <w:ind w:left="567"/>
        <w:rPr>
          <w:b/>
          <w:i/>
        </w:rPr>
      </w:pPr>
      <w:r>
        <w:rPr>
          <w:b/>
          <w:i/>
        </w:rPr>
        <w:t>Renewable energy generation</w:t>
      </w:r>
      <w:r w:rsidRPr="002D3A66">
        <w:rPr>
          <w:b/>
          <w:i/>
        </w:rPr>
        <w:t xml:space="preserve"> </w:t>
      </w:r>
    </w:p>
    <w:p w14:paraId="4FB086E1" w14:textId="6B2091E8" w:rsidR="00776060" w:rsidRDefault="00776060" w:rsidP="00776060">
      <w:pPr>
        <w:pStyle w:val="NumPara"/>
      </w:pPr>
      <w:r>
        <w:t xml:space="preserve">The potential for renewable energy sources to provide enough electricity to power the </w:t>
      </w:r>
      <w:r w:rsidR="00210048">
        <w:t xml:space="preserve">prototype </w:t>
      </w:r>
      <w:r>
        <w:t xml:space="preserve">dwelling for one year has been </w:t>
      </w:r>
      <w:r w:rsidR="00210048">
        <w:t>assessed as part of this work. However, t</w:t>
      </w:r>
      <w:r>
        <w:t>he limitations described earlier restrict the scope of this analysis</w:t>
      </w:r>
      <w:r w:rsidR="00210048">
        <w:t xml:space="preserve"> and this should be considered when interpreting the results</w:t>
      </w:r>
      <w:r>
        <w:t>. It should also be noted that energy generated through the renewable systems would only mean that the building used zero net ener</w:t>
      </w:r>
      <w:r w:rsidR="00210048">
        <w:t>gy, as electricity generated on-</w:t>
      </w:r>
      <w:r>
        <w:t>site could not necessarily be used at the time of production. It is likely that the majority of it would need to be exported to the national grid at the time of generation. Without some form of energy storage system, it would not be possible for the building to operate autonomously in terms of electricity. The maximum electricity requi</w:t>
      </w:r>
      <w:r w:rsidR="00210048">
        <w:t>red by the baseline SAP model (S</w:t>
      </w:r>
      <w:r>
        <w:t>cenario 2.1) has been used as the target generation value in this instance; this is equal to 7,568 kWh</w:t>
      </w:r>
      <w:r w:rsidR="00210048">
        <w:t xml:space="preserve"> per annum</w:t>
      </w:r>
      <w:r>
        <w:t>. The amount of electricity generated has not been optimised to meet this exact amount; the simulated arrays were simply adjusted at 5m</w:t>
      </w:r>
      <w:r w:rsidRPr="00FC5FF4">
        <w:rPr>
          <w:vertAlign w:val="superscript"/>
        </w:rPr>
        <w:t>2</w:t>
      </w:r>
      <w:r>
        <w:t xml:space="preserve"> increments to most closely match the 7,568 kWh baseline.</w:t>
      </w:r>
    </w:p>
    <w:p w14:paraId="42333816" w14:textId="678382D0" w:rsidR="00776060" w:rsidRDefault="00210048" w:rsidP="00776060">
      <w:pPr>
        <w:pStyle w:val="NumPara"/>
      </w:pPr>
      <w:r>
        <w:t>In terms of PV generation systems, t</w:t>
      </w:r>
      <w:r w:rsidR="00776060">
        <w:t xml:space="preserve">here are four different types of PV </w:t>
      </w:r>
      <w:r>
        <w:t xml:space="preserve">system </w:t>
      </w:r>
      <w:r w:rsidR="00776060">
        <w:t>that can be modelled using t</w:t>
      </w:r>
      <w:r>
        <w:t xml:space="preserve">he DTS software. These include amorphous silicon, </w:t>
      </w:r>
      <w:proofErr w:type="spellStart"/>
      <w:r>
        <w:t>m</w:t>
      </w:r>
      <w:r w:rsidR="00776060">
        <w:t>onocrystaline</w:t>
      </w:r>
      <w:proofErr w:type="spellEnd"/>
      <w:r w:rsidR="00776060">
        <w:t xml:space="preserve"> silicon, ‘other thin films’ and polycrystalline systems. Results for e</w:t>
      </w:r>
      <w:r>
        <w:t>ach system type are contained with</w:t>
      </w:r>
      <w:r w:rsidR="00776060">
        <w:t>i</w:t>
      </w:r>
      <w:r>
        <w:t xml:space="preserve">n </w:t>
      </w:r>
      <w:r>
        <w:fldChar w:fldCharType="begin"/>
      </w:r>
      <w:r>
        <w:instrText xml:space="preserve"> REF _Ref422465007 \h </w:instrText>
      </w:r>
      <w:r>
        <w:fldChar w:fldCharType="separate"/>
      </w:r>
      <w:r>
        <w:t xml:space="preserve">Table </w:t>
      </w:r>
      <w:r>
        <w:rPr>
          <w:noProof/>
        </w:rPr>
        <w:t>18</w:t>
      </w:r>
      <w:r>
        <w:fldChar w:fldCharType="end"/>
      </w:r>
      <w:r w:rsidR="00776060">
        <w:t>. They have been ranked from the smallest to the largest array required. All systems are assumed to be south facing (at an orientation of 180</w:t>
      </w:r>
      <w:r w:rsidR="00776060">
        <w:rPr>
          <w:rFonts w:cs="Arial"/>
        </w:rPr>
        <w:t>°</w:t>
      </w:r>
      <w:r w:rsidR="00776060">
        <w:t>) and to be at an inclination of 30</w:t>
      </w:r>
      <w:r w:rsidR="00776060">
        <w:rPr>
          <w:rFonts w:cs="Arial"/>
        </w:rPr>
        <w:t>°</w:t>
      </w:r>
      <w:r w:rsidR="0070001F">
        <w:t xml:space="preserve">, </w:t>
      </w:r>
      <w:r w:rsidR="00776060">
        <w:t>so that they are optimised for summer time collection. It is also assumed that there is no over-shading. As L6 of the dwelling (the top floor) has a surface area of approximately 49m</w:t>
      </w:r>
      <w:r w:rsidR="00776060" w:rsidRPr="00A25490">
        <w:rPr>
          <w:vertAlign w:val="superscript"/>
        </w:rPr>
        <w:t>2</w:t>
      </w:r>
      <w:r w:rsidR="00776060">
        <w:t xml:space="preserve">, it is very unlikely that a building </w:t>
      </w:r>
      <w:r w:rsidR="00776060">
        <w:lastRenderedPageBreak/>
        <w:t xml:space="preserve">mounted PV system could produce enough electricity to offset the total electricity consumed in one year. </w:t>
      </w:r>
    </w:p>
    <w:p w14:paraId="41FB6F5F" w14:textId="77777777" w:rsidR="00776060" w:rsidRDefault="00776060" w:rsidP="00776060">
      <w:pPr>
        <w:pStyle w:val="NumPara"/>
        <w:numPr>
          <w:ilvl w:val="0"/>
          <w:numId w:val="0"/>
        </w:numPr>
        <w:ind w:left="567"/>
      </w:pPr>
    </w:p>
    <w:tbl>
      <w:tblPr>
        <w:tblStyle w:val="TableGrid"/>
        <w:tblW w:w="0" w:type="auto"/>
        <w:tblInd w:w="567" w:type="dxa"/>
        <w:tblLook w:val="04A0" w:firstRow="1" w:lastRow="0" w:firstColumn="1" w:lastColumn="0" w:noHBand="0" w:noVBand="1"/>
      </w:tblPr>
      <w:tblGrid>
        <w:gridCol w:w="3652"/>
        <w:gridCol w:w="2693"/>
        <w:gridCol w:w="2659"/>
      </w:tblGrid>
      <w:tr w:rsidR="00776060" w14:paraId="4C245E60" w14:textId="77777777" w:rsidTr="00325F08">
        <w:tc>
          <w:tcPr>
            <w:tcW w:w="3652" w:type="dxa"/>
          </w:tcPr>
          <w:p w14:paraId="65EC5F02" w14:textId="77777777" w:rsidR="00776060" w:rsidRDefault="00776060" w:rsidP="00325F08">
            <w:pPr>
              <w:pStyle w:val="NumPara"/>
              <w:numPr>
                <w:ilvl w:val="0"/>
                <w:numId w:val="0"/>
              </w:numPr>
            </w:pPr>
            <w:r>
              <w:t>System:</w:t>
            </w:r>
          </w:p>
        </w:tc>
        <w:tc>
          <w:tcPr>
            <w:tcW w:w="2693" w:type="dxa"/>
          </w:tcPr>
          <w:p w14:paraId="3805C537" w14:textId="77777777" w:rsidR="00776060" w:rsidRDefault="00776060" w:rsidP="00325F08">
            <w:pPr>
              <w:pStyle w:val="NumPara"/>
              <w:numPr>
                <w:ilvl w:val="0"/>
                <w:numId w:val="0"/>
              </w:numPr>
              <w:jc w:val="center"/>
            </w:pPr>
            <w:r>
              <w:t>Size (m</w:t>
            </w:r>
            <w:r w:rsidRPr="00DC2CF4">
              <w:rPr>
                <w:vertAlign w:val="superscript"/>
              </w:rPr>
              <w:t>2</w:t>
            </w:r>
            <w:r>
              <w:t>)</w:t>
            </w:r>
          </w:p>
        </w:tc>
        <w:tc>
          <w:tcPr>
            <w:tcW w:w="2659" w:type="dxa"/>
          </w:tcPr>
          <w:p w14:paraId="506BA1A0" w14:textId="77777777" w:rsidR="00776060" w:rsidRDefault="00776060" w:rsidP="00325F08">
            <w:pPr>
              <w:pStyle w:val="NumPara"/>
              <w:numPr>
                <w:ilvl w:val="0"/>
                <w:numId w:val="0"/>
              </w:numPr>
              <w:jc w:val="center"/>
            </w:pPr>
            <w:r>
              <w:t>Energy generated (kWh):</w:t>
            </w:r>
          </w:p>
        </w:tc>
      </w:tr>
      <w:tr w:rsidR="00776060" w14:paraId="4B646066" w14:textId="77777777" w:rsidTr="00325F08">
        <w:tc>
          <w:tcPr>
            <w:tcW w:w="3652" w:type="dxa"/>
          </w:tcPr>
          <w:p w14:paraId="2A456E41" w14:textId="77777777" w:rsidR="00776060" w:rsidRDefault="00776060" w:rsidP="00325F08">
            <w:pPr>
              <w:pStyle w:val="NumPara"/>
              <w:numPr>
                <w:ilvl w:val="0"/>
                <w:numId w:val="0"/>
              </w:numPr>
            </w:pPr>
            <w:proofErr w:type="spellStart"/>
            <w:r>
              <w:t>Monocrystaline</w:t>
            </w:r>
            <w:proofErr w:type="spellEnd"/>
            <w:r>
              <w:t xml:space="preserve"> silicon</w:t>
            </w:r>
          </w:p>
        </w:tc>
        <w:tc>
          <w:tcPr>
            <w:tcW w:w="2693" w:type="dxa"/>
          </w:tcPr>
          <w:p w14:paraId="44A3843C" w14:textId="77777777" w:rsidR="00776060" w:rsidRDefault="00A93ED4" w:rsidP="00325F08">
            <w:pPr>
              <w:pStyle w:val="NumPara"/>
              <w:numPr>
                <w:ilvl w:val="0"/>
                <w:numId w:val="0"/>
              </w:numPr>
              <w:jc w:val="center"/>
            </w:pPr>
            <w:r>
              <w:t>80</w:t>
            </w:r>
          </w:p>
        </w:tc>
        <w:tc>
          <w:tcPr>
            <w:tcW w:w="2659" w:type="dxa"/>
          </w:tcPr>
          <w:p w14:paraId="5014DCB8" w14:textId="77777777" w:rsidR="00776060" w:rsidRDefault="00F6481E" w:rsidP="00325F08">
            <w:pPr>
              <w:pStyle w:val="NumPara"/>
              <w:numPr>
                <w:ilvl w:val="0"/>
                <w:numId w:val="0"/>
              </w:numPr>
              <w:jc w:val="center"/>
            </w:pPr>
            <w:r>
              <w:t>7,747</w:t>
            </w:r>
          </w:p>
        </w:tc>
      </w:tr>
      <w:tr w:rsidR="00776060" w14:paraId="0D05C594" w14:textId="77777777" w:rsidTr="00325F08">
        <w:tc>
          <w:tcPr>
            <w:tcW w:w="3652" w:type="dxa"/>
          </w:tcPr>
          <w:p w14:paraId="64D315EC" w14:textId="77777777" w:rsidR="00776060" w:rsidRDefault="00776060" w:rsidP="00325F08">
            <w:pPr>
              <w:pStyle w:val="NumPara"/>
              <w:numPr>
                <w:ilvl w:val="0"/>
                <w:numId w:val="0"/>
              </w:numPr>
            </w:pPr>
            <w:proofErr w:type="spellStart"/>
            <w:r>
              <w:t>Polycrystaline</w:t>
            </w:r>
            <w:proofErr w:type="spellEnd"/>
            <w:r>
              <w:t xml:space="preserve"> silicon</w:t>
            </w:r>
          </w:p>
        </w:tc>
        <w:tc>
          <w:tcPr>
            <w:tcW w:w="2693" w:type="dxa"/>
          </w:tcPr>
          <w:p w14:paraId="10FCFC05" w14:textId="77777777" w:rsidR="00776060" w:rsidRDefault="00A93ED4" w:rsidP="00325F08">
            <w:pPr>
              <w:pStyle w:val="NumPara"/>
              <w:numPr>
                <w:ilvl w:val="0"/>
                <w:numId w:val="0"/>
              </w:numPr>
              <w:jc w:val="center"/>
            </w:pPr>
            <w:r>
              <w:t>9</w:t>
            </w:r>
            <w:r w:rsidR="00560A87">
              <w:t>5</w:t>
            </w:r>
          </w:p>
        </w:tc>
        <w:tc>
          <w:tcPr>
            <w:tcW w:w="2659" w:type="dxa"/>
          </w:tcPr>
          <w:p w14:paraId="545CF3E7" w14:textId="77777777" w:rsidR="00776060" w:rsidRDefault="00560A87" w:rsidP="00325F08">
            <w:pPr>
              <w:pStyle w:val="NumPara"/>
              <w:numPr>
                <w:ilvl w:val="0"/>
                <w:numId w:val="0"/>
              </w:numPr>
              <w:jc w:val="center"/>
            </w:pPr>
            <w:r>
              <w:t>7,785</w:t>
            </w:r>
          </w:p>
        </w:tc>
      </w:tr>
      <w:tr w:rsidR="00776060" w14:paraId="5631A7A9" w14:textId="77777777" w:rsidTr="00325F08">
        <w:tc>
          <w:tcPr>
            <w:tcW w:w="3652" w:type="dxa"/>
          </w:tcPr>
          <w:p w14:paraId="31797E62" w14:textId="77777777" w:rsidR="00776060" w:rsidRDefault="00776060" w:rsidP="00325F08">
            <w:pPr>
              <w:pStyle w:val="NumPara"/>
              <w:numPr>
                <w:ilvl w:val="0"/>
                <w:numId w:val="0"/>
              </w:numPr>
            </w:pPr>
            <w:r>
              <w:t>Other thin films</w:t>
            </w:r>
          </w:p>
        </w:tc>
        <w:tc>
          <w:tcPr>
            <w:tcW w:w="2693" w:type="dxa"/>
          </w:tcPr>
          <w:p w14:paraId="1CF2313F" w14:textId="77777777" w:rsidR="00776060" w:rsidRDefault="00A93ED4" w:rsidP="001425E0">
            <w:pPr>
              <w:pStyle w:val="NumPara"/>
              <w:numPr>
                <w:ilvl w:val="0"/>
                <w:numId w:val="0"/>
              </w:numPr>
              <w:jc w:val="center"/>
            </w:pPr>
            <w:r>
              <w:t>1</w:t>
            </w:r>
            <w:r w:rsidR="001425E0">
              <w:t>5</w:t>
            </w:r>
            <w:r>
              <w:t>0</w:t>
            </w:r>
          </w:p>
        </w:tc>
        <w:tc>
          <w:tcPr>
            <w:tcW w:w="2659" w:type="dxa"/>
          </w:tcPr>
          <w:p w14:paraId="125807D8" w14:textId="77777777" w:rsidR="00776060" w:rsidRDefault="001425E0" w:rsidP="00325F08">
            <w:pPr>
              <w:pStyle w:val="NumPara"/>
              <w:numPr>
                <w:ilvl w:val="0"/>
                <w:numId w:val="0"/>
              </w:numPr>
              <w:jc w:val="center"/>
            </w:pPr>
            <w:r>
              <w:t>7,805</w:t>
            </w:r>
          </w:p>
        </w:tc>
      </w:tr>
      <w:tr w:rsidR="00776060" w14:paraId="70131C08" w14:textId="77777777" w:rsidTr="00325F08">
        <w:tc>
          <w:tcPr>
            <w:tcW w:w="3652" w:type="dxa"/>
          </w:tcPr>
          <w:p w14:paraId="49F9CF18" w14:textId="77777777" w:rsidR="00776060" w:rsidRDefault="00776060" w:rsidP="00325F08">
            <w:pPr>
              <w:pStyle w:val="NumPara"/>
              <w:numPr>
                <w:ilvl w:val="0"/>
                <w:numId w:val="0"/>
              </w:numPr>
            </w:pPr>
            <w:r>
              <w:t>Amorphous silicon</w:t>
            </w:r>
          </w:p>
        </w:tc>
        <w:tc>
          <w:tcPr>
            <w:tcW w:w="2693" w:type="dxa"/>
          </w:tcPr>
          <w:p w14:paraId="0F8A9740" w14:textId="77777777" w:rsidR="00776060" w:rsidRDefault="00A93ED4" w:rsidP="00325F08">
            <w:pPr>
              <w:pStyle w:val="NumPara"/>
              <w:numPr>
                <w:ilvl w:val="0"/>
                <w:numId w:val="0"/>
              </w:numPr>
              <w:jc w:val="center"/>
            </w:pPr>
            <w:r>
              <w:t>205</w:t>
            </w:r>
          </w:p>
        </w:tc>
        <w:tc>
          <w:tcPr>
            <w:tcW w:w="2659" w:type="dxa"/>
          </w:tcPr>
          <w:p w14:paraId="52D92952" w14:textId="77777777" w:rsidR="00776060" w:rsidRDefault="00A93ED4" w:rsidP="00325F08">
            <w:pPr>
              <w:pStyle w:val="NumPara"/>
              <w:numPr>
                <w:ilvl w:val="0"/>
                <w:numId w:val="0"/>
              </w:numPr>
              <w:jc w:val="center"/>
            </w:pPr>
            <w:r>
              <w:t>7,603</w:t>
            </w:r>
          </w:p>
        </w:tc>
      </w:tr>
    </w:tbl>
    <w:p w14:paraId="282758AB" w14:textId="352E38FF" w:rsidR="00776060" w:rsidRDefault="00210048" w:rsidP="00210048">
      <w:pPr>
        <w:pStyle w:val="Caption"/>
        <w:jc w:val="center"/>
      </w:pPr>
      <w:bookmarkStart w:id="47" w:name="_Ref422465007"/>
      <w:r>
        <w:t xml:space="preserve">Table </w:t>
      </w:r>
      <w:r w:rsidR="00FA6C6B">
        <w:fldChar w:fldCharType="begin"/>
      </w:r>
      <w:r w:rsidR="00FA6C6B">
        <w:instrText xml:space="preserve"> SEQ Table \* ARABIC </w:instrText>
      </w:r>
      <w:r w:rsidR="00FA6C6B">
        <w:fldChar w:fldCharType="separate"/>
      </w:r>
      <w:r>
        <w:rPr>
          <w:noProof/>
        </w:rPr>
        <w:t>18</w:t>
      </w:r>
      <w:r w:rsidR="00FA6C6B">
        <w:rPr>
          <w:noProof/>
        </w:rPr>
        <w:fldChar w:fldCharType="end"/>
      </w:r>
      <w:bookmarkEnd w:id="47"/>
      <w:r>
        <w:t xml:space="preserve"> </w:t>
      </w:r>
      <w:r w:rsidR="00776060" w:rsidRPr="00960F07">
        <w:t>Estimated electricity generated by alternative PV systems.</w:t>
      </w:r>
    </w:p>
    <w:p w14:paraId="0881520B" w14:textId="77777777" w:rsidR="00A93ED4" w:rsidRPr="00A93ED4" w:rsidRDefault="00A93ED4" w:rsidP="00A93ED4"/>
    <w:p w14:paraId="64353321" w14:textId="77777777" w:rsidR="00776060" w:rsidRDefault="00776060" w:rsidP="00776060">
      <w:pPr>
        <w:pStyle w:val="NumPara"/>
      </w:pPr>
      <w:r>
        <w:t xml:space="preserve">The size and type of wind turbine that could accompany the building will be highly dependent on planning restriction in specific areas, so the following results should be seen as being indicative only. The potential to generate power will also be highly dependent on the local topography, the exposure of the site and the form and layout of the built environment that surrounds the site. It is assumed in this exercise that the dwelling is in an unsheltered position. </w:t>
      </w:r>
    </w:p>
    <w:p w14:paraId="67F76F99" w14:textId="3AFE5F5F" w:rsidR="00776060" w:rsidRDefault="00776060" w:rsidP="00776060">
      <w:pPr>
        <w:pStyle w:val="NumPara"/>
      </w:pPr>
      <w:r>
        <w:t>Three hub heights have been simulated; these were set at 10m, 15m and 20m from the ground level. The power rating (kW) required at each height to generate sufficient electricity and the totals generated in one year are shown i</w:t>
      </w:r>
      <w:r w:rsidR="0070001F">
        <w:t xml:space="preserve">n </w:t>
      </w:r>
      <w:r w:rsidR="0070001F">
        <w:fldChar w:fldCharType="begin"/>
      </w:r>
      <w:r w:rsidR="0070001F">
        <w:instrText xml:space="preserve"> REF _Ref422465523 \h </w:instrText>
      </w:r>
      <w:r w:rsidR="0070001F">
        <w:fldChar w:fldCharType="separate"/>
      </w:r>
      <w:r w:rsidR="0070001F">
        <w:t xml:space="preserve">Table </w:t>
      </w:r>
      <w:r w:rsidR="0070001F">
        <w:rPr>
          <w:noProof/>
        </w:rPr>
        <w:t>19</w:t>
      </w:r>
      <w:r w:rsidR="0070001F">
        <w:fldChar w:fldCharType="end"/>
      </w:r>
      <w:r>
        <w:t>. As with the PV systems, these have not been optimised to match the electricity demand and have been increased in capacity at increments of 5 kW until enough electricity is generated to serve the dwelling for one year.</w:t>
      </w:r>
      <w:r w:rsidR="009219FE">
        <w:t xml:space="preserve"> A 15kW system with a hub height of 20m would generate 7,473 kWh/year which is only 95 kWh from meeting the total required to operate the building</w:t>
      </w:r>
      <w:r w:rsidR="0070001F">
        <w:t>. I</w:t>
      </w:r>
      <w:r w:rsidR="00400B8F">
        <w:t>n reality</w:t>
      </w:r>
      <w:r w:rsidR="0070001F">
        <w:t>,</w:t>
      </w:r>
      <w:r w:rsidR="00400B8F">
        <w:t xml:space="preserve"> it is unlikely that the additional capital costs for the larger turbine would be justified when the smaller meets virtually all of the specified load. </w:t>
      </w:r>
      <w:r w:rsidR="009219FE">
        <w:t xml:space="preserve"> </w:t>
      </w:r>
    </w:p>
    <w:p w14:paraId="1A812F07" w14:textId="77777777" w:rsidR="00776060" w:rsidRDefault="00776060" w:rsidP="00776060">
      <w:pPr>
        <w:pStyle w:val="NumPara"/>
        <w:numPr>
          <w:ilvl w:val="0"/>
          <w:numId w:val="0"/>
        </w:numPr>
        <w:ind w:left="567"/>
      </w:pPr>
    </w:p>
    <w:tbl>
      <w:tblPr>
        <w:tblStyle w:val="TableGrid"/>
        <w:tblW w:w="0" w:type="auto"/>
        <w:tblInd w:w="567" w:type="dxa"/>
        <w:tblLook w:val="04A0" w:firstRow="1" w:lastRow="0" w:firstColumn="1" w:lastColumn="0" w:noHBand="0" w:noVBand="1"/>
      </w:tblPr>
      <w:tblGrid>
        <w:gridCol w:w="3652"/>
        <w:gridCol w:w="2693"/>
        <w:gridCol w:w="2659"/>
      </w:tblGrid>
      <w:tr w:rsidR="00776060" w14:paraId="77A3AF57" w14:textId="77777777" w:rsidTr="00325F08">
        <w:tc>
          <w:tcPr>
            <w:tcW w:w="3652" w:type="dxa"/>
          </w:tcPr>
          <w:p w14:paraId="68F5EF57" w14:textId="77777777" w:rsidR="00776060" w:rsidRDefault="00776060" w:rsidP="00325F08">
            <w:pPr>
              <w:pStyle w:val="NumPara"/>
              <w:numPr>
                <w:ilvl w:val="0"/>
                <w:numId w:val="0"/>
              </w:numPr>
            </w:pPr>
            <w:r>
              <w:t>Hub height (m)</w:t>
            </w:r>
          </w:p>
        </w:tc>
        <w:tc>
          <w:tcPr>
            <w:tcW w:w="2693" w:type="dxa"/>
          </w:tcPr>
          <w:p w14:paraId="3DEBC79B" w14:textId="77777777" w:rsidR="00776060" w:rsidRDefault="00776060" w:rsidP="00325F08">
            <w:pPr>
              <w:pStyle w:val="NumPara"/>
              <w:numPr>
                <w:ilvl w:val="0"/>
                <w:numId w:val="0"/>
              </w:numPr>
              <w:jc w:val="center"/>
            </w:pPr>
            <w:r>
              <w:t>Power rating (kW)</w:t>
            </w:r>
          </w:p>
        </w:tc>
        <w:tc>
          <w:tcPr>
            <w:tcW w:w="2659" w:type="dxa"/>
          </w:tcPr>
          <w:p w14:paraId="19554779" w14:textId="77777777" w:rsidR="00776060" w:rsidRDefault="00776060" w:rsidP="00325F08">
            <w:pPr>
              <w:pStyle w:val="NumPara"/>
              <w:numPr>
                <w:ilvl w:val="0"/>
                <w:numId w:val="0"/>
              </w:numPr>
              <w:jc w:val="center"/>
            </w:pPr>
            <w:r>
              <w:t>Energy generated (kWh):</w:t>
            </w:r>
          </w:p>
        </w:tc>
      </w:tr>
      <w:tr w:rsidR="00776060" w14:paraId="6524C6A3" w14:textId="77777777" w:rsidTr="00325F08">
        <w:tc>
          <w:tcPr>
            <w:tcW w:w="3652" w:type="dxa"/>
          </w:tcPr>
          <w:p w14:paraId="5D8A9A42" w14:textId="77777777" w:rsidR="00776060" w:rsidRDefault="00776060" w:rsidP="00325F08">
            <w:pPr>
              <w:pStyle w:val="NumPara"/>
              <w:numPr>
                <w:ilvl w:val="0"/>
                <w:numId w:val="0"/>
              </w:numPr>
            </w:pPr>
            <w:r>
              <w:t>10</w:t>
            </w:r>
          </w:p>
        </w:tc>
        <w:tc>
          <w:tcPr>
            <w:tcW w:w="2693" w:type="dxa"/>
          </w:tcPr>
          <w:p w14:paraId="294CC758" w14:textId="77777777" w:rsidR="00776060" w:rsidRDefault="00A93ED4" w:rsidP="00325F08">
            <w:pPr>
              <w:pStyle w:val="NumPara"/>
              <w:numPr>
                <w:ilvl w:val="0"/>
                <w:numId w:val="0"/>
              </w:numPr>
              <w:jc w:val="center"/>
            </w:pPr>
            <w:r>
              <w:t>25</w:t>
            </w:r>
          </w:p>
        </w:tc>
        <w:tc>
          <w:tcPr>
            <w:tcW w:w="2659" w:type="dxa"/>
          </w:tcPr>
          <w:p w14:paraId="01884DFE" w14:textId="77777777" w:rsidR="00776060" w:rsidRDefault="009A67CA" w:rsidP="00325F08">
            <w:pPr>
              <w:pStyle w:val="NumPara"/>
              <w:numPr>
                <w:ilvl w:val="0"/>
                <w:numId w:val="0"/>
              </w:numPr>
              <w:jc w:val="center"/>
            </w:pPr>
            <w:r>
              <w:t>7,947</w:t>
            </w:r>
          </w:p>
        </w:tc>
      </w:tr>
      <w:tr w:rsidR="00776060" w14:paraId="4647FD6D" w14:textId="77777777" w:rsidTr="00325F08">
        <w:tc>
          <w:tcPr>
            <w:tcW w:w="3652" w:type="dxa"/>
          </w:tcPr>
          <w:p w14:paraId="4EE5525A" w14:textId="77777777" w:rsidR="00776060" w:rsidRDefault="00776060" w:rsidP="00325F08">
            <w:r>
              <w:t>15</w:t>
            </w:r>
          </w:p>
        </w:tc>
        <w:tc>
          <w:tcPr>
            <w:tcW w:w="2693" w:type="dxa"/>
          </w:tcPr>
          <w:p w14:paraId="4E9524A8" w14:textId="77777777" w:rsidR="00776060" w:rsidRDefault="00A93ED4" w:rsidP="00325F08">
            <w:pPr>
              <w:pStyle w:val="NumPara"/>
              <w:numPr>
                <w:ilvl w:val="0"/>
                <w:numId w:val="0"/>
              </w:numPr>
              <w:jc w:val="center"/>
            </w:pPr>
            <w:r>
              <w:t>20</w:t>
            </w:r>
          </w:p>
        </w:tc>
        <w:tc>
          <w:tcPr>
            <w:tcW w:w="2659" w:type="dxa"/>
          </w:tcPr>
          <w:p w14:paraId="4AAC1254" w14:textId="77777777" w:rsidR="00776060" w:rsidRDefault="009219FE" w:rsidP="00325F08">
            <w:pPr>
              <w:pStyle w:val="NumPara"/>
              <w:numPr>
                <w:ilvl w:val="0"/>
                <w:numId w:val="0"/>
              </w:numPr>
              <w:jc w:val="center"/>
            </w:pPr>
            <w:r>
              <w:t>8,321</w:t>
            </w:r>
          </w:p>
        </w:tc>
      </w:tr>
      <w:tr w:rsidR="00776060" w14:paraId="0774CE20" w14:textId="77777777" w:rsidTr="00325F08">
        <w:tc>
          <w:tcPr>
            <w:tcW w:w="3652" w:type="dxa"/>
          </w:tcPr>
          <w:p w14:paraId="52D2216D" w14:textId="77777777" w:rsidR="00776060" w:rsidRDefault="00776060" w:rsidP="00325F08">
            <w:r>
              <w:t>20</w:t>
            </w:r>
          </w:p>
        </w:tc>
        <w:tc>
          <w:tcPr>
            <w:tcW w:w="2693" w:type="dxa"/>
          </w:tcPr>
          <w:p w14:paraId="625942D7" w14:textId="77777777" w:rsidR="00776060" w:rsidRDefault="00400B8F" w:rsidP="00325F08">
            <w:pPr>
              <w:pStyle w:val="NumPara"/>
              <w:numPr>
                <w:ilvl w:val="0"/>
                <w:numId w:val="0"/>
              </w:numPr>
              <w:jc w:val="center"/>
            </w:pPr>
            <w:r>
              <w:t>20</w:t>
            </w:r>
          </w:p>
        </w:tc>
        <w:tc>
          <w:tcPr>
            <w:tcW w:w="2659" w:type="dxa"/>
          </w:tcPr>
          <w:p w14:paraId="15660FB2" w14:textId="77777777" w:rsidR="00776060" w:rsidRDefault="00400B8F" w:rsidP="00325F08">
            <w:pPr>
              <w:pStyle w:val="NumPara"/>
              <w:numPr>
                <w:ilvl w:val="0"/>
                <w:numId w:val="0"/>
              </w:numPr>
              <w:jc w:val="center"/>
            </w:pPr>
            <w:r>
              <w:t>9,964</w:t>
            </w:r>
          </w:p>
        </w:tc>
      </w:tr>
    </w:tbl>
    <w:p w14:paraId="2714466B" w14:textId="7B0613AF" w:rsidR="000F4ABB" w:rsidRDefault="00210048" w:rsidP="00210048">
      <w:pPr>
        <w:pStyle w:val="Caption"/>
        <w:jc w:val="center"/>
      </w:pPr>
      <w:bookmarkStart w:id="48" w:name="_Ref422465523"/>
      <w:r>
        <w:t xml:space="preserve">Table </w:t>
      </w:r>
      <w:r w:rsidR="00FA6C6B">
        <w:fldChar w:fldCharType="begin"/>
      </w:r>
      <w:r w:rsidR="00FA6C6B">
        <w:instrText xml:space="preserve"> SEQ Table \* ARABIC </w:instrText>
      </w:r>
      <w:r w:rsidR="00FA6C6B">
        <w:fldChar w:fldCharType="separate"/>
      </w:r>
      <w:r>
        <w:rPr>
          <w:noProof/>
        </w:rPr>
        <w:t>19</w:t>
      </w:r>
      <w:r w:rsidR="00FA6C6B">
        <w:rPr>
          <w:noProof/>
        </w:rPr>
        <w:fldChar w:fldCharType="end"/>
      </w:r>
      <w:bookmarkEnd w:id="48"/>
      <w:r>
        <w:t xml:space="preserve"> </w:t>
      </w:r>
      <w:r w:rsidR="00776060" w:rsidRPr="008D0405">
        <w:t>Estimated electricity generated by alternative PV systems</w:t>
      </w:r>
      <w:r w:rsidR="0015568E">
        <w:t>.</w:t>
      </w:r>
    </w:p>
    <w:p w14:paraId="4FDE3177" w14:textId="77777777" w:rsidR="00FB4022" w:rsidRDefault="00FB4022" w:rsidP="009F3C02">
      <w:pPr>
        <w:pStyle w:val="Heading1"/>
      </w:pPr>
      <w:bookmarkStart w:id="49" w:name="_Toc422493082"/>
      <w:r w:rsidRPr="00B460FE">
        <w:t>Conclusions</w:t>
      </w:r>
      <w:r w:rsidR="009F3C02">
        <w:t xml:space="preserve"> and recommendations</w:t>
      </w:r>
      <w:bookmarkEnd w:id="49"/>
    </w:p>
    <w:p w14:paraId="1A1C7DB8" w14:textId="77777777" w:rsidR="00FB4022" w:rsidRDefault="00FB4022" w:rsidP="00FB4022">
      <w:pPr>
        <w:pStyle w:val="NumPara"/>
      </w:pPr>
      <w:r>
        <w:t xml:space="preserve">The following conclusions can be drawn </w:t>
      </w:r>
      <w:r w:rsidR="00102D7D">
        <w:t>from the findings of the thermal bridging calculations</w:t>
      </w:r>
      <w:r>
        <w:t>:</w:t>
      </w:r>
    </w:p>
    <w:p w14:paraId="520FCD5D" w14:textId="77777777" w:rsidR="009F3C02" w:rsidRDefault="00FB4022" w:rsidP="009F3C02">
      <w:pPr>
        <w:numPr>
          <w:ilvl w:val="1"/>
          <w:numId w:val="1"/>
        </w:numPr>
        <w:tabs>
          <w:tab w:val="num" w:pos="786"/>
        </w:tabs>
        <w:spacing w:before="60" w:after="60"/>
      </w:pPr>
      <w:r>
        <w:t>The thermal bridging calculation for the Lobby Threshold at Door (Improved) indicates that the steel plates to the lobby floor and landing deck represent substantial c</w:t>
      </w:r>
      <w:r w:rsidR="00102D7D">
        <w:t xml:space="preserve">onstructional thermal bridges. </w:t>
      </w:r>
      <w:r>
        <w:t>The steel plates will need to be thermally broken or the structural concept will need to be revised if the extent of ther</w:t>
      </w:r>
      <w:r w:rsidR="00102D7D">
        <w:t xml:space="preserve">mal bridging is to be reduced. </w:t>
      </w:r>
      <w:r>
        <w:t>Despite the extent of thermal bridging, the Lobby Threshold at Door (Improved) junction does not present a risk of surface condensation or mould growth.</w:t>
      </w:r>
    </w:p>
    <w:p w14:paraId="43465A9A" w14:textId="3D2CABF5" w:rsidR="009F3C02" w:rsidRDefault="00FB4022" w:rsidP="009F3C02">
      <w:pPr>
        <w:numPr>
          <w:ilvl w:val="1"/>
          <w:numId w:val="1"/>
        </w:numPr>
        <w:tabs>
          <w:tab w:val="num" w:pos="786"/>
        </w:tabs>
        <w:spacing w:before="60" w:after="60"/>
      </w:pPr>
      <w:r>
        <w:t>The Jamb (Improved) junction performs well when compared to th</w:t>
      </w:r>
      <w:r w:rsidR="00102D7D">
        <w:t xml:space="preserve">e Approved and Default values. </w:t>
      </w:r>
      <w:r>
        <w:t xml:space="preserve">The Jamb (Improved) junction does not present a risk of surface condensation </w:t>
      </w:r>
      <w:r w:rsidR="00AC3C95">
        <w:t xml:space="preserve">and </w:t>
      </w:r>
      <w:r>
        <w:t>mould growth.</w:t>
      </w:r>
    </w:p>
    <w:p w14:paraId="7D0E9C69" w14:textId="77777777" w:rsidR="00624863" w:rsidRDefault="00FB4022" w:rsidP="00624863">
      <w:pPr>
        <w:numPr>
          <w:ilvl w:val="1"/>
          <w:numId w:val="1"/>
        </w:numPr>
        <w:tabs>
          <w:tab w:val="num" w:pos="786"/>
        </w:tabs>
        <w:spacing w:before="60" w:after="60"/>
      </w:pPr>
      <w:r>
        <w:t>The steel plate decking to the landing deck in the Lobby Floor/External Wall (Improved) junction represents</w:t>
      </w:r>
      <w:r w:rsidR="00102D7D">
        <w:t xml:space="preserve"> a substantial thermal bridge. </w:t>
      </w:r>
      <w:r>
        <w:t>The steel will need to be isolated or removed from the structural concept if the extent of the ther</w:t>
      </w:r>
      <w:r w:rsidR="00102D7D">
        <w:t xml:space="preserve">mal bridging is to be reduced. </w:t>
      </w:r>
      <w:r>
        <w:t>Despite the extent of thermal bridging, the Lobby Floor/External Wall (Improved) junction does not present a risk of surface condensation or mould growth.</w:t>
      </w:r>
    </w:p>
    <w:p w14:paraId="34935983" w14:textId="77777777" w:rsidR="00AC3C95" w:rsidRDefault="00AC3C95" w:rsidP="00624863">
      <w:pPr>
        <w:numPr>
          <w:ilvl w:val="1"/>
          <w:numId w:val="1"/>
        </w:numPr>
        <w:tabs>
          <w:tab w:val="num" w:pos="786"/>
        </w:tabs>
        <w:spacing w:before="60" w:after="60"/>
      </w:pPr>
      <w:r>
        <w:t xml:space="preserve">Changing the material of the spigot substantially improves the </w:t>
      </w:r>
      <w:r>
        <w:rPr>
          <w:rFonts w:cs="Arial"/>
        </w:rPr>
        <w:t>Ψ</w:t>
      </w:r>
      <w:r>
        <w:t>-value of the services penetration and eliminates the risk of surface condensation present in the original design.</w:t>
      </w:r>
    </w:p>
    <w:p w14:paraId="4E2E0B80" w14:textId="77777777" w:rsidR="00FA66F2" w:rsidRDefault="00FA66F2" w:rsidP="00FA66F2">
      <w:pPr>
        <w:pStyle w:val="NumPara"/>
      </w:pPr>
      <w:r>
        <w:t>The following conclusions can be drawn from the findings of the dynamic thermal simulations:</w:t>
      </w:r>
    </w:p>
    <w:p w14:paraId="577C034B" w14:textId="6BEEBC06" w:rsidR="00543046" w:rsidRDefault="00FA66F2" w:rsidP="00FA66F2">
      <w:pPr>
        <w:numPr>
          <w:ilvl w:val="1"/>
          <w:numId w:val="1"/>
        </w:numPr>
        <w:tabs>
          <w:tab w:val="num" w:pos="786"/>
        </w:tabs>
        <w:spacing w:before="60" w:after="60"/>
      </w:pPr>
      <w:r>
        <w:t>Overall ener</w:t>
      </w:r>
      <w:r w:rsidR="00BA3D6C">
        <w:t>gy consumption in the baseline S</w:t>
      </w:r>
      <w:r>
        <w:t>cenario 2.1 is estimated to be relatively low</w:t>
      </w:r>
      <w:r w:rsidR="00543046">
        <w:t xml:space="preserve">. This is due to the thermal efficiency of the building fabric and the high </w:t>
      </w:r>
      <w:proofErr w:type="spellStart"/>
      <w:r w:rsidR="00543046">
        <w:t>CoP</w:t>
      </w:r>
      <w:proofErr w:type="spellEnd"/>
      <w:r w:rsidR="00543046">
        <w:t xml:space="preserve"> of the specified heat pump.</w:t>
      </w:r>
    </w:p>
    <w:p w14:paraId="4B972D43" w14:textId="2286E6DD" w:rsidR="00543046" w:rsidRDefault="00BA3D6C" w:rsidP="00FA66F2">
      <w:pPr>
        <w:numPr>
          <w:ilvl w:val="1"/>
          <w:numId w:val="1"/>
        </w:numPr>
        <w:tabs>
          <w:tab w:val="num" w:pos="786"/>
        </w:tabs>
        <w:spacing w:before="60" w:after="60"/>
      </w:pPr>
      <w:r>
        <w:lastRenderedPageBreak/>
        <w:t>The baseline S</w:t>
      </w:r>
      <w:r w:rsidR="00543046">
        <w:t>cenario 2.1 included in this report is the most efficient version of the dwelling that has been modelled in either this or the Innovate UK Innovation Voucher report. The CO</w:t>
      </w:r>
      <w:r w:rsidR="00543046" w:rsidRPr="00543046">
        <w:rPr>
          <w:vertAlign w:val="subscript"/>
        </w:rPr>
        <w:t>2</w:t>
      </w:r>
      <w:r w:rsidR="00543046">
        <w:t xml:space="preserve"> emissions from versions of t</w:t>
      </w:r>
      <w:r>
        <w:t xml:space="preserve">he dwelling with either the gas-fired </w:t>
      </w:r>
      <w:r w:rsidR="00543046">
        <w:t>or electricity fuelled heating systems are however in a similar range.</w:t>
      </w:r>
    </w:p>
    <w:p w14:paraId="01B03517" w14:textId="17F1D1F8" w:rsidR="00543046" w:rsidRDefault="00BA3D6C" w:rsidP="00543046">
      <w:pPr>
        <w:numPr>
          <w:ilvl w:val="1"/>
          <w:numId w:val="1"/>
        </w:numPr>
        <w:tabs>
          <w:tab w:val="num" w:pos="786"/>
        </w:tabs>
        <w:spacing w:before="60" w:after="60"/>
      </w:pPr>
      <w:r>
        <w:t>The baseline S</w:t>
      </w:r>
      <w:r w:rsidR="00543046">
        <w:t>cenario 2.1 is however predicted to experience excessive overheating when assessed using either absolute or adaptive comfort criteria; this is contrary to the SAP calculations provided by the client which indicates that external shutters and the fresh air delivered by the MVHR system would be sufficient to avoid summer overheating.</w:t>
      </w:r>
    </w:p>
    <w:p w14:paraId="5FF16D59" w14:textId="77777777" w:rsidR="00543046" w:rsidRDefault="00543046" w:rsidP="00543046">
      <w:pPr>
        <w:numPr>
          <w:ilvl w:val="1"/>
          <w:numId w:val="1"/>
        </w:numPr>
        <w:tabs>
          <w:tab w:val="num" w:pos="786"/>
        </w:tabs>
        <w:spacing w:before="60" w:after="60"/>
      </w:pPr>
      <w:r>
        <w:t xml:space="preserve">The rotation has limited impact on the overall energy consumption in any of the scenarios examined in this </w:t>
      </w:r>
      <w:r w:rsidR="009219FE">
        <w:t>report;</w:t>
      </w:r>
      <w:r>
        <w:t xml:space="preserve"> the largest saving is approximately 40 kWh per annum.</w:t>
      </w:r>
    </w:p>
    <w:p w14:paraId="4BFCDFCD" w14:textId="77777777" w:rsidR="00543046" w:rsidRDefault="00543046" w:rsidP="00543046">
      <w:pPr>
        <w:numPr>
          <w:ilvl w:val="1"/>
          <w:numId w:val="1"/>
        </w:numPr>
        <w:tabs>
          <w:tab w:val="num" w:pos="786"/>
        </w:tabs>
        <w:spacing w:before="60" w:after="60"/>
      </w:pPr>
      <w:r>
        <w:t>It is only when additional cooling is provided that the dwelling will avoid excessive overheating.</w:t>
      </w:r>
    </w:p>
    <w:p w14:paraId="3F229E9A" w14:textId="26D62D9A" w:rsidR="00AE25F7" w:rsidRDefault="00543046" w:rsidP="00543046">
      <w:pPr>
        <w:numPr>
          <w:ilvl w:val="1"/>
          <w:numId w:val="1"/>
        </w:numPr>
        <w:tabs>
          <w:tab w:val="num" w:pos="786"/>
        </w:tabs>
        <w:spacing w:before="60" w:after="60"/>
      </w:pPr>
      <w:r>
        <w:t>The naturally venti</w:t>
      </w:r>
      <w:r w:rsidR="00BA3D6C">
        <w:t>lated version of the building (S</w:t>
      </w:r>
      <w:r>
        <w:t>cenario 3.3) offers the most efficient means of cooling the building from the models tested in this work</w:t>
      </w:r>
      <w:r w:rsidR="00AE25F7">
        <w:t xml:space="preserve"> for the Leeds location</w:t>
      </w:r>
      <w:r>
        <w:t>.</w:t>
      </w:r>
    </w:p>
    <w:p w14:paraId="2E2B5FB3" w14:textId="5A8DB350" w:rsidR="00AE25F7" w:rsidRDefault="00AE25F7" w:rsidP="00AE25F7">
      <w:pPr>
        <w:numPr>
          <w:ilvl w:val="1"/>
          <w:numId w:val="1"/>
        </w:numPr>
        <w:tabs>
          <w:tab w:val="num" w:pos="786"/>
        </w:tabs>
        <w:spacing w:before="60" w:after="60"/>
      </w:pPr>
      <w:r>
        <w:t xml:space="preserve">There is a wide range of performance across the alternative CIBSE weather location sites and </w:t>
      </w:r>
      <w:r w:rsidR="00BA3D6C">
        <w:t>in most locations the baseline S</w:t>
      </w:r>
      <w:r>
        <w:t>cenario 2.1 avoids excessive overheating when assessed using the adaptive comfort criteria.</w:t>
      </w:r>
      <w:r w:rsidR="002F7721">
        <w:t xml:space="preserve"> The range of these results also helps to emphasise the limitations of SAP in provi</w:t>
      </w:r>
      <w:r w:rsidR="00BA3D6C">
        <w:t>ding detailed design assessment, particularly with respect to overheating risk.</w:t>
      </w:r>
    </w:p>
    <w:p w14:paraId="51032321" w14:textId="60F3FE18" w:rsidR="00FA66F2" w:rsidRDefault="00BA3D6C" w:rsidP="00AE25F7">
      <w:pPr>
        <w:numPr>
          <w:ilvl w:val="1"/>
          <w:numId w:val="1"/>
        </w:numPr>
        <w:tabs>
          <w:tab w:val="num" w:pos="786"/>
        </w:tabs>
        <w:spacing w:before="60" w:after="60"/>
      </w:pPr>
      <w:r>
        <w:t xml:space="preserve"> As with S</w:t>
      </w:r>
      <w:r w:rsidR="00AE25F7">
        <w:t xml:space="preserve">cenario 1.1, </w:t>
      </w:r>
      <w:r>
        <w:t xml:space="preserve">the </w:t>
      </w:r>
      <w:r w:rsidR="00AE25F7">
        <w:t>e</w:t>
      </w:r>
      <w:r w:rsidR="00AE25F7" w:rsidRPr="00AE25F7">
        <w:t xml:space="preserve">lectricity demand </w:t>
      </w:r>
      <w:r>
        <w:t xml:space="preserve">associated with Scenario 2.1 </w:t>
      </w:r>
      <w:r w:rsidR="00AE25F7" w:rsidRPr="00AE25F7">
        <w:t xml:space="preserve">could be met by </w:t>
      </w:r>
      <w:r>
        <w:t xml:space="preserve">the installation of </w:t>
      </w:r>
      <w:r w:rsidR="00AE25F7" w:rsidRPr="00AE25F7">
        <w:t xml:space="preserve">either </w:t>
      </w:r>
      <w:r>
        <w:t xml:space="preserve">a </w:t>
      </w:r>
      <w:r w:rsidR="00AE25F7" w:rsidRPr="00AE25F7">
        <w:t xml:space="preserve">PV </w:t>
      </w:r>
      <w:r>
        <w:t xml:space="preserve">system </w:t>
      </w:r>
      <w:r w:rsidR="00AE25F7" w:rsidRPr="00AE25F7">
        <w:t>or a wind turbine installed on site</w:t>
      </w:r>
      <w:r>
        <w:t xml:space="preserve">. However, </w:t>
      </w:r>
      <w:r w:rsidR="00AE25F7">
        <w:t xml:space="preserve">due to the size of the </w:t>
      </w:r>
      <w:r>
        <w:t>installation required, such systems are not capable of being integrated into the building fabric or structure, so would need to be mounted remotely from the prototype dwelling</w:t>
      </w:r>
      <w:r w:rsidR="00AE25F7">
        <w:t>.</w:t>
      </w:r>
      <w:r w:rsidR="00AE25F7" w:rsidRPr="00AE25F7">
        <w:t xml:space="preserve"> </w:t>
      </w:r>
      <w:r w:rsidR="00AE25F7">
        <w:t xml:space="preserve">It should </w:t>
      </w:r>
      <w:r>
        <w:t xml:space="preserve">also </w:t>
      </w:r>
      <w:r w:rsidR="00AE25F7">
        <w:t>be reiterated that</w:t>
      </w:r>
      <w:r w:rsidR="00AE25F7" w:rsidRPr="00AE25F7">
        <w:t xml:space="preserve"> the software used for this analysis has limited scope for evaluating these systems in detail.</w:t>
      </w:r>
    </w:p>
    <w:p w14:paraId="4D70CC2B" w14:textId="77777777" w:rsidR="00BA3D6C" w:rsidRDefault="00BA3D6C" w:rsidP="00BA3D6C">
      <w:pPr>
        <w:pStyle w:val="NumPara"/>
      </w:pPr>
      <w:r>
        <w:t>The following recommendations are made based on the conclusions of the thermal bridging calculations:</w:t>
      </w:r>
    </w:p>
    <w:p w14:paraId="7B557D09" w14:textId="77777777" w:rsidR="00BA3D6C" w:rsidRDefault="00BA3D6C" w:rsidP="00BA3D6C">
      <w:pPr>
        <w:numPr>
          <w:ilvl w:val="1"/>
          <w:numId w:val="1"/>
        </w:numPr>
        <w:tabs>
          <w:tab w:val="num" w:pos="786"/>
        </w:tabs>
        <w:spacing w:before="60" w:after="60"/>
      </w:pPr>
      <w:r>
        <w:t>Designs should be explored to thermally isolate or remove the steel plates in the Lobby Threshold at Door (Improved) junction.</w:t>
      </w:r>
    </w:p>
    <w:p w14:paraId="19AAC64C" w14:textId="77777777" w:rsidR="00BA3D6C" w:rsidRDefault="00BA3D6C" w:rsidP="00BA3D6C">
      <w:pPr>
        <w:numPr>
          <w:ilvl w:val="1"/>
          <w:numId w:val="1"/>
        </w:numPr>
        <w:tabs>
          <w:tab w:val="num" w:pos="786"/>
        </w:tabs>
        <w:spacing w:before="60" w:after="60"/>
      </w:pPr>
      <w:r>
        <w:t>The Lobby Floor/External Wall (Improved) junctions should be revised to isolate or remove the steel plate decking to the landing deck.</w:t>
      </w:r>
    </w:p>
    <w:p w14:paraId="00677F4F" w14:textId="77777777" w:rsidR="00D42D96" w:rsidRDefault="00D42D96" w:rsidP="00D42D96">
      <w:pPr>
        <w:pStyle w:val="NumPara"/>
      </w:pPr>
      <w:r>
        <w:t>The following recommendations are made based on the conclusions of the dynamic thermal simulations:</w:t>
      </w:r>
    </w:p>
    <w:p w14:paraId="5565ADAE" w14:textId="7D18D68A" w:rsidR="00C97B83" w:rsidRDefault="00D42D96" w:rsidP="00D42D96">
      <w:pPr>
        <w:numPr>
          <w:ilvl w:val="1"/>
          <w:numId w:val="1"/>
        </w:numPr>
        <w:tabs>
          <w:tab w:val="num" w:pos="786"/>
        </w:tabs>
        <w:spacing w:before="60" w:after="60"/>
      </w:pPr>
      <w:r>
        <w:t xml:space="preserve">It will be useful to establish how much energy is required to rotate the building. Potential </w:t>
      </w:r>
      <w:r w:rsidR="00BA3D6C">
        <w:t xml:space="preserve">energy </w:t>
      </w:r>
      <w:r>
        <w:t>savings</w:t>
      </w:r>
      <w:r w:rsidR="00BA3D6C">
        <w:t xml:space="preserve"> associated with rotating the dwelling </w:t>
      </w:r>
      <w:r>
        <w:t>in all of the models simulated in this report are very low. During development of the overall design</w:t>
      </w:r>
      <w:r w:rsidR="00BA3D6C">
        <w:t>,</w:t>
      </w:r>
      <w:r>
        <w:t xml:space="preserve"> it should be noted that </w:t>
      </w:r>
      <w:r w:rsidR="00BA3D6C">
        <w:t xml:space="preserve">the </w:t>
      </w:r>
      <w:r>
        <w:t>more eff</w:t>
      </w:r>
      <w:r w:rsidR="00C97B83">
        <w:t>icient the space heating system, the less absolute saving that is made</w:t>
      </w:r>
      <w:r>
        <w:t xml:space="preserve"> </w:t>
      </w:r>
      <w:r w:rsidR="00C97B83">
        <w:t xml:space="preserve">to offset the energy required for </w:t>
      </w:r>
      <w:r w:rsidR="000054BC">
        <w:t>rotation.</w:t>
      </w:r>
    </w:p>
    <w:p w14:paraId="13EF5878" w14:textId="77777777" w:rsidR="00D42D96" w:rsidRDefault="00D42D96" w:rsidP="00D42D96">
      <w:pPr>
        <w:numPr>
          <w:ilvl w:val="1"/>
          <w:numId w:val="1"/>
        </w:numPr>
        <w:tabs>
          <w:tab w:val="num" w:pos="786"/>
        </w:tabs>
        <w:spacing w:before="60" w:after="60"/>
      </w:pPr>
      <w:r>
        <w:t>The use of natural ventilation should be considered as it provides an efficient means of mitigating overheating and warrants further investigation once the design has been developed further.</w:t>
      </w:r>
    </w:p>
    <w:p w14:paraId="6021BE98" w14:textId="77777777" w:rsidR="00D42D96" w:rsidRDefault="00D42D96" w:rsidP="00D42D96">
      <w:pPr>
        <w:numPr>
          <w:ilvl w:val="1"/>
          <w:numId w:val="1"/>
        </w:numPr>
        <w:tabs>
          <w:tab w:val="num" w:pos="786"/>
        </w:tabs>
        <w:spacing w:before="60" w:after="60"/>
      </w:pPr>
      <w:r>
        <w:t>The possibility of adding extra opening windows should be considered for sites that are predicted to experience high levels of overheating.</w:t>
      </w:r>
    </w:p>
    <w:p w14:paraId="0999C69B" w14:textId="2C776A22" w:rsidR="002F7721" w:rsidRDefault="00D42D96" w:rsidP="00D42D96">
      <w:pPr>
        <w:numPr>
          <w:ilvl w:val="1"/>
          <w:numId w:val="1"/>
        </w:numPr>
        <w:tabs>
          <w:tab w:val="num" w:pos="786"/>
        </w:tabs>
        <w:spacing w:before="60" w:after="60"/>
      </w:pPr>
      <w:r>
        <w:t xml:space="preserve">In accordance with the details provided in the SAP calculations, all models simulated in this work assumed that external shutters were closed during daylight hours. The practicality of this </w:t>
      </w:r>
      <w:r w:rsidR="002F7721">
        <w:t xml:space="preserve">in reality </w:t>
      </w:r>
      <w:r>
        <w:t>should be considered</w:t>
      </w:r>
      <w:r w:rsidR="000054BC">
        <w:t>,</w:t>
      </w:r>
      <w:r w:rsidR="002F7721">
        <w:t xml:space="preserve"> and if alternative solutions are proposed</w:t>
      </w:r>
      <w:r w:rsidR="000054BC">
        <w:t>,</w:t>
      </w:r>
      <w:r w:rsidR="002F7721">
        <w:t xml:space="preserve"> these should be modelled to test their impact on summertime internal temperatures.</w:t>
      </w:r>
    </w:p>
    <w:p w14:paraId="6B64E5AC" w14:textId="73FD8655" w:rsidR="002F7721" w:rsidRDefault="002F7721" w:rsidP="00D42D96">
      <w:pPr>
        <w:numPr>
          <w:ilvl w:val="1"/>
          <w:numId w:val="1"/>
        </w:numPr>
        <w:tabs>
          <w:tab w:val="num" w:pos="786"/>
        </w:tabs>
        <w:spacing w:before="60" w:after="60"/>
      </w:pPr>
      <w:r>
        <w:t>In the models that include opening windows</w:t>
      </w:r>
      <w:r w:rsidR="000054BC">
        <w:t>,</w:t>
      </w:r>
      <w:r>
        <w:t xml:space="preserve"> triple glazed units are specified based upon the design drawings. This is effectively a vertical double glazed unit with a third layer of glazing following the external curve of the building fabric. Again, the practicality of this should be considered as this would re</w:t>
      </w:r>
      <w:r w:rsidR="000054BC">
        <w:t xml:space="preserve">quire two opening mechanisms. One potential option would be to remove the </w:t>
      </w:r>
      <w:r>
        <w:t>outer layer of glazing</w:t>
      </w:r>
      <w:r w:rsidR="000054BC">
        <w:t xml:space="preserve">. However, this will require the dwelling </w:t>
      </w:r>
      <w:r>
        <w:t>to be simulated again to understand the impact on overall performance.</w:t>
      </w:r>
    </w:p>
    <w:p w14:paraId="18CBEEA0" w14:textId="6E5F2383" w:rsidR="00381B2F" w:rsidRDefault="00381B2F" w:rsidP="00381B2F">
      <w:pPr>
        <w:numPr>
          <w:ilvl w:val="1"/>
          <w:numId w:val="1"/>
        </w:numPr>
        <w:tabs>
          <w:tab w:val="num" w:pos="786"/>
        </w:tabs>
        <w:spacing w:before="60" w:after="60"/>
      </w:pPr>
      <w:r>
        <w:t>It is worth noting that the rooms that experience the most overheating (lounge, study and kitchen) are all l</w:t>
      </w:r>
      <w:r w:rsidR="000054BC">
        <w:t>ocated on L5 where there are no</w:t>
      </w:r>
      <w:r>
        <w:t xml:space="preserve"> storage voids. It would be expected that these spaces overheat more frequently due their occupancy patterns</w:t>
      </w:r>
      <w:r w:rsidR="000054BC">
        <w:t>,</w:t>
      </w:r>
      <w:r>
        <w:t xml:space="preserve"> but the impact of unconditioned buffer spaces like the storage voids may be worthy of further investigation.</w:t>
      </w:r>
    </w:p>
    <w:p w14:paraId="628E1C68" w14:textId="77777777" w:rsidR="002F7721" w:rsidRDefault="002F7721" w:rsidP="00D42D96">
      <w:pPr>
        <w:numPr>
          <w:ilvl w:val="1"/>
          <w:numId w:val="1"/>
        </w:numPr>
        <w:tabs>
          <w:tab w:val="num" w:pos="786"/>
        </w:tabs>
        <w:spacing w:before="60" w:after="60"/>
      </w:pPr>
      <w:r>
        <w:lastRenderedPageBreak/>
        <w:t>The ability of specific MVHR systems to deliver additional cooling could also be explored. A particular system may be able to provide sufficient fresh air to avoid overheating in summer months. It would again be advised that this be evaluated using simulation models.</w:t>
      </w:r>
    </w:p>
    <w:p w14:paraId="00E4A909" w14:textId="77777777" w:rsidR="00776060" w:rsidRDefault="002F7721" w:rsidP="00D42D96">
      <w:pPr>
        <w:numPr>
          <w:ilvl w:val="1"/>
          <w:numId w:val="1"/>
        </w:numPr>
        <w:tabs>
          <w:tab w:val="num" w:pos="786"/>
        </w:tabs>
        <w:spacing w:before="60" w:after="60"/>
      </w:pPr>
      <w:r>
        <w:t xml:space="preserve">It will be beneficial to model any proposed </w:t>
      </w:r>
      <w:r w:rsidR="00776060">
        <w:t>buildings</w:t>
      </w:r>
      <w:r>
        <w:t xml:space="preserve"> using location specific simulation weather files as this could help to optimise design for </w:t>
      </w:r>
      <w:r w:rsidR="00776060">
        <w:t>local conditions. This can also include topographical and localised site shading and exposure.</w:t>
      </w:r>
    </w:p>
    <w:p w14:paraId="5F357D48" w14:textId="77777777" w:rsidR="00D42D96" w:rsidRDefault="00776060" w:rsidP="00D42D96">
      <w:pPr>
        <w:numPr>
          <w:ilvl w:val="1"/>
          <w:numId w:val="1"/>
        </w:numPr>
        <w:tabs>
          <w:tab w:val="num" w:pos="786"/>
        </w:tabs>
        <w:spacing w:before="60" w:after="60"/>
      </w:pPr>
      <w:r>
        <w:t>It is advised that any proposed renewable energy generation systems are evaluated in a site specific context using more specialised software.</w:t>
      </w:r>
      <w:r w:rsidR="002F7721">
        <w:t xml:space="preserve">  </w:t>
      </w:r>
      <w:r w:rsidR="00D42D96">
        <w:t xml:space="preserve">  </w:t>
      </w:r>
    </w:p>
    <w:p w14:paraId="22142A25" w14:textId="77777777" w:rsidR="00F73CC3" w:rsidRDefault="00F73CC3" w:rsidP="00F47BDD">
      <w:pPr>
        <w:pStyle w:val="Heading1"/>
      </w:pPr>
      <w:bookmarkStart w:id="50" w:name="_Toc422493083"/>
      <w:r>
        <w:t>References</w:t>
      </w:r>
      <w:bookmarkEnd w:id="50"/>
    </w:p>
    <w:p w14:paraId="7AA19D76" w14:textId="77777777" w:rsidR="00F034FC" w:rsidRDefault="00F034FC" w:rsidP="00F034FC">
      <w:r>
        <w:t>Anderson, B. (2006) Conventions for U-value Calculations. BR 443. Watford: Building Research Establishment.</w:t>
      </w:r>
    </w:p>
    <w:p w14:paraId="2522B7C6" w14:textId="77777777" w:rsidR="00F034FC" w:rsidRDefault="00F034FC" w:rsidP="00F034FC">
      <w:r w:rsidRPr="00F63173">
        <w:t>ASHRAE (2007) Standard 140-2007: Standard method of test for the evaluation of building energy analysis computer programs. Atlanta: ASHRAE</w:t>
      </w:r>
      <w:r>
        <w:t>.</w:t>
      </w:r>
    </w:p>
    <w:p w14:paraId="3FF0DCCE" w14:textId="77777777" w:rsidR="00F034FC" w:rsidRDefault="00F034FC" w:rsidP="00F034FC">
      <w:r>
        <w:t xml:space="preserve">British Standards Institution (2000) BS EN 12524: Building Materials and Products – </w:t>
      </w:r>
      <w:proofErr w:type="spellStart"/>
      <w:r>
        <w:t>Hygrothermal</w:t>
      </w:r>
      <w:proofErr w:type="spellEnd"/>
      <w:r>
        <w:t xml:space="preserve"> Properties – Tabulated Design Values. Milton Keynes: British Standards Institution.</w:t>
      </w:r>
    </w:p>
    <w:p w14:paraId="16539551" w14:textId="77777777" w:rsidR="00F034FC" w:rsidRDefault="00F034FC" w:rsidP="00F034FC">
      <w:r>
        <w:t>British Standards Institution. (2007) BS EN ISO 6946: Building Components and Building Elements – Thermal Resistance and Thermal Transmittance – Calculation Methods. Milton Keynes: British Standards Institution.</w:t>
      </w:r>
    </w:p>
    <w:p w14:paraId="1F940D09" w14:textId="77777777" w:rsidR="00F034FC" w:rsidRDefault="00F034FC" w:rsidP="00F034FC">
      <w:r w:rsidRPr="00765FA9">
        <w:t>CIBSE (2006</w:t>
      </w:r>
      <w:r>
        <w:t>a</w:t>
      </w:r>
      <w:r w:rsidRPr="00765FA9">
        <w:t>) TM33: Tests for Software Accreditation &amp; Verification. London: CIBSE</w:t>
      </w:r>
      <w:r>
        <w:t>.</w:t>
      </w:r>
    </w:p>
    <w:p w14:paraId="0DC4C620" w14:textId="77777777" w:rsidR="00F034FC" w:rsidRDefault="00F034FC" w:rsidP="00F034FC">
      <w:r>
        <w:t>CIBSE (2006b) Guide A: Environmental Design. CIBSE: London.</w:t>
      </w:r>
    </w:p>
    <w:p w14:paraId="50F16169" w14:textId="77777777" w:rsidR="00F034FC" w:rsidRDefault="00F034FC" w:rsidP="00F034FC">
      <w:r>
        <w:t xml:space="preserve">CIBSE (2006c) </w:t>
      </w:r>
      <w:r w:rsidRPr="00F63173">
        <w:t xml:space="preserve">Current CIBSE TRY </w:t>
      </w:r>
      <w:r>
        <w:t>and DSY</w:t>
      </w:r>
      <w:r w:rsidRPr="00F63173">
        <w:t xml:space="preserve"> Hourly Weather Data</w:t>
      </w:r>
      <w:r>
        <w:t xml:space="preserve"> (2005 files). London: CIBSE.</w:t>
      </w:r>
    </w:p>
    <w:p w14:paraId="5732E44A" w14:textId="77777777" w:rsidR="00F034FC" w:rsidRDefault="00F034FC" w:rsidP="00F034FC">
      <w:r>
        <w:t>CIBSE (2013) TM52: The limits of thermal comfort: avoiding overheating in European buildings. CIBSE: London.</w:t>
      </w:r>
    </w:p>
    <w:p w14:paraId="566CE158" w14:textId="77777777" w:rsidR="00F034FC" w:rsidRDefault="00F034FC" w:rsidP="00F034FC">
      <w:r>
        <w:t>Department of Energy and Climate Change (2013) SAP 2012: The Government’s Standard Assessment Procedure for Energy Rating of Dwellings. Watford: Building Research Establishment.</w:t>
      </w:r>
    </w:p>
    <w:p w14:paraId="2A0DCD7A" w14:textId="77777777" w:rsidR="00F034FC" w:rsidRDefault="00F034FC" w:rsidP="00F034FC">
      <w:proofErr w:type="spellStart"/>
      <w:r>
        <w:t>Golinksi</w:t>
      </w:r>
      <w:proofErr w:type="spellEnd"/>
      <w:r>
        <w:t xml:space="preserve">, J. (2011) Regulations compliance report for </w:t>
      </w:r>
      <w:r w:rsidRPr="00F63173">
        <w:t>Eco Dwelling Prototype</w:t>
      </w:r>
      <w:r>
        <w:t xml:space="preserve">. Printed </w:t>
      </w:r>
      <w:r w:rsidRPr="00F63173">
        <w:t>11</w:t>
      </w:r>
      <w:r>
        <w:t>th</w:t>
      </w:r>
      <w:r w:rsidRPr="00F63173">
        <w:t xml:space="preserve"> August 2011 at 13:21:08</w:t>
      </w:r>
      <w:r>
        <w:t>.</w:t>
      </w:r>
    </w:p>
    <w:p w14:paraId="6E90995C" w14:textId="77777777" w:rsidR="00F034FC" w:rsidRDefault="00F034FC" w:rsidP="00F034FC">
      <w:r>
        <w:t>HM Government (2013) Approved Document L1A: Conservation of Fuel and Power in New Dwellings. The Building Regulations 2010. London: NBS.</w:t>
      </w:r>
    </w:p>
    <w:p w14:paraId="3C5848AC" w14:textId="77777777" w:rsidR="00F034FC" w:rsidRDefault="00F034FC" w:rsidP="00F034FC">
      <w:r w:rsidRPr="00765FA9">
        <w:t>Integrated Environmental Solutions. (201</w:t>
      </w:r>
      <w:r>
        <w:t>4</w:t>
      </w:r>
      <w:r w:rsidRPr="00765FA9">
        <w:t>) Virtual Environment, version 201</w:t>
      </w:r>
      <w:r>
        <w:t>4</w:t>
      </w:r>
      <w:r w:rsidRPr="00765FA9">
        <w:t>.</w:t>
      </w:r>
      <w:r>
        <w:t>2</w:t>
      </w:r>
      <w:r w:rsidRPr="00765FA9">
        <w:t>.</w:t>
      </w:r>
      <w:r>
        <w:t>1</w:t>
      </w:r>
      <w:r w:rsidRPr="00765FA9">
        <w:t>.</w:t>
      </w:r>
      <w:r>
        <w:t>0</w:t>
      </w:r>
      <w:r w:rsidRPr="00765FA9">
        <w:t>.</w:t>
      </w:r>
    </w:p>
    <w:p w14:paraId="5F223FD6" w14:textId="44AD8F6B" w:rsidR="00325F08" w:rsidRDefault="00325F08" w:rsidP="00F034FC">
      <w:r>
        <w:t>Johnston, D. Brooke-Peat, M. and Parker, J. (2015) Innovate UK Innovation Voucher P</w:t>
      </w:r>
      <w:r w:rsidRPr="00325F08">
        <w:t>roject – Development of a Low Energy 3 Bedroom Prototype Dwelling</w:t>
      </w:r>
      <w:r>
        <w:t>. Leeds, Leeds Sustainability Institute, Leeds Beckett University.</w:t>
      </w:r>
    </w:p>
    <w:p w14:paraId="21E8B7D7" w14:textId="77777777" w:rsidR="00F034FC" w:rsidRDefault="00F034FC" w:rsidP="00F034FC">
      <w:proofErr w:type="spellStart"/>
      <w:r>
        <w:t>Physibel</w:t>
      </w:r>
      <w:proofErr w:type="spellEnd"/>
      <w:r>
        <w:t xml:space="preserve"> (2010) TRISCO. </w:t>
      </w:r>
      <w:proofErr w:type="gramStart"/>
      <w:r>
        <w:t>version</w:t>
      </w:r>
      <w:proofErr w:type="gramEnd"/>
      <w:r>
        <w:t xml:space="preserve"> 12.0w [Software]. </w:t>
      </w:r>
      <w:proofErr w:type="spellStart"/>
      <w:r>
        <w:t>Maldegem</w:t>
      </w:r>
      <w:proofErr w:type="spellEnd"/>
      <w:r>
        <w:t xml:space="preserve">: </w:t>
      </w:r>
      <w:proofErr w:type="spellStart"/>
      <w:r>
        <w:t>Physibel</w:t>
      </w:r>
      <w:proofErr w:type="spellEnd"/>
      <w:r>
        <w:t>.</w:t>
      </w:r>
    </w:p>
    <w:p w14:paraId="77E18646" w14:textId="77777777" w:rsidR="00F034FC" w:rsidRDefault="00F034FC" w:rsidP="00F034FC">
      <w:r>
        <w:t>Walker Associates (2015) Personal Communication, June 2015.</w:t>
      </w:r>
    </w:p>
    <w:p w14:paraId="21E91D19" w14:textId="77777777" w:rsidR="00F034FC" w:rsidRDefault="00F034FC" w:rsidP="00F034FC">
      <w:r>
        <w:t>Ward, T. (2006) Assessing the Effects of Thermal Bridging at Junctions and Around Openings. IP 1/06. Watford: Building Research Establishment.</w:t>
      </w:r>
    </w:p>
    <w:p w14:paraId="070E10B1" w14:textId="77777777" w:rsidR="00F034FC" w:rsidRDefault="00F034FC" w:rsidP="00F034FC">
      <w:r>
        <w:t>Ward, T. and Sanders, C. (2007) Conventions for Calculating Linear Thermal Transmittance and Temperature Factors. BR 497. Watford: Building Research Establishment.</w:t>
      </w:r>
    </w:p>
    <w:p w14:paraId="41A30A27" w14:textId="77777777" w:rsidR="009F3C02" w:rsidRDefault="009F3C02" w:rsidP="008F7338">
      <w:pPr>
        <w:keepNext/>
        <w:spacing w:before="240" w:after="60"/>
        <w:outlineLvl w:val="0"/>
        <w:rPr>
          <w:rFonts w:cs="Arial"/>
          <w:b/>
          <w:bCs/>
          <w:kern w:val="32"/>
          <w:sz w:val="28"/>
          <w:szCs w:val="32"/>
        </w:rPr>
      </w:pPr>
    </w:p>
    <w:p w14:paraId="26C94852" w14:textId="77777777" w:rsidR="009F3C02" w:rsidRDefault="009F3C02">
      <w:pPr>
        <w:spacing w:before="0" w:line="240" w:lineRule="auto"/>
        <w:rPr>
          <w:rFonts w:cs="Arial"/>
          <w:b/>
          <w:bCs/>
          <w:kern w:val="32"/>
          <w:sz w:val="28"/>
          <w:szCs w:val="32"/>
        </w:rPr>
      </w:pPr>
      <w:r>
        <w:rPr>
          <w:rFonts w:cs="Arial"/>
          <w:b/>
          <w:bCs/>
          <w:kern w:val="32"/>
          <w:sz w:val="28"/>
          <w:szCs w:val="32"/>
        </w:rPr>
        <w:br w:type="page"/>
      </w:r>
    </w:p>
    <w:p w14:paraId="12E83694" w14:textId="77777777" w:rsidR="005851DA" w:rsidRPr="009F3C02" w:rsidRDefault="00B67D2C" w:rsidP="009F3C02">
      <w:pPr>
        <w:keepNext/>
        <w:spacing w:before="240" w:after="60"/>
        <w:outlineLvl w:val="0"/>
        <w:rPr>
          <w:rFonts w:cs="Arial"/>
          <w:b/>
          <w:bCs/>
          <w:kern w:val="32"/>
          <w:sz w:val="28"/>
          <w:szCs w:val="32"/>
        </w:rPr>
      </w:pPr>
      <w:r>
        <w:rPr>
          <w:rFonts w:cs="Arial"/>
          <w:b/>
          <w:bCs/>
          <w:kern w:val="32"/>
          <w:sz w:val="28"/>
          <w:szCs w:val="32"/>
        </w:rPr>
        <w:lastRenderedPageBreak/>
        <w:t>Appendix A</w:t>
      </w:r>
    </w:p>
    <w:p w14:paraId="7182757F" w14:textId="77777777" w:rsidR="009F3C02" w:rsidRDefault="009F3C02">
      <w:pPr>
        <w:spacing w:before="0" w:line="240" w:lineRule="auto"/>
      </w:pPr>
    </w:p>
    <w:p w14:paraId="34E29002" w14:textId="77777777" w:rsidR="005851DA" w:rsidRDefault="005851DA">
      <w:pPr>
        <w:spacing w:before="0" w:line="240" w:lineRule="auto"/>
      </w:pPr>
      <w:r w:rsidRPr="005851DA">
        <w:rPr>
          <w:noProof/>
          <w:lang w:eastAsia="en-GB"/>
        </w:rPr>
        <w:drawing>
          <wp:inline distT="0" distB="0" distL="0" distR="0" wp14:anchorId="7253DE32" wp14:editId="16801E3A">
            <wp:extent cx="5940425" cy="814030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8140308"/>
                    </a:xfrm>
                    <a:prstGeom prst="rect">
                      <a:avLst/>
                    </a:prstGeom>
                    <a:noFill/>
                    <a:ln>
                      <a:noFill/>
                    </a:ln>
                  </pic:spPr>
                </pic:pic>
              </a:graphicData>
            </a:graphic>
          </wp:inline>
        </w:drawing>
      </w:r>
    </w:p>
    <w:p w14:paraId="72BB74C4" w14:textId="77777777" w:rsidR="005851DA" w:rsidRDefault="005851DA">
      <w:pPr>
        <w:spacing w:before="0" w:line="240" w:lineRule="auto"/>
      </w:pPr>
    </w:p>
    <w:p w14:paraId="1C7B6D74" w14:textId="77777777" w:rsidR="005851DA" w:rsidRDefault="005851DA">
      <w:pPr>
        <w:spacing w:before="0" w:line="240" w:lineRule="auto"/>
      </w:pPr>
    </w:p>
    <w:p w14:paraId="4622C47F" w14:textId="77777777" w:rsidR="009F3C02" w:rsidRDefault="009F3C02">
      <w:pPr>
        <w:spacing w:before="0" w:line="240" w:lineRule="auto"/>
      </w:pPr>
    </w:p>
    <w:p w14:paraId="3ED90F4F" w14:textId="77777777" w:rsidR="005851DA" w:rsidRDefault="005851DA">
      <w:pPr>
        <w:spacing w:before="0" w:line="240" w:lineRule="auto"/>
      </w:pPr>
      <w:r w:rsidRPr="005851DA">
        <w:rPr>
          <w:noProof/>
          <w:lang w:eastAsia="en-GB"/>
        </w:rPr>
        <w:lastRenderedPageBreak/>
        <w:drawing>
          <wp:inline distT="0" distB="0" distL="0" distR="0" wp14:anchorId="4C144680" wp14:editId="40E17584">
            <wp:extent cx="5940425" cy="8932859"/>
            <wp:effectExtent l="0" t="0" r="317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8932859"/>
                    </a:xfrm>
                    <a:prstGeom prst="rect">
                      <a:avLst/>
                    </a:prstGeom>
                    <a:noFill/>
                    <a:ln>
                      <a:noFill/>
                    </a:ln>
                  </pic:spPr>
                </pic:pic>
              </a:graphicData>
            </a:graphic>
          </wp:inline>
        </w:drawing>
      </w:r>
    </w:p>
    <w:p w14:paraId="282D1501" w14:textId="77777777" w:rsidR="005851DA" w:rsidRDefault="005851DA">
      <w:pPr>
        <w:spacing w:before="0" w:line="240" w:lineRule="auto"/>
      </w:pPr>
      <w:r w:rsidRPr="005851DA">
        <w:rPr>
          <w:noProof/>
          <w:lang w:eastAsia="en-GB"/>
        </w:rPr>
        <w:lastRenderedPageBreak/>
        <w:drawing>
          <wp:inline distT="0" distB="0" distL="0" distR="0" wp14:anchorId="24661AB4" wp14:editId="7C1B2562">
            <wp:extent cx="5940425" cy="9125441"/>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9125441"/>
                    </a:xfrm>
                    <a:prstGeom prst="rect">
                      <a:avLst/>
                    </a:prstGeom>
                    <a:noFill/>
                    <a:ln>
                      <a:noFill/>
                    </a:ln>
                  </pic:spPr>
                </pic:pic>
              </a:graphicData>
            </a:graphic>
          </wp:inline>
        </w:drawing>
      </w:r>
    </w:p>
    <w:p w14:paraId="648B8FE4" w14:textId="77777777" w:rsidR="00AC3C95" w:rsidRDefault="00AC3C95">
      <w:pPr>
        <w:spacing w:before="0" w:line="240" w:lineRule="auto"/>
      </w:pPr>
      <w:r w:rsidRPr="00AC3C95">
        <w:rPr>
          <w:noProof/>
          <w:lang w:eastAsia="en-GB"/>
        </w:rPr>
        <w:lastRenderedPageBreak/>
        <w:drawing>
          <wp:inline distT="0" distB="0" distL="0" distR="0" wp14:anchorId="38761112" wp14:editId="2479ABBE">
            <wp:extent cx="5725160" cy="8229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5160" cy="8229600"/>
                    </a:xfrm>
                    <a:prstGeom prst="rect">
                      <a:avLst/>
                    </a:prstGeom>
                    <a:noFill/>
                    <a:ln>
                      <a:noFill/>
                    </a:ln>
                  </pic:spPr>
                </pic:pic>
              </a:graphicData>
            </a:graphic>
          </wp:inline>
        </w:drawing>
      </w:r>
    </w:p>
    <w:sectPr w:rsidR="00AC3C95" w:rsidSect="0044099C">
      <w:headerReference w:type="default" r:id="rId52"/>
      <w:footerReference w:type="default" r:id="rId53"/>
      <w:footerReference w:type="first" r:id="rId54"/>
      <w:endnotePr>
        <w:numFmt w:val="decimal"/>
      </w:endnotePr>
      <w:pgSz w:w="11907" w:h="16840" w:code="9"/>
      <w:pgMar w:top="1208" w:right="1134" w:bottom="1440"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63CEF" w14:textId="77777777" w:rsidR="00FA6C6B" w:rsidRDefault="00FA6C6B">
      <w:pPr>
        <w:pStyle w:val="Heading1"/>
      </w:pPr>
      <w:r>
        <w:t>References</w:t>
      </w:r>
    </w:p>
  </w:endnote>
  <w:endnote w:type="continuationSeparator" w:id="0">
    <w:p w14:paraId="270F231C" w14:textId="77777777" w:rsidR="00FA6C6B" w:rsidRDefault="00FA6C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047684"/>
      <w:docPartObj>
        <w:docPartGallery w:val="Page Numbers (Bottom of Page)"/>
        <w:docPartUnique/>
      </w:docPartObj>
    </w:sdtPr>
    <w:sdtEndPr>
      <w:rPr>
        <w:noProof/>
      </w:rPr>
    </w:sdtEndPr>
    <w:sdtContent>
      <w:p w14:paraId="6A290C8F" w14:textId="77777777" w:rsidR="0005385D" w:rsidRDefault="0005385D">
        <w:pPr>
          <w:pStyle w:val="Footer"/>
          <w:jc w:val="right"/>
        </w:pPr>
        <w:r>
          <w:fldChar w:fldCharType="begin"/>
        </w:r>
        <w:r>
          <w:instrText xml:space="preserve"> PAGE   \* MERGEFORMAT </w:instrText>
        </w:r>
        <w:r>
          <w:fldChar w:fldCharType="separate"/>
        </w:r>
        <w:r w:rsidR="00610A82">
          <w:rPr>
            <w:noProof/>
          </w:rPr>
          <w:t>3</w:t>
        </w:r>
        <w:r>
          <w:rPr>
            <w:noProof/>
          </w:rPr>
          <w:fldChar w:fldCharType="end"/>
        </w:r>
      </w:p>
    </w:sdtContent>
  </w:sdt>
  <w:p w14:paraId="43D3B087" w14:textId="77777777" w:rsidR="0005385D" w:rsidRDefault="000538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499E4" w14:textId="77777777" w:rsidR="0005385D" w:rsidRPr="00EA0B2B" w:rsidRDefault="0005385D" w:rsidP="00EA0B2B">
    <w:r w:rsidRPr="00B07B1C">
      <w:sym w:font="Symbol" w:char="F0E3"/>
    </w:r>
    <w:r>
      <w:t xml:space="preserve"> Leeds Beckett</w:t>
    </w:r>
    <w:r w:rsidRPr="00B07B1C">
      <w:t xml:space="preserve"> University</w:t>
    </w:r>
    <w:r>
      <w:t xml:space="preserve">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0C20E" w14:textId="77777777" w:rsidR="00FA6C6B" w:rsidRDefault="00FA6C6B">
      <w:r>
        <w:separator/>
      </w:r>
    </w:p>
  </w:footnote>
  <w:footnote w:type="continuationSeparator" w:id="0">
    <w:p w14:paraId="7068BF4A" w14:textId="77777777" w:rsidR="00FA6C6B" w:rsidRDefault="00FA6C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B75B" w14:textId="77777777" w:rsidR="0005385D" w:rsidRDefault="0005385D">
    <w:pPr>
      <w:pStyle w:val="Header"/>
      <w:spacing w:before="0" w:after="240"/>
    </w:pPr>
    <w:r>
      <w:rPr>
        <w:noProof/>
        <w:sz w:val="20"/>
        <w:lang w:eastAsia="en-GB"/>
      </w:rPr>
      <mc:AlternateContent>
        <mc:Choice Requires="wps">
          <w:drawing>
            <wp:anchor distT="0" distB="0" distL="114300" distR="114300" simplePos="0" relativeHeight="251657216" behindDoc="0" locked="0" layoutInCell="0" allowOverlap="1" wp14:anchorId="45C75D1B" wp14:editId="0C4BC13C">
              <wp:simplePos x="0" y="0"/>
              <wp:positionH relativeFrom="column">
                <wp:posOffset>0</wp:posOffset>
              </wp:positionH>
              <wp:positionV relativeFrom="paragraph">
                <wp:posOffset>215265</wp:posOffset>
              </wp:positionV>
              <wp:extent cx="5943600" cy="0"/>
              <wp:effectExtent l="9525" t="15240" r="9525" b="13335"/>
              <wp:wrapSquare wrapText="left"/>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5EBBB"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95pt" to="46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CxEwIAACk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" o:allowincell="f" strokeweight="1.5pt">
              <w10:wrap type="square" side="left"/>
            </v:line>
          </w:pict>
        </mc:Fallback>
      </mc:AlternateContent>
    </w:r>
    <w:r>
      <w:t>YIF SIP Eco Home Prototype Report</w:t>
    </w:r>
    <w:r>
      <w:tab/>
    </w:r>
    <w:r>
      <w:tab/>
      <w:t>June</w:t>
    </w:r>
    <w:r>
      <w:rPr>
        <w:szCs w:val="24"/>
      </w:rPr>
      <w:t xml:space="preserve">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8742D7"/>
    <w:multiLevelType w:val="multilevel"/>
    <w:tmpl w:val="27F2BC20"/>
    <w:lvl w:ilvl="0">
      <w:start w:val="1"/>
      <w:numFmt w:val="decimal"/>
      <w:pStyle w:val="NumPara"/>
      <w:lvlText w:val="%1"/>
      <w:lvlJc w:val="left"/>
      <w:pPr>
        <w:tabs>
          <w:tab w:val="num" w:pos="567"/>
        </w:tabs>
        <w:ind w:left="567" w:hanging="567"/>
      </w:pPr>
      <w:rPr>
        <w:rFonts w:hint="default"/>
      </w:rPr>
    </w:lvl>
    <w:lvl w:ilvl="1">
      <w:start w:val="1"/>
      <w:numFmt w:val="lowerLetter"/>
      <w:lvlText w:val="%2)"/>
      <w:lvlJc w:val="left"/>
      <w:pPr>
        <w:tabs>
          <w:tab w:val="num" w:pos="927"/>
        </w:tabs>
        <w:ind w:left="851" w:hanging="284"/>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1080"/>
        </w:tabs>
        <w:ind w:left="567" w:hanging="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272F6AFA"/>
    <w:multiLevelType w:val="hybridMultilevel"/>
    <w:tmpl w:val="D67A8C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3AD42578"/>
    <w:multiLevelType w:val="hybridMultilevel"/>
    <w:tmpl w:val="7216309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6DE9531B"/>
    <w:multiLevelType w:val="multilevel"/>
    <w:tmpl w:val="E9761028"/>
    <w:lvl w:ilvl="0">
      <w:start w:val="1"/>
      <w:numFmt w:val="bullet"/>
      <w:pStyle w:val="Bullet"/>
      <w:lvlText w:val=""/>
      <w:lvlJc w:val="left"/>
      <w:pPr>
        <w:tabs>
          <w:tab w:val="num" w:pos="927"/>
        </w:tabs>
        <w:ind w:left="851" w:hanging="284"/>
      </w:pPr>
      <w:rPr>
        <w:rFonts w:ascii="Wingdings" w:hAnsi="Wingding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1080"/>
        </w:tabs>
        <w:ind w:left="567" w:hanging="56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o:colormru v:ext="edit" colors="#ff5050,#ba1467,#7c0e45,purple"/>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ED8"/>
    <w:rsid w:val="000013A7"/>
    <w:rsid w:val="000023DC"/>
    <w:rsid w:val="00002905"/>
    <w:rsid w:val="00003083"/>
    <w:rsid w:val="0000370B"/>
    <w:rsid w:val="00003D16"/>
    <w:rsid w:val="000042FE"/>
    <w:rsid w:val="00004C5B"/>
    <w:rsid w:val="000054BC"/>
    <w:rsid w:val="00005F15"/>
    <w:rsid w:val="000060D1"/>
    <w:rsid w:val="0000619B"/>
    <w:rsid w:val="00006344"/>
    <w:rsid w:val="000067DF"/>
    <w:rsid w:val="00006A5A"/>
    <w:rsid w:val="00011AF9"/>
    <w:rsid w:val="00011FBA"/>
    <w:rsid w:val="00013334"/>
    <w:rsid w:val="00013848"/>
    <w:rsid w:val="00013F60"/>
    <w:rsid w:val="00014942"/>
    <w:rsid w:val="00015A71"/>
    <w:rsid w:val="00016304"/>
    <w:rsid w:val="000175B0"/>
    <w:rsid w:val="00017D00"/>
    <w:rsid w:val="00020653"/>
    <w:rsid w:val="0002117D"/>
    <w:rsid w:val="0002160D"/>
    <w:rsid w:val="00022A43"/>
    <w:rsid w:val="0002358A"/>
    <w:rsid w:val="000236BB"/>
    <w:rsid w:val="0002398C"/>
    <w:rsid w:val="000241D5"/>
    <w:rsid w:val="0002422A"/>
    <w:rsid w:val="00024AF3"/>
    <w:rsid w:val="0002569A"/>
    <w:rsid w:val="00026AFD"/>
    <w:rsid w:val="00026D93"/>
    <w:rsid w:val="00026F2C"/>
    <w:rsid w:val="0002741B"/>
    <w:rsid w:val="0003020B"/>
    <w:rsid w:val="000307E9"/>
    <w:rsid w:val="00031176"/>
    <w:rsid w:val="000329B4"/>
    <w:rsid w:val="0003318F"/>
    <w:rsid w:val="00033CCE"/>
    <w:rsid w:val="00033F9B"/>
    <w:rsid w:val="00034071"/>
    <w:rsid w:val="00035278"/>
    <w:rsid w:val="00035796"/>
    <w:rsid w:val="00037B54"/>
    <w:rsid w:val="00037C5B"/>
    <w:rsid w:val="00037D54"/>
    <w:rsid w:val="00041674"/>
    <w:rsid w:val="00041C45"/>
    <w:rsid w:val="00042317"/>
    <w:rsid w:val="00042442"/>
    <w:rsid w:val="00042581"/>
    <w:rsid w:val="00044539"/>
    <w:rsid w:val="00044ED5"/>
    <w:rsid w:val="000460B6"/>
    <w:rsid w:val="0004691F"/>
    <w:rsid w:val="00046E65"/>
    <w:rsid w:val="00047440"/>
    <w:rsid w:val="0004763F"/>
    <w:rsid w:val="000476F1"/>
    <w:rsid w:val="00047EF1"/>
    <w:rsid w:val="000500FA"/>
    <w:rsid w:val="00052C55"/>
    <w:rsid w:val="00052DCC"/>
    <w:rsid w:val="0005385D"/>
    <w:rsid w:val="000548D7"/>
    <w:rsid w:val="00054B89"/>
    <w:rsid w:val="000559E1"/>
    <w:rsid w:val="00055C04"/>
    <w:rsid w:val="00061B75"/>
    <w:rsid w:val="000635BB"/>
    <w:rsid w:val="00065BEB"/>
    <w:rsid w:val="00066C9E"/>
    <w:rsid w:val="000672A0"/>
    <w:rsid w:val="00067547"/>
    <w:rsid w:val="00067D57"/>
    <w:rsid w:val="00070E90"/>
    <w:rsid w:val="00072430"/>
    <w:rsid w:val="00072811"/>
    <w:rsid w:val="00072EEC"/>
    <w:rsid w:val="00073C43"/>
    <w:rsid w:val="00073D41"/>
    <w:rsid w:val="00074A9F"/>
    <w:rsid w:val="00074AE9"/>
    <w:rsid w:val="00075593"/>
    <w:rsid w:val="00075AA1"/>
    <w:rsid w:val="0007604B"/>
    <w:rsid w:val="0007674F"/>
    <w:rsid w:val="00080158"/>
    <w:rsid w:val="00081455"/>
    <w:rsid w:val="00081C22"/>
    <w:rsid w:val="00082189"/>
    <w:rsid w:val="00083475"/>
    <w:rsid w:val="000837FD"/>
    <w:rsid w:val="000840EA"/>
    <w:rsid w:val="000843B6"/>
    <w:rsid w:val="000851EA"/>
    <w:rsid w:val="00086BC7"/>
    <w:rsid w:val="00086EDC"/>
    <w:rsid w:val="00087360"/>
    <w:rsid w:val="0008738A"/>
    <w:rsid w:val="000875BE"/>
    <w:rsid w:val="000929FA"/>
    <w:rsid w:val="00093585"/>
    <w:rsid w:val="00093FC5"/>
    <w:rsid w:val="00095530"/>
    <w:rsid w:val="00096281"/>
    <w:rsid w:val="0009631D"/>
    <w:rsid w:val="0009680A"/>
    <w:rsid w:val="00096C8F"/>
    <w:rsid w:val="00096F08"/>
    <w:rsid w:val="000973C7"/>
    <w:rsid w:val="00097669"/>
    <w:rsid w:val="000A10BF"/>
    <w:rsid w:val="000A2002"/>
    <w:rsid w:val="000A224A"/>
    <w:rsid w:val="000A2D3B"/>
    <w:rsid w:val="000A3311"/>
    <w:rsid w:val="000A510B"/>
    <w:rsid w:val="000A576D"/>
    <w:rsid w:val="000A60FB"/>
    <w:rsid w:val="000A64F0"/>
    <w:rsid w:val="000A755F"/>
    <w:rsid w:val="000B1321"/>
    <w:rsid w:val="000B17A1"/>
    <w:rsid w:val="000B1D1E"/>
    <w:rsid w:val="000B25B0"/>
    <w:rsid w:val="000B26BD"/>
    <w:rsid w:val="000B3F54"/>
    <w:rsid w:val="000B5BAE"/>
    <w:rsid w:val="000B5C6C"/>
    <w:rsid w:val="000B6856"/>
    <w:rsid w:val="000B6F61"/>
    <w:rsid w:val="000B72F5"/>
    <w:rsid w:val="000C0422"/>
    <w:rsid w:val="000C0FFC"/>
    <w:rsid w:val="000C1C02"/>
    <w:rsid w:val="000C1E1A"/>
    <w:rsid w:val="000C1ECE"/>
    <w:rsid w:val="000C201F"/>
    <w:rsid w:val="000C303B"/>
    <w:rsid w:val="000C38FD"/>
    <w:rsid w:val="000C405F"/>
    <w:rsid w:val="000C5134"/>
    <w:rsid w:val="000C5354"/>
    <w:rsid w:val="000C68BA"/>
    <w:rsid w:val="000C6975"/>
    <w:rsid w:val="000C74A6"/>
    <w:rsid w:val="000C75F5"/>
    <w:rsid w:val="000C78EF"/>
    <w:rsid w:val="000D017E"/>
    <w:rsid w:val="000D0309"/>
    <w:rsid w:val="000D07E8"/>
    <w:rsid w:val="000D1522"/>
    <w:rsid w:val="000D1632"/>
    <w:rsid w:val="000D1871"/>
    <w:rsid w:val="000D22A2"/>
    <w:rsid w:val="000D47CD"/>
    <w:rsid w:val="000D4942"/>
    <w:rsid w:val="000D4B96"/>
    <w:rsid w:val="000D57BD"/>
    <w:rsid w:val="000D5F57"/>
    <w:rsid w:val="000D615E"/>
    <w:rsid w:val="000D633F"/>
    <w:rsid w:val="000D6C8F"/>
    <w:rsid w:val="000D7366"/>
    <w:rsid w:val="000E06A4"/>
    <w:rsid w:val="000E0F56"/>
    <w:rsid w:val="000E164C"/>
    <w:rsid w:val="000E2843"/>
    <w:rsid w:val="000E3485"/>
    <w:rsid w:val="000E4014"/>
    <w:rsid w:val="000E433D"/>
    <w:rsid w:val="000E5BA7"/>
    <w:rsid w:val="000E7335"/>
    <w:rsid w:val="000E77A0"/>
    <w:rsid w:val="000E7AC0"/>
    <w:rsid w:val="000F0908"/>
    <w:rsid w:val="000F09F7"/>
    <w:rsid w:val="000F24EA"/>
    <w:rsid w:val="000F433C"/>
    <w:rsid w:val="000F43D3"/>
    <w:rsid w:val="000F452E"/>
    <w:rsid w:val="000F4ABB"/>
    <w:rsid w:val="000F5260"/>
    <w:rsid w:val="000F53DE"/>
    <w:rsid w:val="000F5BEA"/>
    <w:rsid w:val="000F5F9B"/>
    <w:rsid w:val="000F6E1F"/>
    <w:rsid w:val="000F74CE"/>
    <w:rsid w:val="0010037C"/>
    <w:rsid w:val="00101782"/>
    <w:rsid w:val="00101940"/>
    <w:rsid w:val="00102D7D"/>
    <w:rsid w:val="00103FC1"/>
    <w:rsid w:val="00104D9D"/>
    <w:rsid w:val="001060E8"/>
    <w:rsid w:val="00106466"/>
    <w:rsid w:val="00110798"/>
    <w:rsid w:val="00110A15"/>
    <w:rsid w:val="00110DD6"/>
    <w:rsid w:val="00110F7E"/>
    <w:rsid w:val="00112092"/>
    <w:rsid w:val="0011352C"/>
    <w:rsid w:val="00113FBD"/>
    <w:rsid w:val="001141B0"/>
    <w:rsid w:val="00115A73"/>
    <w:rsid w:val="00116836"/>
    <w:rsid w:val="00117501"/>
    <w:rsid w:val="00120388"/>
    <w:rsid w:val="00121164"/>
    <w:rsid w:val="0012223D"/>
    <w:rsid w:val="00122906"/>
    <w:rsid w:val="0012468C"/>
    <w:rsid w:val="001253F4"/>
    <w:rsid w:val="001259A5"/>
    <w:rsid w:val="00125CD2"/>
    <w:rsid w:val="00125E10"/>
    <w:rsid w:val="00125F9F"/>
    <w:rsid w:val="00126B71"/>
    <w:rsid w:val="00127287"/>
    <w:rsid w:val="001274C6"/>
    <w:rsid w:val="00130327"/>
    <w:rsid w:val="001306E7"/>
    <w:rsid w:val="00130D19"/>
    <w:rsid w:val="00131E50"/>
    <w:rsid w:val="0013291A"/>
    <w:rsid w:val="00133E1A"/>
    <w:rsid w:val="001368B7"/>
    <w:rsid w:val="001378E3"/>
    <w:rsid w:val="0014106C"/>
    <w:rsid w:val="0014138D"/>
    <w:rsid w:val="00141C5D"/>
    <w:rsid w:val="001422F5"/>
    <w:rsid w:val="001425E0"/>
    <w:rsid w:val="00144497"/>
    <w:rsid w:val="00144E6C"/>
    <w:rsid w:val="001453AB"/>
    <w:rsid w:val="001458D4"/>
    <w:rsid w:val="00146D77"/>
    <w:rsid w:val="00147786"/>
    <w:rsid w:val="001508FE"/>
    <w:rsid w:val="00150B35"/>
    <w:rsid w:val="001517C5"/>
    <w:rsid w:val="00151DCD"/>
    <w:rsid w:val="00151E2B"/>
    <w:rsid w:val="00152D92"/>
    <w:rsid w:val="00152DAC"/>
    <w:rsid w:val="001537CA"/>
    <w:rsid w:val="001545CA"/>
    <w:rsid w:val="001547A8"/>
    <w:rsid w:val="00154F18"/>
    <w:rsid w:val="001551D5"/>
    <w:rsid w:val="0015568E"/>
    <w:rsid w:val="00156350"/>
    <w:rsid w:val="00156974"/>
    <w:rsid w:val="001574DE"/>
    <w:rsid w:val="001575F1"/>
    <w:rsid w:val="00157EA3"/>
    <w:rsid w:val="001605AF"/>
    <w:rsid w:val="001606B9"/>
    <w:rsid w:val="00160E89"/>
    <w:rsid w:val="001610DB"/>
    <w:rsid w:val="00161A7F"/>
    <w:rsid w:val="001629BC"/>
    <w:rsid w:val="00162A4C"/>
    <w:rsid w:val="0016465C"/>
    <w:rsid w:val="00164CEE"/>
    <w:rsid w:val="00165223"/>
    <w:rsid w:val="0016575B"/>
    <w:rsid w:val="00166AAB"/>
    <w:rsid w:val="00166BAC"/>
    <w:rsid w:val="00170797"/>
    <w:rsid w:val="0017100C"/>
    <w:rsid w:val="0017262C"/>
    <w:rsid w:val="00172BF0"/>
    <w:rsid w:val="00172EA2"/>
    <w:rsid w:val="00173EA5"/>
    <w:rsid w:val="00174B6F"/>
    <w:rsid w:val="00174BE4"/>
    <w:rsid w:val="0017670C"/>
    <w:rsid w:val="00176AB1"/>
    <w:rsid w:val="00177D32"/>
    <w:rsid w:val="00177FF3"/>
    <w:rsid w:val="00183D62"/>
    <w:rsid w:val="00187DF5"/>
    <w:rsid w:val="00191205"/>
    <w:rsid w:val="00194B93"/>
    <w:rsid w:val="00194D7F"/>
    <w:rsid w:val="00195181"/>
    <w:rsid w:val="001953BF"/>
    <w:rsid w:val="0019555A"/>
    <w:rsid w:val="00195B6D"/>
    <w:rsid w:val="00195FD3"/>
    <w:rsid w:val="001960EB"/>
    <w:rsid w:val="00196AE8"/>
    <w:rsid w:val="001A01F5"/>
    <w:rsid w:val="001A113F"/>
    <w:rsid w:val="001A26DE"/>
    <w:rsid w:val="001A383E"/>
    <w:rsid w:val="001A3EC0"/>
    <w:rsid w:val="001A4269"/>
    <w:rsid w:val="001A4443"/>
    <w:rsid w:val="001A45B5"/>
    <w:rsid w:val="001A4639"/>
    <w:rsid w:val="001A4688"/>
    <w:rsid w:val="001A4A4E"/>
    <w:rsid w:val="001A4B1D"/>
    <w:rsid w:val="001A5CF8"/>
    <w:rsid w:val="001A680D"/>
    <w:rsid w:val="001A69D3"/>
    <w:rsid w:val="001B0289"/>
    <w:rsid w:val="001B1F0A"/>
    <w:rsid w:val="001B301E"/>
    <w:rsid w:val="001B37F2"/>
    <w:rsid w:val="001B59F7"/>
    <w:rsid w:val="001B5F8A"/>
    <w:rsid w:val="001B7318"/>
    <w:rsid w:val="001C164E"/>
    <w:rsid w:val="001C1761"/>
    <w:rsid w:val="001C2952"/>
    <w:rsid w:val="001C33BE"/>
    <w:rsid w:val="001C3EF1"/>
    <w:rsid w:val="001C76ED"/>
    <w:rsid w:val="001D0808"/>
    <w:rsid w:val="001D0AF1"/>
    <w:rsid w:val="001D1632"/>
    <w:rsid w:val="001D24CE"/>
    <w:rsid w:val="001D2872"/>
    <w:rsid w:val="001D298E"/>
    <w:rsid w:val="001D4634"/>
    <w:rsid w:val="001D4691"/>
    <w:rsid w:val="001D4DBA"/>
    <w:rsid w:val="001D55EE"/>
    <w:rsid w:val="001D6824"/>
    <w:rsid w:val="001D6841"/>
    <w:rsid w:val="001D6AF5"/>
    <w:rsid w:val="001D6C97"/>
    <w:rsid w:val="001D7F61"/>
    <w:rsid w:val="001E0A37"/>
    <w:rsid w:val="001E21E6"/>
    <w:rsid w:val="001E3009"/>
    <w:rsid w:val="001E5257"/>
    <w:rsid w:val="001E60D4"/>
    <w:rsid w:val="001E6926"/>
    <w:rsid w:val="001E728D"/>
    <w:rsid w:val="001E7A2D"/>
    <w:rsid w:val="001E7C73"/>
    <w:rsid w:val="001F24A6"/>
    <w:rsid w:val="001F2777"/>
    <w:rsid w:val="001F291D"/>
    <w:rsid w:val="001F3974"/>
    <w:rsid w:val="001F3C3E"/>
    <w:rsid w:val="001F5DFA"/>
    <w:rsid w:val="001F63F7"/>
    <w:rsid w:val="001F6EFC"/>
    <w:rsid w:val="001F6F4E"/>
    <w:rsid w:val="001F75E6"/>
    <w:rsid w:val="001F7BCB"/>
    <w:rsid w:val="00201117"/>
    <w:rsid w:val="00201401"/>
    <w:rsid w:val="002014AB"/>
    <w:rsid w:val="002017E6"/>
    <w:rsid w:val="00201F62"/>
    <w:rsid w:val="00204E32"/>
    <w:rsid w:val="00205092"/>
    <w:rsid w:val="00205CF5"/>
    <w:rsid w:val="0020615A"/>
    <w:rsid w:val="002064F9"/>
    <w:rsid w:val="0020680A"/>
    <w:rsid w:val="00210048"/>
    <w:rsid w:val="00210408"/>
    <w:rsid w:val="002123E0"/>
    <w:rsid w:val="002126C0"/>
    <w:rsid w:val="002129B1"/>
    <w:rsid w:val="00212B17"/>
    <w:rsid w:val="00213B49"/>
    <w:rsid w:val="00215FC4"/>
    <w:rsid w:val="00216CE6"/>
    <w:rsid w:val="0021781E"/>
    <w:rsid w:val="00220AB6"/>
    <w:rsid w:val="00221A62"/>
    <w:rsid w:val="00222364"/>
    <w:rsid w:val="00222B62"/>
    <w:rsid w:val="00223A21"/>
    <w:rsid w:val="00223B6B"/>
    <w:rsid w:val="00223FA3"/>
    <w:rsid w:val="002246F0"/>
    <w:rsid w:val="00224A22"/>
    <w:rsid w:val="00225330"/>
    <w:rsid w:val="00225566"/>
    <w:rsid w:val="00225821"/>
    <w:rsid w:val="00227C6D"/>
    <w:rsid w:val="00227F59"/>
    <w:rsid w:val="00231F76"/>
    <w:rsid w:val="0023224A"/>
    <w:rsid w:val="00232A2C"/>
    <w:rsid w:val="00233744"/>
    <w:rsid w:val="002337B4"/>
    <w:rsid w:val="0023411E"/>
    <w:rsid w:val="0023435E"/>
    <w:rsid w:val="00234D74"/>
    <w:rsid w:val="002352AF"/>
    <w:rsid w:val="00235981"/>
    <w:rsid w:val="00235C36"/>
    <w:rsid w:val="00235F3A"/>
    <w:rsid w:val="002373C6"/>
    <w:rsid w:val="00244D32"/>
    <w:rsid w:val="0024631B"/>
    <w:rsid w:val="00251B59"/>
    <w:rsid w:val="002520E4"/>
    <w:rsid w:val="0025218C"/>
    <w:rsid w:val="00252640"/>
    <w:rsid w:val="002538E6"/>
    <w:rsid w:val="00254B58"/>
    <w:rsid w:val="00256277"/>
    <w:rsid w:val="00256404"/>
    <w:rsid w:val="00256AEA"/>
    <w:rsid w:val="00256F87"/>
    <w:rsid w:val="00257769"/>
    <w:rsid w:val="002614C8"/>
    <w:rsid w:val="00261612"/>
    <w:rsid w:val="002617F5"/>
    <w:rsid w:val="002619F8"/>
    <w:rsid w:val="00261DDC"/>
    <w:rsid w:val="00262DA8"/>
    <w:rsid w:val="00264746"/>
    <w:rsid w:val="00266186"/>
    <w:rsid w:val="00266D66"/>
    <w:rsid w:val="00266EB7"/>
    <w:rsid w:val="00267D68"/>
    <w:rsid w:val="00270A18"/>
    <w:rsid w:val="002712F1"/>
    <w:rsid w:val="00272EFE"/>
    <w:rsid w:val="002741D7"/>
    <w:rsid w:val="00276186"/>
    <w:rsid w:val="00277A12"/>
    <w:rsid w:val="00277EA0"/>
    <w:rsid w:val="00281C35"/>
    <w:rsid w:val="0028344B"/>
    <w:rsid w:val="002837DE"/>
    <w:rsid w:val="00284912"/>
    <w:rsid w:val="00285CC5"/>
    <w:rsid w:val="002864A9"/>
    <w:rsid w:val="00287283"/>
    <w:rsid w:val="00287689"/>
    <w:rsid w:val="00287BF7"/>
    <w:rsid w:val="00287FDE"/>
    <w:rsid w:val="002909B2"/>
    <w:rsid w:val="00291098"/>
    <w:rsid w:val="00291811"/>
    <w:rsid w:val="00291E83"/>
    <w:rsid w:val="00293E2C"/>
    <w:rsid w:val="00293E2F"/>
    <w:rsid w:val="002940A7"/>
    <w:rsid w:val="002941E2"/>
    <w:rsid w:val="002952F2"/>
    <w:rsid w:val="00295AF0"/>
    <w:rsid w:val="00296ADC"/>
    <w:rsid w:val="00296BC6"/>
    <w:rsid w:val="00297723"/>
    <w:rsid w:val="002A2BD8"/>
    <w:rsid w:val="002A35FA"/>
    <w:rsid w:val="002A368F"/>
    <w:rsid w:val="002A556C"/>
    <w:rsid w:val="002A78CA"/>
    <w:rsid w:val="002A7D0B"/>
    <w:rsid w:val="002A7DC6"/>
    <w:rsid w:val="002B010F"/>
    <w:rsid w:val="002B0128"/>
    <w:rsid w:val="002B0F08"/>
    <w:rsid w:val="002B1280"/>
    <w:rsid w:val="002B3511"/>
    <w:rsid w:val="002B4B4B"/>
    <w:rsid w:val="002B535E"/>
    <w:rsid w:val="002B5827"/>
    <w:rsid w:val="002B59EB"/>
    <w:rsid w:val="002B6A86"/>
    <w:rsid w:val="002C16F7"/>
    <w:rsid w:val="002C2B52"/>
    <w:rsid w:val="002C34C9"/>
    <w:rsid w:val="002C36FB"/>
    <w:rsid w:val="002C3DBB"/>
    <w:rsid w:val="002C3E94"/>
    <w:rsid w:val="002C4719"/>
    <w:rsid w:val="002C4F4A"/>
    <w:rsid w:val="002C5AEE"/>
    <w:rsid w:val="002D0736"/>
    <w:rsid w:val="002D0F1A"/>
    <w:rsid w:val="002D163A"/>
    <w:rsid w:val="002D1DB6"/>
    <w:rsid w:val="002D3A0A"/>
    <w:rsid w:val="002D5F42"/>
    <w:rsid w:val="002D5F6F"/>
    <w:rsid w:val="002E1485"/>
    <w:rsid w:val="002E14CC"/>
    <w:rsid w:val="002E1B8E"/>
    <w:rsid w:val="002E3E0A"/>
    <w:rsid w:val="002E4EC4"/>
    <w:rsid w:val="002E4F89"/>
    <w:rsid w:val="002E5455"/>
    <w:rsid w:val="002E5B69"/>
    <w:rsid w:val="002E7533"/>
    <w:rsid w:val="002E76D0"/>
    <w:rsid w:val="002F00E4"/>
    <w:rsid w:val="002F25BE"/>
    <w:rsid w:val="002F3141"/>
    <w:rsid w:val="002F371D"/>
    <w:rsid w:val="002F4498"/>
    <w:rsid w:val="002F7721"/>
    <w:rsid w:val="002F7761"/>
    <w:rsid w:val="00300E9A"/>
    <w:rsid w:val="00301ACF"/>
    <w:rsid w:val="00301E21"/>
    <w:rsid w:val="00302075"/>
    <w:rsid w:val="0030240F"/>
    <w:rsid w:val="003043F2"/>
    <w:rsid w:val="00305E68"/>
    <w:rsid w:val="00307DC6"/>
    <w:rsid w:val="00312452"/>
    <w:rsid w:val="00312528"/>
    <w:rsid w:val="003136AB"/>
    <w:rsid w:val="0031381C"/>
    <w:rsid w:val="00313863"/>
    <w:rsid w:val="00313CCC"/>
    <w:rsid w:val="003142E7"/>
    <w:rsid w:val="003145C3"/>
    <w:rsid w:val="00314A01"/>
    <w:rsid w:val="00315611"/>
    <w:rsid w:val="00315E7E"/>
    <w:rsid w:val="003174A4"/>
    <w:rsid w:val="0031766D"/>
    <w:rsid w:val="00317B49"/>
    <w:rsid w:val="00317CDD"/>
    <w:rsid w:val="003210E2"/>
    <w:rsid w:val="003231ED"/>
    <w:rsid w:val="003237C2"/>
    <w:rsid w:val="0032497E"/>
    <w:rsid w:val="00324DEC"/>
    <w:rsid w:val="00325F08"/>
    <w:rsid w:val="003263B6"/>
    <w:rsid w:val="0032766F"/>
    <w:rsid w:val="003278FD"/>
    <w:rsid w:val="003314F2"/>
    <w:rsid w:val="003315AF"/>
    <w:rsid w:val="0033174C"/>
    <w:rsid w:val="003318C8"/>
    <w:rsid w:val="00331B38"/>
    <w:rsid w:val="00332F04"/>
    <w:rsid w:val="00333370"/>
    <w:rsid w:val="0033539B"/>
    <w:rsid w:val="00336642"/>
    <w:rsid w:val="00336645"/>
    <w:rsid w:val="00337262"/>
    <w:rsid w:val="00337A2D"/>
    <w:rsid w:val="0034024C"/>
    <w:rsid w:val="0034138E"/>
    <w:rsid w:val="003434A3"/>
    <w:rsid w:val="0034482E"/>
    <w:rsid w:val="00345C61"/>
    <w:rsid w:val="00347E59"/>
    <w:rsid w:val="00347E7D"/>
    <w:rsid w:val="0035327B"/>
    <w:rsid w:val="00353CAF"/>
    <w:rsid w:val="0035491C"/>
    <w:rsid w:val="00357125"/>
    <w:rsid w:val="003579B4"/>
    <w:rsid w:val="00361068"/>
    <w:rsid w:val="0036231C"/>
    <w:rsid w:val="00362565"/>
    <w:rsid w:val="00363635"/>
    <w:rsid w:val="00364E2A"/>
    <w:rsid w:val="0036778C"/>
    <w:rsid w:val="0037037A"/>
    <w:rsid w:val="00371444"/>
    <w:rsid w:val="00371A74"/>
    <w:rsid w:val="0037466B"/>
    <w:rsid w:val="00374977"/>
    <w:rsid w:val="00375B4B"/>
    <w:rsid w:val="00377602"/>
    <w:rsid w:val="00380E72"/>
    <w:rsid w:val="003817EA"/>
    <w:rsid w:val="00381B2F"/>
    <w:rsid w:val="003833C7"/>
    <w:rsid w:val="00383451"/>
    <w:rsid w:val="00383AC8"/>
    <w:rsid w:val="00384B10"/>
    <w:rsid w:val="00384B78"/>
    <w:rsid w:val="00385AB4"/>
    <w:rsid w:val="003868AD"/>
    <w:rsid w:val="00390E47"/>
    <w:rsid w:val="0039137A"/>
    <w:rsid w:val="00392DA2"/>
    <w:rsid w:val="00392E55"/>
    <w:rsid w:val="00393E30"/>
    <w:rsid w:val="00393FEC"/>
    <w:rsid w:val="003949ED"/>
    <w:rsid w:val="00395C26"/>
    <w:rsid w:val="00395EAE"/>
    <w:rsid w:val="00395ED8"/>
    <w:rsid w:val="003973C8"/>
    <w:rsid w:val="003975F5"/>
    <w:rsid w:val="003977BD"/>
    <w:rsid w:val="003A0E4A"/>
    <w:rsid w:val="003A20E9"/>
    <w:rsid w:val="003A23F9"/>
    <w:rsid w:val="003A2F16"/>
    <w:rsid w:val="003A2FCE"/>
    <w:rsid w:val="003A422C"/>
    <w:rsid w:val="003A4419"/>
    <w:rsid w:val="003A520C"/>
    <w:rsid w:val="003A5627"/>
    <w:rsid w:val="003A58CD"/>
    <w:rsid w:val="003A6443"/>
    <w:rsid w:val="003A6B89"/>
    <w:rsid w:val="003A7FF3"/>
    <w:rsid w:val="003B0AC7"/>
    <w:rsid w:val="003B11CF"/>
    <w:rsid w:val="003B1202"/>
    <w:rsid w:val="003B1939"/>
    <w:rsid w:val="003B2281"/>
    <w:rsid w:val="003B2567"/>
    <w:rsid w:val="003B3856"/>
    <w:rsid w:val="003B41E4"/>
    <w:rsid w:val="003B4D62"/>
    <w:rsid w:val="003B5D25"/>
    <w:rsid w:val="003C091F"/>
    <w:rsid w:val="003C1F60"/>
    <w:rsid w:val="003C21D4"/>
    <w:rsid w:val="003C2A64"/>
    <w:rsid w:val="003C4307"/>
    <w:rsid w:val="003C59B6"/>
    <w:rsid w:val="003C62E9"/>
    <w:rsid w:val="003C6474"/>
    <w:rsid w:val="003D066F"/>
    <w:rsid w:val="003D14DC"/>
    <w:rsid w:val="003D2412"/>
    <w:rsid w:val="003D30D0"/>
    <w:rsid w:val="003D3376"/>
    <w:rsid w:val="003D482C"/>
    <w:rsid w:val="003D722E"/>
    <w:rsid w:val="003D75CC"/>
    <w:rsid w:val="003D798D"/>
    <w:rsid w:val="003E02C1"/>
    <w:rsid w:val="003E0495"/>
    <w:rsid w:val="003E0A44"/>
    <w:rsid w:val="003E0CEA"/>
    <w:rsid w:val="003E4604"/>
    <w:rsid w:val="003E50F6"/>
    <w:rsid w:val="003E6245"/>
    <w:rsid w:val="003E62BC"/>
    <w:rsid w:val="003E6A1B"/>
    <w:rsid w:val="003F0E2E"/>
    <w:rsid w:val="003F1618"/>
    <w:rsid w:val="003F1916"/>
    <w:rsid w:val="003F2F87"/>
    <w:rsid w:val="003F4212"/>
    <w:rsid w:val="003F4DAE"/>
    <w:rsid w:val="003F52EE"/>
    <w:rsid w:val="003F6C45"/>
    <w:rsid w:val="003F6FC0"/>
    <w:rsid w:val="003F7731"/>
    <w:rsid w:val="003F7807"/>
    <w:rsid w:val="004008F6"/>
    <w:rsid w:val="00400B8F"/>
    <w:rsid w:val="00401A61"/>
    <w:rsid w:val="00403CA6"/>
    <w:rsid w:val="00403CFD"/>
    <w:rsid w:val="00403E1C"/>
    <w:rsid w:val="00404AED"/>
    <w:rsid w:val="00405F12"/>
    <w:rsid w:val="00407384"/>
    <w:rsid w:val="00407DE1"/>
    <w:rsid w:val="004106EE"/>
    <w:rsid w:val="00411F46"/>
    <w:rsid w:val="00412AF6"/>
    <w:rsid w:val="00413851"/>
    <w:rsid w:val="004141E8"/>
    <w:rsid w:val="0041597A"/>
    <w:rsid w:val="00415B6F"/>
    <w:rsid w:val="00416623"/>
    <w:rsid w:val="00417974"/>
    <w:rsid w:val="00421CDE"/>
    <w:rsid w:val="00421D7F"/>
    <w:rsid w:val="00421F3B"/>
    <w:rsid w:val="00422144"/>
    <w:rsid w:val="00423608"/>
    <w:rsid w:val="004243D4"/>
    <w:rsid w:val="00424978"/>
    <w:rsid w:val="00425340"/>
    <w:rsid w:val="004272F3"/>
    <w:rsid w:val="00427D52"/>
    <w:rsid w:val="00427F36"/>
    <w:rsid w:val="00430326"/>
    <w:rsid w:val="00430C16"/>
    <w:rsid w:val="00430E32"/>
    <w:rsid w:val="00431CC8"/>
    <w:rsid w:val="00431DFA"/>
    <w:rsid w:val="00432846"/>
    <w:rsid w:val="00433CC8"/>
    <w:rsid w:val="004357CD"/>
    <w:rsid w:val="00435B68"/>
    <w:rsid w:val="00435FBD"/>
    <w:rsid w:val="00436DA5"/>
    <w:rsid w:val="004374E5"/>
    <w:rsid w:val="00437729"/>
    <w:rsid w:val="00437C7D"/>
    <w:rsid w:val="0044027F"/>
    <w:rsid w:val="00440634"/>
    <w:rsid w:val="0044099C"/>
    <w:rsid w:val="00440C34"/>
    <w:rsid w:val="0044181F"/>
    <w:rsid w:val="00443610"/>
    <w:rsid w:val="00443BA4"/>
    <w:rsid w:val="004455EE"/>
    <w:rsid w:val="00451364"/>
    <w:rsid w:val="0045141A"/>
    <w:rsid w:val="0045221B"/>
    <w:rsid w:val="0045269A"/>
    <w:rsid w:val="0045365A"/>
    <w:rsid w:val="00454342"/>
    <w:rsid w:val="00454F10"/>
    <w:rsid w:val="00455197"/>
    <w:rsid w:val="004577F8"/>
    <w:rsid w:val="00457D9B"/>
    <w:rsid w:val="00460444"/>
    <w:rsid w:val="00460F9C"/>
    <w:rsid w:val="00461AD2"/>
    <w:rsid w:val="00463247"/>
    <w:rsid w:val="00463A37"/>
    <w:rsid w:val="00463E80"/>
    <w:rsid w:val="00465F30"/>
    <w:rsid w:val="0046603D"/>
    <w:rsid w:val="00466529"/>
    <w:rsid w:val="00467AD9"/>
    <w:rsid w:val="004705C3"/>
    <w:rsid w:val="00470E08"/>
    <w:rsid w:val="00471AA7"/>
    <w:rsid w:val="004734D1"/>
    <w:rsid w:val="0047354D"/>
    <w:rsid w:val="00473978"/>
    <w:rsid w:val="00474C17"/>
    <w:rsid w:val="00474E54"/>
    <w:rsid w:val="004752AD"/>
    <w:rsid w:val="00475F76"/>
    <w:rsid w:val="00476734"/>
    <w:rsid w:val="0047752E"/>
    <w:rsid w:val="00480988"/>
    <w:rsid w:val="00480D96"/>
    <w:rsid w:val="0048403E"/>
    <w:rsid w:val="0048485E"/>
    <w:rsid w:val="00485385"/>
    <w:rsid w:val="00485AA0"/>
    <w:rsid w:val="00486390"/>
    <w:rsid w:val="004868A4"/>
    <w:rsid w:val="00487008"/>
    <w:rsid w:val="00487516"/>
    <w:rsid w:val="00487628"/>
    <w:rsid w:val="0049157E"/>
    <w:rsid w:val="0049184E"/>
    <w:rsid w:val="00492457"/>
    <w:rsid w:val="0049355C"/>
    <w:rsid w:val="0049428C"/>
    <w:rsid w:val="004953ED"/>
    <w:rsid w:val="00496AD0"/>
    <w:rsid w:val="00496D49"/>
    <w:rsid w:val="0049723E"/>
    <w:rsid w:val="00497D46"/>
    <w:rsid w:val="004A10A8"/>
    <w:rsid w:val="004A2CC9"/>
    <w:rsid w:val="004A3357"/>
    <w:rsid w:val="004A3B31"/>
    <w:rsid w:val="004A46D8"/>
    <w:rsid w:val="004A6BC4"/>
    <w:rsid w:val="004A6CDD"/>
    <w:rsid w:val="004B1E5A"/>
    <w:rsid w:val="004B2575"/>
    <w:rsid w:val="004B2DAA"/>
    <w:rsid w:val="004B3B61"/>
    <w:rsid w:val="004B4283"/>
    <w:rsid w:val="004B610D"/>
    <w:rsid w:val="004B661A"/>
    <w:rsid w:val="004B6F54"/>
    <w:rsid w:val="004B7884"/>
    <w:rsid w:val="004C0544"/>
    <w:rsid w:val="004C1CE7"/>
    <w:rsid w:val="004C2D81"/>
    <w:rsid w:val="004C3BB6"/>
    <w:rsid w:val="004C3E39"/>
    <w:rsid w:val="004C410D"/>
    <w:rsid w:val="004C56C9"/>
    <w:rsid w:val="004C590F"/>
    <w:rsid w:val="004C5E46"/>
    <w:rsid w:val="004C68EA"/>
    <w:rsid w:val="004D0521"/>
    <w:rsid w:val="004D06D7"/>
    <w:rsid w:val="004D0867"/>
    <w:rsid w:val="004D08B3"/>
    <w:rsid w:val="004D138D"/>
    <w:rsid w:val="004D13EF"/>
    <w:rsid w:val="004D15AC"/>
    <w:rsid w:val="004D1DA6"/>
    <w:rsid w:val="004D227C"/>
    <w:rsid w:val="004D2809"/>
    <w:rsid w:val="004D2919"/>
    <w:rsid w:val="004D2AEB"/>
    <w:rsid w:val="004D3756"/>
    <w:rsid w:val="004D3A91"/>
    <w:rsid w:val="004D3D3A"/>
    <w:rsid w:val="004D3EEA"/>
    <w:rsid w:val="004D4DC4"/>
    <w:rsid w:val="004D4E1D"/>
    <w:rsid w:val="004D5070"/>
    <w:rsid w:val="004D5B72"/>
    <w:rsid w:val="004D64E7"/>
    <w:rsid w:val="004D6CE8"/>
    <w:rsid w:val="004D6E30"/>
    <w:rsid w:val="004D72FF"/>
    <w:rsid w:val="004E0E45"/>
    <w:rsid w:val="004E23BD"/>
    <w:rsid w:val="004E29D7"/>
    <w:rsid w:val="004E35B5"/>
    <w:rsid w:val="004E35D2"/>
    <w:rsid w:val="004E3A50"/>
    <w:rsid w:val="004E47A5"/>
    <w:rsid w:val="004E6258"/>
    <w:rsid w:val="004F0647"/>
    <w:rsid w:val="004F0E31"/>
    <w:rsid w:val="004F1D7E"/>
    <w:rsid w:val="004F4B00"/>
    <w:rsid w:val="004F67C7"/>
    <w:rsid w:val="004F7A5C"/>
    <w:rsid w:val="00500C54"/>
    <w:rsid w:val="00502A49"/>
    <w:rsid w:val="00504237"/>
    <w:rsid w:val="0050423D"/>
    <w:rsid w:val="00504CE3"/>
    <w:rsid w:val="005055E9"/>
    <w:rsid w:val="00506B6D"/>
    <w:rsid w:val="00506C0D"/>
    <w:rsid w:val="00506DDC"/>
    <w:rsid w:val="00507B26"/>
    <w:rsid w:val="00507FD2"/>
    <w:rsid w:val="005108F4"/>
    <w:rsid w:val="0051179B"/>
    <w:rsid w:val="005118C7"/>
    <w:rsid w:val="00512608"/>
    <w:rsid w:val="00515093"/>
    <w:rsid w:val="005154BD"/>
    <w:rsid w:val="00517667"/>
    <w:rsid w:val="005212D0"/>
    <w:rsid w:val="0052157A"/>
    <w:rsid w:val="00521C54"/>
    <w:rsid w:val="00521F66"/>
    <w:rsid w:val="005229EE"/>
    <w:rsid w:val="00522BE9"/>
    <w:rsid w:val="005230C0"/>
    <w:rsid w:val="00525093"/>
    <w:rsid w:val="00526D39"/>
    <w:rsid w:val="005279F8"/>
    <w:rsid w:val="005312B1"/>
    <w:rsid w:val="00531F1A"/>
    <w:rsid w:val="005329DA"/>
    <w:rsid w:val="00533331"/>
    <w:rsid w:val="005333FC"/>
    <w:rsid w:val="00533CAA"/>
    <w:rsid w:val="00533F75"/>
    <w:rsid w:val="00535DC5"/>
    <w:rsid w:val="00535DE6"/>
    <w:rsid w:val="005363E8"/>
    <w:rsid w:val="005368C7"/>
    <w:rsid w:val="00536926"/>
    <w:rsid w:val="00540BE0"/>
    <w:rsid w:val="00540FAA"/>
    <w:rsid w:val="0054106F"/>
    <w:rsid w:val="005421AA"/>
    <w:rsid w:val="005429B0"/>
    <w:rsid w:val="00543046"/>
    <w:rsid w:val="00544CC1"/>
    <w:rsid w:val="00544F6F"/>
    <w:rsid w:val="0054611D"/>
    <w:rsid w:val="00546CE0"/>
    <w:rsid w:val="0054765B"/>
    <w:rsid w:val="00547939"/>
    <w:rsid w:val="00551425"/>
    <w:rsid w:val="0055160D"/>
    <w:rsid w:val="00552B40"/>
    <w:rsid w:val="005536EB"/>
    <w:rsid w:val="00553732"/>
    <w:rsid w:val="00555508"/>
    <w:rsid w:val="005559F0"/>
    <w:rsid w:val="00555E70"/>
    <w:rsid w:val="005563F7"/>
    <w:rsid w:val="0055687A"/>
    <w:rsid w:val="00557117"/>
    <w:rsid w:val="0055789C"/>
    <w:rsid w:val="00560A87"/>
    <w:rsid w:val="005610FE"/>
    <w:rsid w:val="00561194"/>
    <w:rsid w:val="005615BD"/>
    <w:rsid w:val="00563C73"/>
    <w:rsid w:val="0056488A"/>
    <w:rsid w:val="005654D1"/>
    <w:rsid w:val="005665E8"/>
    <w:rsid w:val="00566943"/>
    <w:rsid w:val="00567305"/>
    <w:rsid w:val="0056799A"/>
    <w:rsid w:val="00567BC3"/>
    <w:rsid w:val="0057041C"/>
    <w:rsid w:val="005714CA"/>
    <w:rsid w:val="0057197E"/>
    <w:rsid w:val="00571B12"/>
    <w:rsid w:val="005728BD"/>
    <w:rsid w:val="00574592"/>
    <w:rsid w:val="00575410"/>
    <w:rsid w:val="00575E10"/>
    <w:rsid w:val="005765AC"/>
    <w:rsid w:val="00576A7E"/>
    <w:rsid w:val="0057733B"/>
    <w:rsid w:val="00577F8A"/>
    <w:rsid w:val="005809B8"/>
    <w:rsid w:val="00580C47"/>
    <w:rsid w:val="005811B8"/>
    <w:rsid w:val="00581219"/>
    <w:rsid w:val="00582CB0"/>
    <w:rsid w:val="00582CEC"/>
    <w:rsid w:val="005830FB"/>
    <w:rsid w:val="005851DA"/>
    <w:rsid w:val="00587528"/>
    <w:rsid w:val="00587ECE"/>
    <w:rsid w:val="0059049F"/>
    <w:rsid w:val="0059148D"/>
    <w:rsid w:val="005921D8"/>
    <w:rsid w:val="005931FA"/>
    <w:rsid w:val="00594219"/>
    <w:rsid w:val="0059597F"/>
    <w:rsid w:val="00596753"/>
    <w:rsid w:val="00597062"/>
    <w:rsid w:val="005A0569"/>
    <w:rsid w:val="005A116A"/>
    <w:rsid w:val="005A26D7"/>
    <w:rsid w:val="005A78B2"/>
    <w:rsid w:val="005A7F13"/>
    <w:rsid w:val="005B015A"/>
    <w:rsid w:val="005B0E09"/>
    <w:rsid w:val="005B2470"/>
    <w:rsid w:val="005B309A"/>
    <w:rsid w:val="005B5710"/>
    <w:rsid w:val="005B57F0"/>
    <w:rsid w:val="005B6CAF"/>
    <w:rsid w:val="005C2A9E"/>
    <w:rsid w:val="005C3D11"/>
    <w:rsid w:val="005C3F61"/>
    <w:rsid w:val="005C4297"/>
    <w:rsid w:val="005C4440"/>
    <w:rsid w:val="005C530E"/>
    <w:rsid w:val="005C5973"/>
    <w:rsid w:val="005C65BB"/>
    <w:rsid w:val="005C7791"/>
    <w:rsid w:val="005C7827"/>
    <w:rsid w:val="005D1816"/>
    <w:rsid w:val="005D23FB"/>
    <w:rsid w:val="005D2682"/>
    <w:rsid w:val="005D301B"/>
    <w:rsid w:val="005D3890"/>
    <w:rsid w:val="005D3A77"/>
    <w:rsid w:val="005D4562"/>
    <w:rsid w:val="005D6912"/>
    <w:rsid w:val="005D7E31"/>
    <w:rsid w:val="005E021D"/>
    <w:rsid w:val="005E05C6"/>
    <w:rsid w:val="005E1087"/>
    <w:rsid w:val="005E14D1"/>
    <w:rsid w:val="005E1744"/>
    <w:rsid w:val="005E19DA"/>
    <w:rsid w:val="005E2422"/>
    <w:rsid w:val="005E3788"/>
    <w:rsid w:val="005E3F75"/>
    <w:rsid w:val="005E4836"/>
    <w:rsid w:val="005E5432"/>
    <w:rsid w:val="005E543E"/>
    <w:rsid w:val="005E54AE"/>
    <w:rsid w:val="005E5905"/>
    <w:rsid w:val="005E6B84"/>
    <w:rsid w:val="005F0445"/>
    <w:rsid w:val="005F08AB"/>
    <w:rsid w:val="005F1381"/>
    <w:rsid w:val="005F1A7B"/>
    <w:rsid w:val="005F5559"/>
    <w:rsid w:val="005F55D2"/>
    <w:rsid w:val="005F63AA"/>
    <w:rsid w:val="005F658E"/>
    <w:rsid w:val="005F6F84"/>
    <w:rsid w:val="005F7206"/>
    <w:rsid w:val="005F73D6"/>
    <w:rsid w:val="005F76F8"/>
    <w:rsid w:val="00600C02"/>
    <w:rsid w:val="00602AE0"/>
    <w:rsid w:val="00603156"/>
    <w:rsid w:val="00604093"/>
    <w:rsid w:val="00604E4B"/>
    <w:rsid w:val="006050A3"/>
    <w:rsid w:val="006050E3"/>
    <w:rsid w:val="006055D0"/>
    <w:rsid w:val="00606B1B"/>
    <w:rsid w:val="0061076D"/>
    <w:rsid w:val="00610A82"/>
    <w:rsid w:val="00610B82"/>
    <w:rsid w:val="00610F10"/>
    <w:rsid w:val="00612A60"/>
    <w:rsid w:val="00612D07"/>
    <w:rsid w:val="006132D0"/>
    <w:rsid w:val="006148C2"/>
    <w:rsid w:val="006163CE"/>
    <w:rsid w:val="00617111"/>
    <w:rsid w:val="00617FDB"/>
    <w:rsid w:val="0062033E"/>
    <w:rsid w:val="00621385"/>
    <w:rsid w:val="00622A7A"/>
    <w:rsid w:val="00623EBD"/>
    <w:rsid w:val="00624809"/>
    <w:rsid w:val="00624863"/>
    <w:rsid w:val="00626E4B"/>
    <w:rsid w:val="00627026"/>
    <w:rsid w:val="0062707B"/>
    <w:rsid w:val="00627D48"/>
    <w:rsid w:val="006303ED"/>
    <w:rsid w:val="00630722"/>
    <w:rsid w:val="006319BE"/>
    <w:rsid w:val="0063309A"/>
    <w:rsid w:val="00633619"/>
    <w:rsid w:val="0063388E"/>
    <w:rsid w:val="00634121"/>
    <w:rsid w:val="00634190"/>
    <w:rsid w:val="006342E3"/>
    <w:rsid w:val="006344C1"/>
    <w:rsid w:val="00634B61"/>
    <w:rsid w:val="00634C78"/>
    <w:rsid w:val="00634D5C"/>
    <w:rsid w:val="006411DC"/>
    <w:rsid w:val="006415CF"/>
    <w:rsid w:val="00642040"/>
    <w:rsid w:val="0064254F"/>
    <w:rsid w:val="006449FD"/>
    <w:rsid w:val="006474C9"/>
    <w:rsid w:val="006509ED"/>
    <w:rsid w:val="0065424D"/>
    <w:rsid w:val="00654A31"/>
    <w:rsid w:val="006561F5"/>
    <w:rsid w:val="00657BB6"/>
    <w:rsid w:val="00657CD9"/>
    <w:rsid w:val="0066002A"/>
    <w:rsid w:val="00660E69"/>
    <w:rsid w:val="00661171"/>
    <w:rsid w:val="00661956"/>
    <w:rsid w:val="00662084"/>
    <w:rsid w:val="0066243A"/>
    <w:rsid w:val="00662BDC"/>
    <w:rsid w:val="00664136"/>
    <w:rsid w:val="006644D2"/>
    <w:rsid w:val="006669B1"/>
    <w:rsid w:val="00666BC1"/>
    <w:rsid w:val="00667359"/>
    <w:rsid w:val="006673D2"/>
    <w:rsid w:val="0067021C"/>
    <w:rsid w:val="00670C27"/>
    <w:rsid w:val="00671AB4"/>
    <w:rsid w:val="00672C61"/>
    <w:rsid w:val="006731AD"/>
    <w:rsid w:val="0067346B"/>
    <w:rsid w:val="00673B69"/>
    <w:rsid w:val="00674506"/>
    <w:rsid w:val="00674BCD"/>
    <w:rsid w:val="00674DA5"/>
    <w:rsid w:val="00674DFA"/>
    <w:rsid w:val="00674F40"/>
    <w:rsid w:val="006754CE"/>
    <w:rsid w:val="00675D77"/>
    <w:rsid w:val="00675DF1"/>
    <w:rsid w:val="006766F2"/>
    <w:rsid w:val="006767F2"/>
    <w:rsid w:val="0067680D"/>
    <w:rsid w:val="00676F2E"/>
    <w:rsid w:val="00677949"/>
    <w:rsid w:val="00680F1C"/>
    <w:rsid w:val="00681AD2"/>
    <w:rsid w:val="00681C2A"/>
    <w:rsid w:val="00682C76"/>
    <w:rsid w:val="00682C9F"/>
    <w:rsid w:val="0068313C"/>
    <w:rsid w:val="00683188"/>
    <w:rsid w:val="00683458"/>
    <w:rsid w:val="0068357B"/>
    <w:rsid w:val="00683905"/>
    <w:rsid w:val="006864A6"/>
    <w:rsid w:val="0068717A"/>
    <w:rsid w:val="00687F6D"/>
    <w:rsid w:val="006907FD"/>
    <w:rsid w:val="00690869"/>
    <w:rsid w:val="00690E51"/>
    <w:rsid w:val="006911D4"/>
    <w:rsid w:val="00691BC2"/>
    <w:rsid w:val="006931F9"/>
    <w:rsid w:val="00693600"/>
    <w:rsid w:val="0069452C"/>
    <w:rsid w:val="00694A67"/>
    <w:rsid w:val="00695047"/>
    <w:rsid w:val="0069568B"/>
    <w:rsid w:val="00696235"/>
    <w:rsid w:val="006963D6"/>
    <w:rsid w:val="00696996"/>
    <w:rsid w:val="00697405"/>
    <w:rsid w:val="006A03B4"/>
    <w:rsid w:val="006A0A82"/>
    <w:rsid w:val="006A19CA"/>
    <w:rsid w:val="006A23D2"/>
    <w:rsid w:val="006A299B"/>
    <w:rsid w:val="006A2A76"/>
    <w:rsid w:val="006A318F"/>
    <w:rsid w:val="006A63DD"/>
    <w:rsid w:val="006A673E"/>
    <w:rsid w:val="006A6D0E"/>
    <w:rsid w:val="006B0599"/>
    <w:rsid w:val="006B12BD"/>
    <w:rsid w:val="006B1D60"/>
    <w:rsid w:val="006B3310"/>
    <w:rsid w:val="006B4FA8"/>
    <w:rsid w:val="006B5EBA"/>
    <w:rsid w:val="006B6A5A"/>
    <w:rsid w:val="006B7069"/>
    <w:rsid w:val="006B7099"/>
    <w:rsid w:val="006B719D"/>
    <w:rsid w:val="006B75C0"/>
    <w:rsid w:val="006B7B26"/>
    <w:rsid w:val="006C039D"/>
    <w:rsid w:val="006C320A"/>
    <w:rsid w:val="006C4C7C"/>
    <w:rsid w:val="006C522E"/>
    <w:rsid w:val="006C5A4B"/>
    <w:rsid w:val="006C5E6F"/>
    <w:rsid w:val="006C72B6"/>
    <w:rsid w:val="006C7A29"/>
    <w:rsid w:val="006D0296"/>
    <w:rsid w:val="006D0E24"/>
    <w:rsid w:val="006D166E"/>
    <w:rsid w:val="006D2068"/>
    <w:rsid w:val="006D33BB"/>
    <w:rsid w:val="006D45E6"/>
    <w:rsid w:val="006D4AA6"/>
    <w:rsid w:val="006D59CB"/>
    <w:rsid w:val="006D681C"/>
    <w:rsid w:val="006D6B96"/>
    <w:rsid w:val="006E025B"/>
    <w:rsid w:val="006E0AA3"/>
    <w:rsid w:val="006E0EBA"/>
    <w:rsid w:val="006E13E7"/>
    <w:rsid w:val="006E26D4"/>
    <w:rsid w:val="006E3050"/>
    <w:rsid w:val="006E3370"/>
    <w:rsid w:val="006E40BB"/>
    <w:rsid w:val="006E52B6"/>
    <w:rsid w:val="006E5A24"/>
    <w:rsid w:val="006E6332"/>
    <w:rsid w:val="006E6335"/>
    <w:rsid w:val="006E6A22"/>
    <w:rsid w:val="006E6DB0"/>
    <w:rsid w:val="006E7617"/>
    <w:rsid w:val="006E7B6E"/>
    <w:rsid w:val="006F2CE4"/>
    <w:rsid w:val="006F3567"/>
    <w:rsid w:val="006F4237"/>
    <w:rsid w:val="006F49BF"/>
    <w:rsid w:val="006F59B8"/>
    <w:rsid w:val="006F6693"/>
    <w:rsid w:val="006F6845"/>
    <w:rsid w:val="006F6C5C"/>
    <w:rsid w:val="006F75C9"/>
    <w:rsid w:val="0070001F"/>
    <w:rsid w:val="0070034C"/>
    <w:rsid w:val="00701EE4"/>
    <w:rsid w:val="007020E3"/>
    <w:rsid w:val="007023FA"/>
    <w:rsid w:val="007038C2"/>
    <w:rsid w:val="00703982"/>
    <w:rsid w:val="00703B78"/>
    <w:rsid w:val="00703C1D"/>
    <w:rsid w:val="007059B9"/>
    <w:rsid w:val="007062BD"/>
    <w:rsid w:val="0070656A"/>
    <w:rsid w:val="007070A8"/>
    <w:rsid w:val="00710646"/>
    <w:rsid w:val="00710B2E"/>
    <w:rsid w:val="00711385"/>
    <w:rsid w:val="00711D59"/>
    <w:rsid w:val="00711E9A"/>
    <w:rsid w:val="00712371"/>
    <w:rsid w:val="00712705"/>
    <w:rsid w:val="007127C5"/>
    <w:rsid w:val="00712E7B"/>
    <w:rsid w:val="00712F82"/>
    <w:rsid w:val="007139F8"/>
    <w:rsid w:val="00713B7B"/>
    <w:rsid w:val="007145E9"/>
    <w:rsid w:val="00715139"/>
    <w:rsid w:val="007158DB"/>
    <w:rsid w:val="00715A16"/>
    <w:rsid w:val="00715C4C"/>
    <w:rsid w:val="00716669"/>
    <w:rsid w:val="0071776F"/>
    <w:rsid w:val="00717967"/>
    <w:rsid w:val="0072001F"/>
    <w:rsid w:val="0072126B"/>
    <w:rsid w:val="0072193C"/>
    <w:rsid w:val="00721D57"/>
    <w:rsid w:val="00722CDA"/>
    <w:rsid w:val="00723631"/>
    <w:rsid w:val="00724058"/>
    <w:rsid w:val="007259B2"/>
    <w:rsid w:val="00725E67"/>
    <w:rsid w:val="00727AA8"/>
    <w:rsid w:val="007301A3"/>
    <w:rsid w:val="00730892"/>
    <w:rsid w:val="00730933"/>
    <w:rsid w:val="00730DD2"/>
    <w:rsid w:val="0073294D"/>
    <w:rsid w:val="007333AD"/>
    <w:rsid w:val="00734A85"/>
    <w:rsid w:val="00734E80"/>
    <w:rsid w:val="00735ED7"/>
    <w:rsid w:val="0074056E"/>
    <w:rsid w:val="0074074C"/>
    <w:rsid w:val="007413A1"/>
    <w:rsid w:val="00741556"/>
    <w:rsid w:val="00742473"/>
    <w:rsid w:val="00742C30"/>
    <w:rsid w:val="00743A2E"/>
    <w:rsid w:val="00746122"/>
    <w:rsid w:val="00746668"/>
    <w:rsid w:val="007512EA"/>
    <w:rsid w:val="00751CC5"/>
    <w:rsid w:val="00751FC4"/>
    <w:rsid w:val="007523D6"/>
    <w:rsid w:val="0075341D"/>
    <w:rsid w:val="00753C96"/>
    <w:rsid w:val="00753F0C"/>
    <w:rsid w:val="00755108"/>
    <w:rsid w:val="0075526F"/>
    <w:rsid w:val="00755AC1"/>
    <w:rsid w:val="00755FD0"/>
    <w:rsid w:val="007560BC"/>
    <w:rsid w:val="0076051A"/>
    <w:rsid w:val="00760E0C"/>
    <w:rsid w:val="007617AA"/>
    <w:rsid w:val="00762A2C"/>
    <w:rsid w:val="00762D07"/>
    <w:rsid w:val="00762DBF"/>
    <w:rsid w:val="00763C01"/>
    <w:rsid w:val="00764025"/>
    <w:rsid w:val="00764619"/>
    <w:rsid w:val="00764726"/>
    <w:rsid w:val="00765A3E"/>
    <w:rsid w:val="00766296"/>
    <w:rsid w:val="00766F4F"/>
    <w:rsid w:val="00767F46"/>
    <w:rsid w:val="007708BF"/>
    <w:rsid w:val="00771256"/>
    <w:rsid w:val="007719F7"/>
    <w:rsid w:val="00771EBF"/>
    <w:rsid w:val="0077259C"/>
    <w:rsid w:val="00773016"/>
    <w:rsid w:val="00773925"/>
    <w:rsid w:val="00774A15"/>
    <w:rsid w:val="007759E3"/>
    <w:rsid w:val="00776060"/>
    <w:rsid w:val="007769F9"/>
    <w:rsid w:val="00776F05"/>
    <w:rsid w:val="00781058"/>
    <w:rsid w:val="0078111E"/>
    <w:rsid w:val="00782B15"/>
    <w:rsid w:val="00784F77"/>
    <w:rsid w:val="00785A50"/>
    <w:rsid w:val="00786047"/>
    <w:rsid w:val="0078702A"/>
    <w:rsid w:val="00787095"/>
    <w:rsid w:val="00787E67"/>
    <w:rsid w:val="007915DD"/>
    <w:rsid w:val="00791703"/>
    <w:rsid w:val="00791DF7"/>
    <w:rsid w:val="00792C8E"/>
    <w:rsid w:val="0079539A"/>
    <w:rsid w:val="00795D17"/>
    <w:rsid w:val="0079616D"/>
    <w:rsid w:val="00796770"/>
    <w:rsid w:val="00797557"/>
    <w:rsid w:val="007975F2"/>
    <w:rsid w:val="007A0AFC"/>
    <w:rsid w:val="007A0D48"/>
    <w:rsid w:val="007A175F"/>
    <w:rsid w:val="007A47E5"/>
    <w:rsid w:val="007A50CE"/>
    <w:rsid w:val="007A5655"/>
    <w:rsid w:val="007A6E84"/>
    <w:rsid w:val="007A74AC"/>
    <w:rsid w:val="007A75DA"/>
    <w:rsid w:val="007B028A"/>
    <w:rsid w:val="007B354E"/>
    <w:rsid w:val="007B4A81"/>
    <w:rsid w:val="007B53E6"/>
    <w:rsid w:val="007B7BA9"/>
    <w:rsid w:val="007C0D5C"/>
    <w:rsid w:val="007C1CD0"/>
    <w:rsid w:val="007C3F46"/>
    <w:rsid w:val="007C4190"/>
    <w:rsid w:val="007C4857"/>
    <w:rsid w:val="007C6C32"/>
    <w:rsid w:val="007C6C50"/>
    <w:rsid w:val="007D0695"/>
    <w:rsid w:val="007D11D0"/>
    <w:rsid w:val="007D177C"/>
    <w:rsid w:val="007D2387"/>
    <w:rsid w:val="007D3A3A"/>
    <w:rsid w:val="007D41FA"/>
    <w:rsid w:val="007D5409"/>
    <w:rsid w:val="007D5C85"/>
    <w:rsid w:val="007D601D"/>
    <w:rsid w:val="007D60CC"/>
    <w:rsid w:val="007D7801"/>
    <w:rsid w:val="007D7B3E"/>
    <w:rsid w:val="007D7C46"/>
    <w:rsid w:val="007E0CDD"/>
    <w:rsid w:val="007E12E1"/>
    <w:rsid w:val="007E191B"/>
    <w:rsid w:val="007E27BF"/>
    <w:rsid w:val="007E35DB"/>
    <w:rsid w:val="007E439E"/>
    <w:rsid w:val="007E4996"/>
    <w:rsid w:val="007E553C"/>
    <w:rsid w:val="007E5CEA"/>
    <w:rsid w:val="007E778B"/>
    <w:rsid w:val="007E7F29"/>
    <w:rsid w:val="007F1ACA"/>
    <w:rsid w:val="007F2ACC"/>
    <w:rsid w:val="007F37E0"/>
    <w:rsid w:val="007F3B14"/>
    <w:rsid w:val="007F3DE3"/>
    <w:rsid w:val="007F44E3"/>
    <w:rsid w:val="007F5634"/>
    <w:rsid w:val="007F56F4"/>
    <w:rsid w:val="007F6C60"/>
    <w:rsid w:val="007F6F20"/>
    <w:rsid w:val="007F7325"/>
    <w:rsid w:val="008008A7"/>
    <w:rsid w:val="008013E2"/>
    <w:rsid w:val="00802907"/>
    <w:rsid w:val="00802C1D"/>
    <w:rsid w:val="008051D7"/>
    <w:rsid w:val="00806AA3"/>
    <w:rsid w:val="00807166"/>
    <w:rsid w:val="008078AE"/>
    <w:rsid w:val="00810116"/>
    <w:rsid w:val="00810F33"/>
    <w:rsid w:val="00812BC8"/>
    <w:rsid w:val="008139C7"/>
    <w:rsid w:val="00813DDC"/>
    <w:rsid w:val="00814026"/>
    <w:rsid w:val="008141AC"/>
    <w:rsid w:val="00815566"/>
    <w:rsid w:val="008163A3"/>
    <w:rsid w:val="008163D1"/>
    <w:rsid w:val="0081768D"/>
    <w:rsid w:val="008179C1"/>
    <w:rsid w:val="00820833"/>
    <w:rsid w:val="008211ED"/>
    <w:rsid w:val="00821AFD"/>
    <w:rsid w:val="0082370D"/>
    <w:rsid w:val="00824F5E"/>
    <w:rsid w:val="00825244"/>
    <w:rsid w:val="008261B6"/>
    <w:rsid w:val="00826D73"/>
    <w:rsid w:val="00827728"/>
    <w:rsid w:val="00827BDB"/>
    <w:rsid w:val="00830113"/>
    <w:rsid w:val="008301EA"/>
    <w:rsid w:val="00830DA4"/>
    <w:rsid w:val="00832101"/>
    <w:rsid w:val="0083260F"/>
    <w:rsid w:val="00832C76"/>
    <w:rsid w:val="008333A3"/>
    <w:rsid w:val="00833B2A"/>
    <w:rsid w:val="008351FD"/>
    <w:rsid w:val="0083552B"/>
    <w:rsid w:val="00836039"/>
    <w:rsid w:val="008368BE"/>
    <w:rsid w:val="00836C4F"/>
    <w:rsid w:val="00836F2D"/>
    <w:rsid w:val="00837F05"/>
    <w:rsid w:val="00840135"/>
    <w:rsid w:val="008408FF"/>
    <w:rsid w:val="00842D0C"/>
    <w:rsid w:val="00843767"/>
    <w:rsid w:val="00843DDD"/>
    <w:rsid w:val="00844CFD"/>
    <w:rsid w:val="0084559C"/>
    <w:rsid w:val="008469E2"/>
    <w:rsid w:val="00846C61"/>
    <w:rsid w:val="00846F93"/>
    <w:rsid w:val="0084753B"/>
    <w:rsid w:val="00850C76"/>
    <w:rsid w:val="0085203E"/>
    <w:rsid w:val="008521A5"/>
    <w:rsid w:val="00854770"/>
    <w:rsid w:val="00855D07"/>
    <w:rsid w:val="00855F13"/>
    <w:rsid w:val="00856CF5"/>
    <w:rsid w:val="008575B8"/>
    <w:rsid w:val="00860FAF"/>
    <w:rsid w:val="00861476"/>
    <w:rsid w:val="00862160"/>
    <w:rsid w:val="00862804"/>
    <w:rsid w:val="00863E43"/>
    <w:rsid w:val="008646BD"/>
    <w:rsid w:val="008646F3"/>
    <w:rsid w:val="00865FF9"/>
    <w:rsid w:val="00867292"/>
    <w:rsid w:val="00867472"/>
    <w:rsid w:val="00867670"/>
    <w:rsid w:val="0087218A"/>
    <w:rsid w:val="008727D8"/>
    <w:rsid w:val="00872E5E"/>
    <w:rsid w:val="008733BB"/>
    <w:rsid w:val="008752B3"/>
    <w:rsid w:val="0087549A"/>
    <w:rsid w:val="008765C2"/>
    <w:rsid w:val="00877F67"/>
    <w:rsid w:val="00880615"/>
    <w:rsid w:val="00881A8D"/>
    <w:rsid w:val="00882640"/>
    <w:rsid w:val="0088292B"/>
    <w:rsid w:val="00882BF6"/>
    <w:rsid w:val="00882E1C"/>
    <w:rsid w:val="00882F15"/>
    <w:rsid w:val="00883534"/>
    <w:rsid w:val="00884346"/>
    <w:rsid w:val="00884E9F"/>
    <w:rsid w:val="00884F93"/>
    <w:rsid w:val="008851CE"/>
    <w:rsid w:val="00885DD0"/>
    <w:rsid w:val="0088616A"/>
    <w:rsid w:val="00886AE4"/>
    <w:rsid w:val="008931EF"/>
    <w:rsid w:val="0089344B"/>
    <w:rsid w:val="00894224"/>
    <w:rsid w:val="00894361"/>
    <w:rsid w:val="00895137"/>
    <w:rsid w:val="00895867"/>
    <w:rsid w:val="008958DB"/>
    <w:rsid w:val="00895DA9"/>
    <w:rsid w:val="00896C6E"/>
    <w:rsid w:val="00897695"/>
    <w:rsid w:val="008979F8"/>
    <w:rsid w:val="00897C27"/>
    <w:rsid w:val="008A0CC2"/>
    <w:rsid w:val="008A1848"/>
    <w:rsid w:val="008A1A54"/>
    <w:rsid w:val="008A240F"/>
    <w:rsid w:val="008A29E4"/>
    <w:rsid w:val="008A330E"/>
    <w:rsid w:val="008A3520"/>
    <w:rsid w:val="008A3E9A"/>
    <w:rsid w:val="008A3EAB"/>
    <w:rsid w:val="008A474A"/>
    <w:rsid w:val="008A48A2"/>
    <w:rsid w:val="008A4F4D"/>
    <w:rsid w:val="008A5F03"/>
    <w:rsid w:val="008A6088"/>
    <w:rsid w:val="008A6608"/>
    <w:rsid w:val="008A67E1"/>
    <w:rsid w:val="008B02FA"/>
    <w:rsid w:val="008B07FC"/>
    <w:rsid w:val="008B0F1B"/>
    <w:rsid w:val="008B10F4"/>
    <w:rsid w:val="008B1E6B"/>
    <w:rsid w:val="008B41C1"/>
    <w:rsid w:val="008B4EC2"/>
    <w:rsid w:val="008B5AD7"/>
    <w:rsid w:val="008B5CC5"/>
    <w:rsid w:val="008B654F"/>
    <w:rsid w:val="008B760D"/>
    <w:rsid w:val="008B7DCD"/>
    <w:rsid w:val="008C0CA5"/>
    <w:rsid w:val="008C0D86"/>
    <w:rsid w:val="008C1909"/>
    <w:rsid w:val="008C1F52"/>
    <w:rsid w:val="008C415F"/>
    <w:rsid w:val="008C4823"/>
    <w:rsid w:val="008C497A"/>
    <w:rsid w:val="008C6139"/>
    <w:rsid w:val="008C6903"/>
    <w:rsid w:val="008D01F3"/>
    <w:rsid w:val="008D0AFB"/>
    <w:rsid w:val="008D132E"/>
    <w:rsid w:val="008D1D4D"/>
    <w:rsid w:val="008D1D53"/>
    <w:rsid w:val="008D1E9D"/>
    <w:rsid w:val="008D383C"/>
    <w:rsid w:val="008D48CB"/>
    <w:rsid w:val="008D62C5"/>
    <w:rsid w:val="008D62F3"/>
    <w:rsid w:val="008D6F19"/>
    <w:rsid w:val="008E2A98"/>
    <w:rsid w:val="008E2EBA"/>
    <w:rsid w:val="008E3D07"/>
    <w:rsid w:val="008E3D82"/>
    <w:rsid w:val="008E42F6"/>
    <w:rsid w:val="008E45BF"/>
    <w:rsid w:val="008E4D3B"/>
    <w:rsid w:val="008E52A0"/>
    <w:rsid w:val="008E6B23"/>
    <w:rsid w:val="008E713F"/>
    <w:rsid w:val="008E7839"/>
    <w:rsid w:val="008F18EA"/>
    <w:rsid w:val="008F2C1B"/>
    <w:rsid w:val="008F3DDB"/>
    <w:rsid w:val="008F4194"/>
    <w:rsid w:val="008F57ED"/>
    <w:rsid w:val="008F5D55"/>
    <w:rsid w:val="008F620F"/>
    <w:rsid w:val="008F6B60"/>
    <w:rsid w:val="008F7265"/>
    <w:rsid w:val="008F7338"/>
    <w:rsid w:val="009009AA"/>
    <w:rsid w:val="00902A33"/>
    <w:rsid w:val="00902CC2"/>
    <w:rsid w:val="00903071"/>
    <w:rsid w:val="00904C8A"/>
    <w:rsid w:val="00904F62"/>
    <w:rsid w:val="00905C4D"/>
    <w:rsid w:val="009074F5"/>
    <w:rsid w:val="0090792F"/>
    <w:rsid w:val="00907A00"/>
    <w:rsid w:val="00907C52"/>
    <w:rsid w:val="00907EA6"/>
    <w:rsid w:val="0091079D"/>
    <w:rsid w:val="0091079E"/>
    <w:rsid w:val="0091080A"/>
    <w:rsid w:val="00910895"/>
    <w:rsid w:val="00911C50"/>
    <w:rsid w:val="009123E0"/>
    <w:rsid w:val="0091285E"/>
    <w:rsid w:val="009128BA"/>
    <w:rsid w:val="009132CB"/>
    <w:rsid w:val="009140AE"/>
    <w:rsid w:val="009147D3"/>
    <w:rsid w:val="00914D73"/>
    <w:rsid w:val="009153F5"/>
    <w:rsid w:val="009154F3"/>
    <w:rsid w:val="0091571D"/>
    <w:rsid w:val="0091586D"/>
    <w:rsid w:val="009158CC"/>
    <w:rsid w:val="00915D86"/>
    <w:rsid w:val="00916628"/>
    <w:rsid w:val="00916CBE"/>
    <w:rsid w:val="009171A0"/>
    <w:rsid w:val="009176CD"/>
    <w:rsid w:val="00920ED1"/>
    <w:rsid w:val="00921442"/>
    <w:rsid w:val="0092147A"/>
    <w:rsid w:val="009219FE"/>
    <w:rsid w:val="009264F7"/>
    <w:rsid w:val="009272D7"/>
    <w:rsid w:val="009276FA"/>
    <w:rsid w:val="00927A95"/>
    <w:rsid w:val="00927B49"/>
    <w:rsid w:val="009300FD"/>
    <w:rsid w:val="00930327"/>
    <w:rsid w:val="00930488"/>
    <w:rsid w:val="009312A7"/>
    <w:rsid w:val="009315D2"/>
    <w:rsid w:val="0093360A"/>
    <w:rsid w:val="00933F66"/>
    <w:rsid w:val="00935550"/>
    <w:rsid w:val="00935566"/>
    <w:rsid w:val="00936FD1"/>
    <w:rsid w:val="00937A88"/>
    <w:rsid w:val="00937C70"/>
    <w:rsid w:val="00940109"/>
    <w:rsid w:val="00940DA6"/>
    <w:rsid w:val="0094164D"/>
    <w:rsid w:val="00942A5D"/>
    <w:rsid w:val="0094324D"/>
    <w:rsid w:val="009439B7"/>
    <w:rsid w:val="00944F2B"/>
    <w:rsid w:val="009467D2"/>
    <w:rsid w:val="00946DE7"/>
    <w:rsid w:val="00950CA0"/>
    <w:rsid w:val="009510FA"/>
    <w:rsid w:val="0095192B"/>
    <w:rsid w:val="009524B4"/>
    <w:rsid w:val="00952763"/>
    <w:rsid w:val="00952ADC"/>
    <w:rsid w:val="00953A51"/>
    <w:rsid w:val="00954BA8"/>
    <w:rsid w:val="00954D74"/>
    <w:rsid w:val="009552CE"/>
    <w:rsid w:val="00955D66"/>
    <w:rsid w:val="009562A0"/>
    <w:rsid w:val="0095647C"/>
    <w:rsid w:val="009568C4"/>
    <w:rsid w:val="009569BA"/>
    <w:rsid w:val="00957C1A"/>
    <w:rsid w:val="00960260"/>
    <w:rsid w:val="00960718"/>
    <w:rsid w:val="00961735"/>
    <w:rsid w:val="0096240F"/>
    <w:rsid w:val="00963178"/>
    <w:rsid w:val="00963676"/>
    <w:rsid w:val="00964B0F"/>
    <w:rsid w:val="00965A9D"/>
    <w:rsid w:val="00965B13"/>
    <w:rsid w:val="00965C42"/>
    <w:rsid w:val="00966206"/>
    <w:rsid w:val="00966347"/>
    <w:rsid w:val="0097059F"/>
    <w:rsid w:val="00971335"/>
    <w:rsid w:val="00971819"/>
    <w:rsid w:val="00971D12"/>
    <w:rsid w:val="0097232B"/>
    <w:rsid w:val="00973DC8"/>
    <w:rsid w:val="00974444"/>
    <w:rsid w:val="00974C92"/>
    <w:rsid w:val="0097513C"/>
    <w:rsid w:val="009764FA"/>
    <w:rsid w:val="00976522"/>
    <w:rsid w:val="009768DE"/>
    <w:rsid w:val="00976C7D"/>
    <w:rsid w:val="00977BE1"/>
    <w:rsid w:val="0098024F"/>
    <w:rsid w:val="00982CFD"/>
    <w:rsid w:val="009838B5"/>
    <w:rsid w:val="009838F1"/>
    <w:rsid w:val="00986465"/>
    <w:rsid w:val="00986F4E"/>
    <w:rsid w:val="009878C4"/>
    <w:rsid w:val="00987959"/>
    <w:rsid w:val="00987FF3"/>
    <w:rsid w:val="00990601"/>
    <w:rsid w:val="00990A81"/>
    <w:rsid w:val="00990CB6"/>
    <w:rsid w:val="00991B45"/>
    <w:rsid w:val="00991C91"/>
    <w:rsid w:val="00992D5C"/>
    <w:rsid w:val="009931B3"/>
    <w:rsid w:val="00993935"/>
    <w:rsid w:val="00993DDF"/>
    <w:rsid w:val="00994826"/>
    <w:rsid w:val="00994B21"/>
    <w:rsid w:val="00994B61"/>
    <w:rsid w:val="0099542E"/>
    <w:rsid w:val="00995DFD"/>
    <w:rsid w:val="00996112"/>
    <w:rsid w:val="009968CE"/>
    <w:rsid w:val="0099726E"/>
    <w:rsid w:val="009A04DB"/>
    <w:rsid w:val="009A061C"/>
    <w:rsid w:val="009A0890"/>
    <w:rsid w:val="009A0CC7"/>
    <w:rsid w:val="009A1D03"/>
    <w:rsid w:val="009A3C73"/>
    <w:rsid w:val="009A3EBC"/>
    <w:rsid w:val="009A53AE"/>
    <w:rsid w:val="009A5488"/>
    <w:rsid w:val="009A5D3C"/>
    <w:rsid w:val="009A60A8"/>
    <w:rsid w:val="009A60F4"/>
    <w:rsid w:val="009A67CA"/>
    <w:rsid w:val="009A7B0A"/>
    <w:rsid w:val="009A7B7D"/>
    <w:rsid w:val="009B0C5D"/>
    <w:rsid w:val="009B1EDF"/>
    <w:rsid w:val="009B2105"/>
    <w:rsid w:val="009B2957"/>
    <w:rsid w:val="009B2EC3"/>
    <w:rsid w:val="009B3633"/>
    <w:rsid w:val="009B3CA2"/>
    <w:rsid w:val="009B42E6"/>
    <w:rsid w:val="009B5EC5"/>
    <w:rsid w:val="009B636B"/>
    <w:rsid w:val="009B693A"/>
    <w:rsid w:val="009B6CB5"/>
    <w:rsid w:val="009B6E6A"/>
    <w:rsid w:val="009B7870"/>
    <w:rsid w:val="009B7B39"/>
    <w:rsid w:val="009B7D55"/>
    <w:rsid w:val="009C009F"/>
    <w:rsid w:val="009C08CD"/>
    <w:rsid w:val="009C10DC"/>
    <w:rsid w:val="009C1969"/>
    <w:rsid w:val="009C19C5"/>
    <w:rsid w:val="009C43CF"/>
    <w:rsid w:val="009C5AC3"/>
    <w:rsid w:val="009D1ADC"/>
    <w:rsid w:val="009D1F87"/>
    <w:rsid w:val="009D37D5"/>
    <w:rsid w:val="009D3955"/>
    <w:rsid w:val="009D4D01"/>
    <w:rsid w:val="009D5966"/>
    <w:rsid w:val="009D7098"/>
    <w:rsid w:val="009D748D"/>
    <w:rsid w:val="009D7695"/>
    <w:rsid w:val="009E13E2"/>
    <w:rsid w:val="009E14B7"/>
    <w:rsid w:val="009E3DB6"/>
    <w:rsid w:val="009E3F2D"/>
    <w:rsid w:val="009E44D9"/>
    <w:rsid w:val="009E539D"/>
    <w:rsid w:val="009E5746"/>
    <w:rsid w:val="009E61A3"/>
    <w:rsid w:val="009E7877"/>
    <w:rsid w:val="009F16AC"/>
    <w:rsid w:val="009F3C02"/>
    <w:rsid w:val="009F4399"/>
    <w:rsid w:val="009F527C"/>
    <w:rsid w:val="009F5E26"/>
    <w:rsid w:val="009F6C41"/>
    <w:rsid w:val="009F75E2"/>
    <w:rsid w:val="009F7D90"/>
    <w:rsid w:val="00A00974"/>
    <w:rsid w:val="00A029BB"/>
    <w:rsid w:val="00A046E3"/>
    <w:rsid w:val="00A0527E"/>
    <w:rsid w:val="00A065CB"/>
    <w:rsid w:val="00A10309"/>
    <w:rsid w:val="00A11175"/>
    <w:rsid w:val="00A11292"/>
    <w:rsid w:val="00A11CE7"/>
    <w:rsid w:val="00A11E18"/>
    <w:rsid w:val="00A11E2F"/>
    <w:rsid w:val="00A11EAB"/>
    <w:rsid w:val="00A12C69"/>
    <w:rsid w:val="00A130CA"/>
    <w:rsid w:val="00A14080"/>
    <w:rsid w:val="00A141D3"/>
    <w:rsid w:val="00A147EE"/>
    <w:rsid w:val="00A16DF2"/>
    <w:rsid w:val="00A21572"/>
    <w:rsid w:val="00A22953"/>
    <w:rsid w:val="00A34198"/>
    <w:rsid w:val="00A34772"/>
    <w:rsid w:val="00A3491F"/>
    <w:rsid w:val="00A35D23"/>
    <w:rsid w:val="00A36A91"/>
    <w:rsid w:val="00A36CBF"/>
    <w:rsid w:val="00A37188"/>
    <w:rsid w:val="00A37DDE"/>
    <w:rsid w:val="00A40F78"/>
    <w:rsid w:val="00A42043"/>
    <w:rsid w:val="00A4270C"/>
    <w:rsid w:val="00A43429"/>
    <w:rsid w:val="00A45239"/>
    <w:rsid w:val="00A4676B"/>
    <w:rsid w:val="00A4711E"/>
    <w:rsid w:val="00A4733C"/>
    <w:rsid w:val="00A478AA"/>
    <w:rsid w:val="00A47D37"/>
    <w:rsid w:val="00A51F7A"/>
    <w:rsid w:val="00A53CB2"/>
    <w:rsid w:val="00A53E22"/>
    <w:rsid w:val="00A54A21"/>
    <w:rsid w:val="00A54A97"/>
    <w:rsid w:val="00A54C3E"/>
    <w:rsid w:val="00A559F4"/>
    <w:rsid w:val="00A55A73"/>
    <w:rsid w:val="00A5676E"/>
    <w:rsid w:val="00A57F8F"/>
    <w:rsid w:val="00A60BE9"/>
    <w:rsid w:val="00A614DE"/>
    <w:rsid w:val="00A64517"/>
    <w:rsid w:val="00A657B5"/>
    <w:rsid w:val="00A6603F"/>
    <w:rsid w:val="00A66A5E"/>
    <w:rsid w:val="00A67757"/>
    <w:rsid w:val="00A67795"/>
    <w:rsid w:val="00A7035D"/>
    <w:rsid w:val="00A72A41"/>
    <w:rsid w:val="00A72D34"/>
    <w:rsid w:val="00A74754"/>
    <w:rsid w:val="00A749AB"/>
    <w:rsid w:val="00A749E4"/>
    <w:rsid w:val="00A75098"/>
    <w:rsid w:val="00A76AB6"/>
    <w:rsid w:val="00A76EAB"/>
    <w:rsid w:val="00A77420"/>
    <w:rsid w:val="00A77CA1"/>
    <w:rsid w:val="00A80477"/>
    <w:rsid w:val="00A80EFD"/>
    <w:rsid w:val="00A82AEC"/>
    <w:rsid w:val="00A83CE4"/>
    <w:rsid w:val="00A8558E"/>
    <w:rsid w:val="00A85757"/>
    <w:rsid w:val="00A858AD"/>
    <w:rsid w:val="00A85F66"/>
    <w:rsid w:val="00A8701D"/>
    <w:rsid w:val="00A87109"/>
    <w:rsid w:val="00A872FD"/>
    <w:rsid w:val="00A90A85"/>
    <w:rsid w:val="00A90FA6"/>
    <w:rsid w:val="00A92010"/>
    <w:rsid w:val="00A92B49"/>
    <w:rsid w:val="00A9338E"/>
    <w:rsid w:val="00A9379D"/>
    <w:rsid w:val="00A93B86"/>
    <w:rsid w:val="00A93ED4"/>
    <w:rsid w:val="00A94A6F"/>
    <w:rsid w:val="00A95269"/>
    <w:rsid w:val="00A96FDB"/>
    <w:rsid w:val="00AA05D7"/>
    <w:rsid w:val="00AA07A6"/>
    <w:rsid w:val="00AA0BCF"/>
    <w:rsid w:val="00AA13F9"/>
    <w:rsid w:val="00AA2158"/>
    <w:rsid w:val="00AA350F"/>
    <w:rsid w:val="00AA3B42"/>
    <w:rsid w:val="00AA3E0E"/>
    <w:rsid w:val="00AA4088"/>
    <w:rsid w:val="00AA553C"/>
    <w:rsid w:val="00AA7534"/>
    <w:rsid w:val="00AA781E"/>
    <w:rsid w:val="00AB1AE6"/>
    <w:rsid w:val="00AB1FFB"/>
    <w:rsid w:val="00AB27D4"/>
    <w:rsid w:val="00AB312F"/>
    <w:rsid w:val="00AB4437"/>
    <w:rsid w:val="00AB4F93"/>
    <w:rsid w:val="00AB50E0"/>
    <w:rsid w:val="00AB5F3E"/>
    <w:rsid w:val="00AC22A3"/>
    <w:rsid w:val="00AC309B"/>
    <w:rsid w:val="00AC3C95"/>
    <w:rsid w:val="00AC60BE"/>
    <w:rsid w:val="00AC6467"/>
    <w:rsid w:val="00AC66D9"/>
    <w:rsid w:val="00AC6A02"/>
    <w:rsid w:val="00AC6D10"/>
    <w:rsid w:val="00AC7EEB"/>
    <w:rsid w:val="00AD2A1E"/>
    <w:rsid w:val="00AD2B25"/>
    <w:rsid w:val="00AD38A5"/>
    <w:rsid w:val="00AD3E29"/>
    <w:rsid w:val="00AD44E4"/>
    <w:rsid w:val="00AD48F0"/>
    <w:rsid w:val="00AD4D39"/>
    <w:rsid w:val="00AD53B7"/>
    <w:rsid w:val="00AD607E"/>
    <w:rsid w:val="00AD681E"/>
    <w:rsid w:val="00AD6977"/>
    <w:rsid w:val="00AD75AF"/>
    <w:rsid w:val="00AD7D0B"/>
    <w:rsid w:val="00AE1A95"/>
    <w:rsid w:val="00AE251D"/>
    <w:rsid w:val="00AE25F7"/>
    <w:rsid w:val="00AE3AD5"/>
    <w:rsid w:val="00AE4DE8"/>
    <w:rsid w:val="00AE505F"/>
    <w:rsid w:val="00AE52CB"/>
    <w:rsid w:val="00AE58E7"/>
    <w:rsid w:val="00AE5D62"/>
    <w:rsid w:val="00AE656B"/>
    <w:rsid w:val="00AE65DB"/>
    <w:rsid w:val="00AE69BB"/>
    <w:rsid w:val="00AE7732"/>
    <w:rsid w:val="00AF0468"/>
    <w:rsid w:val="00AF0916"/>
    <w:rsid w:val="00AF1435"/>
    <w:rsid w:val="00AF1C37"/>
    <w:rsid w:val="00AF3818"/>
    <w:rsid w:val="00AF3B0F"/>
    <w:rsid w:val="00AF41B5"/>
    <w:rsid w:val="00AF422F"/>
    <w:rsid w:val="00AF4587"/>
    <w:rsid w:val="00AF5155"/>
    <w:rsid w:val="00AF5626"/>
    <w:rsid w:val="00AF6809"/>
    <w:rsid w:val="00AF6E22"/>
    <w:rsid w:val="00AF71E5"/>
    <w:rsid w:val="00AF77DE"/>
    <w:rsid w:val="00B001D2"/>
    <w:rsid w:val="00B0114E"/>
    <w:rsid w:val="00B01A36"/>
    <w:rsid w:val="00B01B29"/>
    <w:rsid w:val="00B01D1B"/>
    <w:rsid w:val="00B0205C"/>
    <w:rsid w:val="00B02D07"/>
    <w:rsid w:val="00B030BD"/>
    <w:rsid w:val="00B03E5A"/>
    <w:rsid w:val="00B0439C"/>
    <w:rsid w:val="00B047AF"/>
    <w:rsid w:val="00B052FF"/>
    <w:rsid w:val="00B05536"/>
    <w:rsid w:val="00B061A9"/>
    <w:rsid w:val="00B06D78"/>
    <w:rsid w:val="00B07B1C"/>
    <w:rsid w:val="00B107AB"/>
    <w:rsid w:val="00B10982"/>
    <w:rsid w:val="00B116AF"/>
    <w:rsid w:val="00B129FA"/>
    <w:rsid w:val="00B1348D"/>
    <w:rsid w:val="00B13C96"/>
    <w:rsid w:val="00B141FA"/>
    <w:rsid w:val="00B144CF"/>
    <w:rsid w:val="00B14822"/>
    <w:rsid w:val="00B153E6"/>
    <w:rsid w:val="00B15577"/>
    <w:rsid w:val="00B16DF3"/>
    <w:rsid w:val="00B172F4"/>
    <w:rsid w:val="00B221EC"/>
    <w:rsid w:val="00B22A74"/>
    <w:rsid w:val="00B233E4"/>
    <w:rsid w:val="00B24866"/>
    <w:rsid w:val="00B252E7"/>
    <w:rsid w:val="00B2562F"/>
    <w:rsid w:val="00B271B2"/>
    <w:rsid w:val="00B305A6"/>
    <w:rsid w:val="00B3115F"/>
    <w:rsid w:val="00B32BF6"/>
    <w:rsid w:val="00B341A6"/>
    <w:rsid w:val="00B35327"/>
    <w:rsid w:val="00B35E24"/>
    <w:rsid w:val="00B363CB"/>
    <w:rsid w:val="00B3781B"/>
    <w:rsid w:val="00B433F1"/>
    <w:rsid w:val="00B438F3"/>
    <w:rsid w:val="00B4396D"/>
    <w:rsid w:val="00B43AC6"/>
    <w:rsid w:val="00B43B8D"/>
    <w:rsid w:val="00B43E75"/>
    <w:rsid w:val="00B44B27"/>
    <w:rsid w:val="00B45DB2"/>
    <w:rsid w:val="00B464D6"/>
    <w:rsid w:val="00B4678D"/>
    <w:rsid w:val="00B4753F"/>
    <w:rsid w:val="00B47816"/>
    <w:rsid w:val="00B51E31"/>
    <w:rsid w:val="00B52699"/>
    <w:rsid w:val="00B530D4"/>
    <w:rsid w:val="00B53346"/>
    <w:rsid w:val="00B538EC"/>
    <w:rsid w:val="00B53BD6"/>
    <w:rsid w:val="00B54BA0"/>
    <w:rsid w:val="00B55306"/>
    <w:rsid w:val="00B55DAE"/>
    <w:rsid w:val="00B564E3"/>
    <w:rsid w:val="00B56C92"/>
    <w:rsid w:val="00B56C96"/>
    <w:rsid w:val="00B61266"/>
    <w:rsid w:val="00B62221"/>
    <w:rsid w:val="00B62672"/>
    <w:rsid w:val="00B6332B"/>
    <w:rsid w:val="00B63690"/>
    <w:rsid w:val="00B63710"/>
    <w:rsid w:val="00B642A9"/>
    <w:rsid w:val="00B64C3B"/>
    <w:rsid w:val="00B65ED0"/>
    <w:rsid w:val="00B6621F"/>
    <w:rsid w:val="00B67D2C"/>
    <w:rsid w:val="00B7160F"/>
    <w:rsid w:val="00B71986"/>
    <w:rsid w:val="00B71C92"/>
    <w:rsid w:val="00B72137"/>
    <w:rsid w:val="00B722C1"/>
    <w:rsid w:val="00B72A64"/>
    <w:rsid w:val="00B7342B"/>
    <w:rsid w:val="00B739C9"/>
    <w:rsid w:val="00B73A84"/>
    <w:rsid w:val="00B74D9A"/>
    <w:rsid w:val="00B755C6"/>
    <w:rsid w:val="00B75E7C"/>
    <w:rsid w:val="00B764F8"/>
    <w:rsid w:val="00B77768"/>
    <w:rsid w:val="00B81FD4"/>
    <w:rsid w:val="00B81FE6"/>
    <w:rsid w:val="00B823B9"/>
    <w:rsid w:val="00B83353"/>
    <w:rsid w:val="00B834A0"/>
    <w:rsid w:val="00B83D06"/>
    <w:rsid w:val="00B84359"/>
    <w:rsid w:val="00B854F2"/>
    <w:rsid w:val="00B85B0E"/>
    <w:rsid w:val="00B860BD"/>
    <w:rsid w:val="00B87178"/>
    <w:rsid w:val="00B87BB6"/>
    <w:rsid w:val="00B9000A"/>
    <w:rsid w:val="00B9035F"/>
    <w:rsid w:val="00B90A41"/>
    <w:rsid w:val="00B912CA"/>
    <w:rsid w:val="00B93784"/>
    <w:rsid w:val="00B946E1"/>
    <w:rsid w:val="00B9552F"/>
    <w:rsid w:val="00B95B65"/>
    <w:rsid w:val="00B9637F"/>
    <w:rsid w:val="00B96F8B"/>
    <w:rsid w:val="00BA14EA"/>
    <w:rsid w:val="00BA22FC"/>
    <w:rsid w:val="00BA2AE7"/>
    <w:rsid w:val="00BA36A4"/>
    <w:rsid w:val="00BA3977"/>
    <w:rsid w:val="00BA3D6C"/>
    <w:rsid w:val="00BA4B92"/>
    <w:rsid w:val="00BA5153"/>
    <w:rsid w:val="00BA5D51"/>
    <w:rsid w:val="00BA6041"/>
    <w:rsid w:val="00BA6F48"/>
    <w:rsid w:val="00BB091F"/>
    <w:rsid w:val="00BB0A3A"/>
    <w:rsid w:val="00BB17C5"/>
    <w:rsid w:val="00BB2126"/>
    <w:rsid w:val="00BB2FAA"/>
    <w:rsid w:val="00BB4C6E"/>
    <w:rsid w:val="00BB4EB0"/>
    <w:rsid w:val="00BB52F2"/>
    <w:rsid w:val="00BB60D0"/>
    <w:rsid w:val="00BB6570"/>
    <w:rsid w:val="00BC0361"/>
    <w:rsid w:val="00BC13C2"/>
    <w:rsid w:val="00BC18C4"/>
    <w:rsid w:val="00BC2192"/>
    <w:rsid w:val="00BC37EB"/>
    <w:rsid w:val="00BC3B26"/>
    <w:rsid w:val="00BC4EA4"/>
    <w:rsid w:val="00BC5A90"/>
    <w:rsid w:val="00BC6CF8"/>
    <w:rsid w:val="00BC6D53"/>
    <w:rsid w:val="00BC6F55"/>
    <w:rsid w:val="00BD0031"/>
    <w:rsid w:val="00BD020E"/>
    <w:rsid w:val="00BD1559"/>
    <w:rsid w:val="00BD18BA"/>
    <w:rsid w:val="00BD18C2"/>
    <w:rsid w:val="00BD3525"/>
    <w:rsid w:val="00BD3A88"/>
    <w:rsid w:val="00BD3AE4"/>
    <w:rsid w:val="00BD4DCE"/>
    <w:rsid w:val="00BD563A"/>
    <w:rsid w:val="00BD5A35"/>
    <w:rsid w:val="00BD5E04"/>
    <w:rsid w:val="00BD66D2"/>
    <w:rsid w:val="00BD6E9C"/>
    <w:rsid w:val="00BD700E"/>
    <w:rsid w:val="00BE0D7F"/>
    <w:rsid w:val="00BE1ACA"/>
    <w:rsid w:val="00BE24A3"/>
    <w:rsid w:val="00BE2669"/>
    <w:rsid w:val="00BE2FF7"/>
    <w:rsid w:val="00BE4644"/>
    <w:rsid w:val="00BE4A9D"/>
    <w:rsid w:val="00BE5099"/>
    <w:rsid w:val="00BE5305"/>
    <w:rsid w:val="00BE5FCD"/>
    <w:rsid w:val="00BE729F"/>
    <w:rsid w:val="00BF0CBC"/>
    <w:rsid w:val="00BF1978"/>
    <w:rsid w:val="00BF22DA"/>
    <w:rsid w:val="00BF2447"/>
    <w:rsid w:val="00BF54EF"/>
    <w:rsid w:val="00BF5A1D"/>
    <w:rsid w:val="00BF6221"/>
    <w:rsid w:val="00BF6715"/>
    <w:rsid w:val="00C00253"/>
    <w:rsid w:val="00C002ED"/>
    <w:rsid w:val="00C0086B"/>
    <w:rsid w:val="00C00E5A"/>
    <w:rsid w:val="00C010D3"/>
    <w:rsid w:val="00C0144D"/>
    <w:rsid w:val="00C01DF1"/>
    <w:rsid w:val="00C02DE0"/>
    <w:rsid w:val="00C02E83"/>
    <w:rsid w:val="00C02F64"/>
    <w:rsid w:val="00C03BD5"/>
    <w:rsid w:val="00C03D0F"/>
    <w:rsid w:val="00C03F2D"/>
    <w:rsid w:val="00C04DCE"/>
    <w:rsid w:val="00C05011"/>
    <w:rsid w:val="00C06774"/>
    <w:rsid w:val="00C06B97"/>
    <w:rsid w:val="00C06FC5"/>
    <w:rsid w:val="00C072FF"/>
    <w:rsid w:val="00C10247"/>
    <w:rsid w:val="00C10416"/>
    <w:rsid w:val="00C10C57"/>
    <w:rsid w:val="00C10D74"/>
    <w:rsid w:val="00C10E28"/>
    <w:rsid w:val="00C11798"/>
    <w:rsid w:val="00C12289"/>
    <w:rsid w:val="00C124B2"/>
    <w:rsid w:val="00C13232"/>
    <w:rsid w:val="00C133FB"/>
    <w:rsid w:val="00C13443"/>
    <w:rsid w:val="00C13DBA"/>
    <w:rsid w:val="00C141D2"/>
    <w:rsid w:val="00C14E97"/>
    <w:rsid w:val="00C1658F"/>
    <w:rsid w:val="00C169CD"/>
    <w:rsid w:val="00C17762"/>
    <w:rsid w:val="00C177CE"/>
    <w:rsid w:val="00C17973"/>
    <w:rsid w:val="00C20005"/>
    <w:rsid w:val="00C2048E"/>
    <w:rsid w:val="00C21334"/>
    <w:rsid w:val="00C2165A"/>
    <w:rsid w:val="00C23A0A"/>
    <w:rsid w:val="00C257F6"/>
    <w:rsid w:val="00C25A64"/>
    <w:rsid w:val="00C27010"/>
    <w:rsid w:val="00C3191C"/>
    <w:rsid w:val="00C31A8D"/>
    <w:rsid w:val="00C3377B"/>
    <w:rsid w:val="00C33AE9"/>
    <w:rsid w:val="00C33DEF"/>
    <w:rsid w:val="00C34369"/>
    <w:rsid w:val="00C34AC7"/>
    <w:rsid w:val="00C35931"/>
    <w:rsid w:val="00C35C2A"/>
    <w:rsid w:val="00C36862"/>
    <w:rsid w:val="00C36EF2"/>
    <w:rsid w:val="00C37B49"/>
    <w:rsid w:val="00C37DC4"/>
    <w:rsid w:val="00C41A98"/>
    <w:rsid w:val="00C421CB"/>
    <w:rsid w:val="00C4443A"/>
    <w:rsid w:val="00C45FF8"/>
    <w:rsid w:val="00C47ECE"/>
    <w:rsid w:val="00C5036F"/>
    <w:rsid w:val="00C50A63"/>
    <w:rsid w:val="00C51456"/>
    <w:rsid w:val="00C532CE"/>
    <w:rsid w:val="00C53305"/>
    <w:rsid w:val="00C538F1"/>
    <w:rsid w:val="00C53940"/>
    <w:rsid w:val="00C5449C"/>
    <w:rsid w:val="00C5636B"/>
    <w:rsid w:val="00C57BD0"/>
    <w:rsid w:val="00C6064C"/>
    <w:rsid w:val="00C60918"/>
    <w:rsid w:val="00C60EE0"/>
    <w:rsid w:val="00C62286"/>
    <w:rsid w:val="00C62F9A"/>
    <w:rsid w:val="00C63101"/>
    <w:rsid w:val="00C633B9"/>
    <w:rsid w:val="00C64697"/>
    <w:rsid w:val="00C652DC"/>
    <w:rsid w:val="00C65EE9"/>
    <w:rsid w:val="00C65FF4"/>
    <w:rsid w:val="00C662A4"/>
    <w:rsid w:val="00C675CE"/>
    <w:rsid w:val="00C70BCB"/>
    <w:rsid w:val="00C70D3F"/>
    <w:rsid w:val="00C71399"/>
    <w:rsid w:val="00C7147F"/>
    <w:rsid w:val="00C72D9A"/>
    <w:rsid w:val="00C733DC"/>
    <w:rsid w:val="00C74B52"/>
    <w:rsid w:val="00C75C77"/>
    <w:rsid w:val="00C77BD7"/>
    <w:rsid w:val="00C80074"/>
    <w:rsid w:val="00C802D0"/>
    <w:rsid w:val="00C80777"/>
    <w:rsid w:val="00C80EA5"/>
    <w:rsid w:val="00C8101E"/>
    <w:rsid w:val="00C817BF"/>
    <w:rsid w:val="00C81FAB"/>
    <w:rsid w:val="00C82A53"/>
    <w:rsid w:val="00C82F46"/>
    <w:rsid w:val="00C82F57"/>
    <w:rsid w:val="00C8336E"/>
    <w:rsid w:val="00C8397B"/>
    <w:rsid w:val="00C83F55"/>
    <w:rsid w:val="00C84EB8"/>
    <w:rsid w:val="00C865F0"/>
    <w:rsid w:val="00C866C3"/>
    <w:rsid w:val="00C86825"/>
    <w:rsid w:val="00C86E93"/>
    <w:rsid w:val="00C8728E"/>
    <w:rsid w:val="00C91395"/>
    <w:rsid w:val="00C9268E"/>
    <w:rsid w:val="00C92DFC"/>
    <w:rsid w:val="00C93362"/>
    <w:rsid w:val="00C9642B"/>
    <w:rsid w:val="00C96FF3"/>
    <w:rsid w:val="00C9728C"/>
    <w:rsid w:val="00C97B83"/>
    <w:rsid w:val="00CA034F"/>
    <w:rsid w:val="00CA0D7F"/>
    <w:rsid w:val="00CA2825"/>
    <w:rsid w:val="00CA29B4"/>
    <w:rsid w:val="00CA3E3C"/>
    <w:rsid w:val="00CA3E8C"/>
    <w:rsid w:val="00CA4C63"/>
    <w:rsid w:val="00CA6290"/>
    <w:rsid w:val="00CA7C6A"/>
    <w:rsid w:val="00CB3354"/>
    <w:rsid w:val="00CB3636"/>
    <w:rsid w:val="00CB42AD"/>
    <w:rsid w:val="00CB42B2"/>
    <w:rsid w:val="00CB5741"/>
    <w:rsid w:val="00CB584E"/>
    <w:rsid w:val="00CB5C3A"/>
    <w:rsid w:val="00CB628A"/>
    <w:rsid w:val="00CB6308"/>
    <w:rsid w:val="00CB6C8E"/>
    <w:rsid w:val="00CC0F7B"/>
    <w:rsid w:val="00CC1B67"/>
    <w:rsid w:val="00CC1C26"/>
    <w:rsid w:val="00CC2A49"/>
    <w:rsid w:val="00CC2A5F"/>
    <w:rsid w:val="00CC315B"/>
    <w:rsid w:val="00CC3D70"/>
    <w:rsid w:val="00CC5352"/>
    <w:rsid w:val="00CD0DF1"/>
    <w:rsid w:val="00CD12DC"/>
    <w:rsid w:val="00CD14D5"/>
    <w:rsid w:val="00CD1522"/>
    <w:rsid w:val="00CD1B43"/>
    <w:rsid w:val="00CD2C41"/>
    <w:rsid w:val="00CD4030"/>
    <w:rsid w:val="00CD415E"/>
    <w:rsid w:val="00CD4732"/>
    <w:rsid w:val="00CD5094"/>
    <w:rsid w:val="00CD54F6"/>
    <w:rsid w:val="00CD5B84"/>
    <w:rsid w:val="00CD5D35"/>
    <w:rsid w:val="00CD66A2"/>
    <w:rsid w:val="00CD696F"/>
    <w:rsid w:val="00CD6DE4"/>
    <w:rsid w:val="00CD6DFC"/>
    <w:rsid w:val="00CD7E2E"/>
    <w:rsid w:val="00CE0B79"/>
    <w:rsid w:val="00CE1090"/>
    <w:rsid w:val="00CE1CDA"/>
    <w:rsid w:val="00CE202F"/>
    <w:rsid w:val="00CE22BF"/>
    <w:rsid w:val="00CE29D3"/>
    <w:rsid w:val="00CE2AFC"/>
    <w:rsid w:val="00CE2CB2"/>
    <w:rsid w:val="00CE2FD0"/>
    <w:rsid w:val="00CE31BC"/>
    <w:rsid w:val="00CE4A97"/>
    <w:rsid w:val="00CE5448"/>
    <w:rsid w:val="00CE602C"/>
    <w:rsid w:val="00CE658F"/>
    <w:rsid w:val="00CF0A19"/>
    <w:rsid w:val="00CF0F93"/>
    <w:rsid w:val="00CF1FD1"/>
    <w:rsid w:val="00CF262E"/>
    <w:rsid w:val="00CF3860"/>
    <w:rsid w:val="00CF649E"/>
    <w:rsid w:val="00CF6CA1"/>
    <w:rsid w:val="00CF6FF9"/>
    <w:rsid w:val="00CF76AA"/>
    <w:rsid w:val="00D010FC"/>
    <w:rsid w:val="00D014C2"/>
    <w:rsid w:val="00D0155D"/>
    <w:rsid w:val="00D02321"/>
    <w:rsid w:val="00D027FA"/>
    <w:rsid w:val="00D033DC"/>
    <w:rsid w:val="00D04F30"/>
    <w:rsid w:val="00D05C2D"/>
    <w:rsid w:val="00D060DA"/>
    <w:rsid w:val="00D073E9"/>
    <w:rsid w:val="00D111DA"/>
    <w:rsid w:val="00D11B32"/>
    <w:rsid w:val="00D11D3F"/>
    <w:rsid w:val="00D11E86"/>
    <w:rsid w:val="00D122E8"/>
    <w:rsid w:val="00D15689"/>
    <w:rsid w:val="00D159F1"/>
    <w:rsid w:val="00D171D3"/>
    <w:rsid w:val="00D17FE5"/>
    <w:rsid w:val="00D21AC7"/>
    <w:rsid w:val="00D221A6"/>
    <w:rsid w:val="00D23887"/>
    <w:rsid w:val="00D24625"/>
    <w:rsid w:val="00D24C04"/>
    <w:rsid w:val="00D2599A"/>
    <w:rsid w:val="00D2617D"/>
    <w:rsid w:val="00D27AA8"/>
    <w:rsid w:val="00D31C85"/>
    <w:rsid w:val="00D31FD0"/>
    <w:rsid w:val="00D3213E"/>
    <w:rsid w:val="00D32584"/>
    <w:rsid w:val="00D32DD8"/>
    <w:rsid w:val="00D33F00"/>
    <w:rsid w:val="00D34DB7"/>
    <w:rsid w:val="00D35B2E"/>
    <w:rsid w:val="00D36105"/>
    <w:rsid w:val="00D363EB"/>
    <w:rsid w:val="00D378F1"/>
    <w:rsid w:val="00D40203"/>
    <w:rsid w:val="00D40B7D"/>
    <w:rsid w:val="00D42014"/>
    <w:rsid w:val="00D42030"/>
    <w:rsid w:val="00D4287A"/>
    <w:rsid w:val="00D42D96"/>
    <w:rsid w:val="00D43C67"/>
    <w:rsid w:val="00D45F5B"/>
    <w:rsid w:val="00D460E4"/>
    <w:rsid w:val="00D46A12"/>
    <w:rsid w:val="00D46B80"/>
    <w:rsid w:val="00D46F33"/>
    <w:rsid w:val="00D47421"/>
    <w:rsid w:val="00D47FBB"/>
    <w:rsid w:val="00D518CF"/>
    <w:rsid w:val="00D53754"/>
    <w:rsid w:val="00D538F9"/>
    <w:rsid w:val="00D53DC8"/>
    <w:rsid w:val="00D541FE"/>
    <w:rsid w:val="00D5673F"/>
    <w:rsid w:val="00D60A7C"/>
    <w:rsid w:val="00D61F41"/>
    <w:rsid w:val="00D62BB9"/>
    <w:rsid w:val="00D6328A"/>
    <w:rsid w:val="00D635AD"/>
    <w:rsid w:val="00D63792"/>
    <w:rsid w:val="00D643D9"/>
    <w:rsid w:val="00D64763"/>
    <w:rsid w:val="00D66455"/>
    <w:rsid w:val="00D66980"/>
    <w:rsid w:val="00D66E49"/>
    <w:rsid w:val="00D70678"/>
    <w:rsid w:val="00D71B6E"/>
    <w:rsid w:val="00D71FE8"/>
    <w:rsid w:val="00D7298E"/>
    <w:rsid w:val="00D73C62"/>
    <w:rsid w:val="00D73FE3"/>
    <w:rsid w:val="00D74267"/>
    <w:rsid w:val="00D7548E"/>
    <w:rsid w:val="00D7574A"/>
    <w:rsid w:val="00D766E6"/>
    <w:rsid w:val="00D777B9"/>
    <w:rsid w:val="00D77BDB"/>
    <w:rsid w:val="00D80FB0"/>
    <w:rsid w:val="00D81620"/>
    <w:rsid w:val="00D81BBC"/>
    <w:rsid w:val="00D81C38"/>
    <w:rsid w:val="00D82F52"/>
    <w:rsid w:val="00D84C37"/>
    <w:rsid w:val="00D85E4C"/>
    <w:rsid w:val="00D9025B"/>
    <w:rsid w:val="00D903A3"/>
    <w:rsid w:val="00D910EB"/>
    <w:rsid w:val="00D9130E"/>
    <w:rsid w:val="00D91379"/>
    <w:rsid w:val="00D91695"/>
    <w:rsid w:val="00D92078"/>
    <w:rsid w:val="00D92357"/>
    <w:rsid w:val="00D929D7"/>
    <w:rsid w:val="00D935B4"/>
    <w:rsid w:val="00D940A2"/>
    <w:rsid w:val="00D9460C"/>
    <w:rsid w:val="00D94731"/>
    <w:rsid w:val="00D95022"/>
    <w:rsid w:val="00D964E6"/>
    <w:rsid w:val="00D9770A"/>
    <w:rsid w:val="00DA030A"/>
    <w:rsid w:val="00DA1454"/>
    <w:rsid w:val="00DA1AE7"/>
    <w:rsid w:val="00DA1B44"/>
    <w:rsid w:val="00DA203B"/>
    <w:rsid w:val="00DA27B5"/>
    <w:rsid w:val="00DA30EC"/>
    <w:rsid w:val="00DA30FC"/>
    <w:rsid w:val="00DA4426"/>
    <w:rsid w:val="00DA44A8"/>
    <w:rsid w:val="00DA4620"/>
    <w:rsid w:val="00DA4700"/>
    <w:rsid w:val="00DA48AA"/>
    <w:rsid w:val="00DA49BA"/>
    <w:rsid w:val="00DB12D1"/>
    <w:rsid w:val="00DB29C2"/>
    <w:rsid w:val="00DB30D6"/>
    <w:rsid w:val="00DB41B1"/>
    <w:rsid w:val="00DB6398"/>
    <w:rsid w:val="00DB7217"/>
    <w:rsid w:val="00DB7C36"/>
    <w:rsid w:val="00DC0B9F"/>
    <w:rsid w:val="00DC50DB"/>
    <w:rsid w:val="00DC55D7"/>
    <w:rsid w:val="00DC6029"/>
    <w:rsid w:val="00DC68AB"/>
    <w:rsid w:val="00DD093D"/>
    <w:rsid w:val="00DD0DE3"/>
    <w:rsid w:val="00DD372A"/>
    <w:rsid w:val="00DD3B23"/>
    <w:rsid w:val="00DD4B6B"/>
    <w:rsid w:val="00DD4D40"/>
    <w:rsid w:val="00DD4D85"/>
    <w:rsid w:val="00DD5865"/>
    <w:rsid w:val="00DD5BC3"/>
    <w:rsid w:val="00DD6CDB"/>
    <w:rsid w:val="00DD6E0F"/>
    <w:rsid w:val="00DD7AB6"/>
    <w:rsid w:val="00DE0AEC"/>
    <w:rsid w:val="00DE0EAC"/>
    <w:rsid w:val="00DE127A"/>
    <w:rsid w:val="00DE2209"/>
    <w:rsid w:val="00DE24AD"/>
    <w:rsid w:val="00DE257C"/>
    <w:rsid w:val="00DE2792"/>
    <w:rsid w:val="00DE40B6"/>
    <w:rsid w:val="00DE5B3F"/>
    <w:rsid w:val="00DE68AE"/>
    <w:rsid w:val="00DF1A09"/>
    <w:rsid w:val="00DF29EB"/>
    <w:rsid w:val="00DF2CD1"/>
    <w:rsid w:val="00DF30BF"/>
    <w:rsid w:val="00DF57B4"/>
    <w:rsid w:val="00DF5D2F"/>
    <w:rsid w:val="00DF7120"/>
    <w:rsid w:val="00DF7E30"/>
    <w:rsid w:val="00DF7F56"/>
    <w:rsid w:val="00DF7FC5"/>
    <w:rsid w:val="00E000AB"/>
    <w:rsid w:val="00E02B26"/>
    <w:rsid w:val="00E042AA"/>
    <w:rsid w:val="00E042DE"/>
    <w:rsid w:val="00E044A6"/>
    <w:rsid w:val="00E04E48"/>
    <w:rsid w:val="00E06016"/>
    <w:rsid w:val="00E076E6"/>
    <w:rsid w:val="00E07C1A"/>
    <w:rsid w:val="00E10A12"/>
    <w:rsid w:val="00E114B2"/>
    <w:rsid w:val="00E13EDF"/>
    <w:rsid w:val="00E141AA"/>
    <w:rsid w:val="00E14900"/>
    <w:rsid w:val="00E15FD0"/>
    <w:rsid w:val="00E1792F"/>
    <w:rsid w:val="00E17B54"/>
    <w:rsid w:val="00E21029"/>
    <w:rsid w:val="00E21D56"/>
    <w:rsid w:val="00E2295F"/>
    <w:rsid w:val="00E22AA5"/>
    <w:rsid w:val="00E230B7"/>
    <w:rsid w:val="00E23785"/>
    <w:rsid w:val="00E23AE0"/>
    <w:rsid w:val="00E24DF1"/>
    <w:rsid w:val="00E24FED"/>
    <w:rsid w:val="00E26D3F"/>
    <w:rsid w:val="00E27792"/>
    <w:rsid w:val="00E27C02"/>
    <w:rsid w:val="00E27CB3"/>
    <w:rsid w:val="00E27D9D"/>
    <w:rsid w:val="00E3026D"/>
    <w:rsid w:val="00E308B8"/>
    <w:rsid w:val="00E31A30"/>
    <w:rsid w:val="00E3258C"/>
    <w:rsid w:val="00E33197"/>
    <w:rsid w:val="00E34092"/>
    <w:rsid w:val="00E35306"/>
    <w:rsid w:val="00E362D9"/>
    <w:rsid w:val="00E36684"/>
    <w:rsid w:val="00E36A51"/>
    <w:rsid w:val="00E37149"/>
    <w:rsid w:val="00E374B1"/>
    <w:rsid w:val="00E37A83"/>
    <w:rsid w:val="00E42543"/>
    <w:rsid w:val="00E43057"/>
    <w:rsid w:val="00E4372B"/>
    <w:rsid w:val="00E43A1D"/>
    <w:rsid w:val="00E43F72"/>
    <w:rsid w:val="00E43FB9"/>
    <w:rsid w:val="00E4408C"/>
    <w:rsid w:val="00E442EB"/>
    <w:rsid w:val="00E44B1A"/>
    <w:rsid w:val="00E44BD7"/>
    <w:rsid w:val="00E46834"/>
    <w:rsid w:val="00E46A14"/>
    <w:rsid w:val="00E46EC2"/>
    <w:rsid w:val="00E50AA0"/>
    <w:rsid w:val="00E50C07"/>
    <w:rsid w:val="00E5267E"/>
    <w:rsid w:val="00E52932"/>
    <w:rsid w:val="00E5330C"/>
    <w:rsid w:val="00E54160"/>
    <w:rsid w:val="00E54A9E"/>
    <w:rsid w:val="00E563C0"/>
    <w:rsid w:val="00E60B6D"/>
    <w:rsid w:val="00E60C19"/>
    <w:rsid w:val="00E60DD8"/>
    <w:rsid w:val="00E6110B"/>
    <w:rsid w:val="00E61260"/>
    <w:rsid w:val="00E63D51"/>
    <w:rsid w:val="00E64380"/>
    <w:rsid w:val="00E65B31"/>
    <w:rsid w:val="00E67764"/>
    <w:rsid w:val="00E7032F"/>
    <w:rsid w:val="00E7200E"/>
    <w:rsid w:val="00E73028"/>
    <w:rsid w:val="00E75D9E"/>
    <w:rsid w:val="00E76868"/>
    <w:rsid w:val="00E7689E"/>
    <w:rsid w:val="00E7792D"/>
    <w:rsid w:val="00E82970"/>
    <w:rsid w:val="00E843F6"/>
    <w:rsid w:val="00E865C9"/>
    <w:rsid w:val="00E86BD0"/>
    <w:rsid w:val="00E86E3B"/>
    <w:rsid w:val="00E86FAA"/>
    <w:rsid w:val="00E87AA1"/>
    <w:rsid w:val="00E90857"/>
    <w:rsid w:val="00E91C7D"/>
    <w:rsid w:val="00E921DE"/>
    <w:rsid w:val="00E931D6"/>
    <w:rsid w:val="00E939BA"/>
    <w:rsid w:val="00E93E32"/>
    <w:rsid w:val="00E93F21"/>
    <w:rsid w:val="00E94221"/>
    <w:rsid w:val="00E943F1"/>
    <w:rsid w:val="00E9493C"/>
    <w:rsid w:val="00E94A6A"/>
    <w:rsid w:val="00E9537C"/>
    <w:rsid w:val="00E95651"/>
    <w:rsid w:val="00E96755"/>
    <w:rsid w:val="00E974A3"/>
    <w:rsid w:val="00EA0B2B"/>
    <w:rsid w:val="00EA0C0C"/>
    <w:rsid w:val="00EA15CF"/>
    <w:rsid w:val="00EA254C"/>
    <w:rsid w:val="00EA3162"/>
    <w:rsid w:val="00EA32DF"/>
    <w:rsid w:val="00EA3F59"/>
    <w:rsid w:val="00EA3F62"/>
    <w:rsid w:val="00EA5E58"/>
    <w:rsid w:val="00EA77A9"/>
    <w:rsid w:val="00EA7DDE"/>
    <w:rsid w:val="00EB008C"/>
    <w:rsid w:val="00EB1647"/>
    <w:rsid w:val="00EB2E18"/>
    <w:rsid w:val="00EB489E"/>
    <w:rsid w:val="00EB4C9F"/>
    <w:rsid w:val="00EB4E21"/>
    <w:rsid w:val="00EB6320"/>
    <w:rsid w:val="00EB654E"/>
    <w:rsid w:val="00EB68AB"/>
    <w:rsid w:val="00EB73D9"/>
    <w:rsid w:val="00EB7944"/>
    <w:rsid w:val="00EC0A18"/>
    <w:rsid w:val="00EC2FE9"/>
    <w:rsid w:val="00EC5CA5"/>
    <w:rsid w:val="00EC62D1"/>
    <w:rsid w:val="00EC6863"/>
    <w:rsid w:val="00EC7842"/>
    <w:rsid w:val="00ED09D8"/>
    <w:rsid w:val="00ED0AB1"/>
    <w:rsid w:val="00ED23F1"/>
    <w:rsid w:val="00ED2E04"/>
    <w:rsid w:val="00ED3A8C"/>
    <w:rsid w:val="00ED4CA4"/>
    <w:rsid w:val="00ED4FE3"/>
    <w:rsid w:val="00ED583E"/>
    <w:rsid w:val="00ED5FA7"/>
    <w:rsid w:val="00EE0E59"/>
    <w:rsid w:val="00EE140C"/>
    <w:rsid w:val="00EE30C5"/>
    <w:rsid w:val="00EE3350"/>
    <w:rsid w:val="00EE492D"/>
    <w:rsid w:val="00EE5C06"/>
    <w:rsid w:val="00EE5D83"/>
    <w:rsid w:val="00EE6C59"/>
    <w:rsid w:val="00EF109B"/>
    <w:rsid w:val="00EF119B"/>
    <w:rsid w:val="00EF1B31"/>
    <w:rsid w:val="00EF1EFC"/>
    <w:rsid w:val="00EF216C"/>
    <w:rsid w:val="00EF2257"/>
    <w:rsid w:val="00EF23DF"/>
    <w:rsid w:val="00EF253A"/>
    <w:rsid w:val="00EF26A2"/>
    <w:rsid w:val="00EF27AC"/>
    <w:rsid w:val="00EF292E"/>
    <w:rsid w:val="00EF3AE1"/>
    <w:rsid w:val="00EF3BC6"/>
    <w:rsid w:val="00EF40A4"/>
    <w:rsid w:val="00EF4448"/>
    <w:rsid w:val="00EF7636"/>
    <w:rsid w:val="00F007E6"/>
    <w:rsid w:val="00F02353"/>
    <w:rsid w:val="00F02437"/>
    <w:rsid w:val="00F02710"/>
    <w:rsid w:val="00F034FC"/>
    <w:rsid w:val="00F036BC"/>
    <w:rsid w:val="00F03938"/>
    <w:rsid w:val="00F03ABF"/>
    <w:rsid w:val="00F04F3F"/>
    <w:rsid w:val="00F0684B"/>
    <w:rsid w:val="00F071D3"/>
    <w:rsid w:val="00F107F5"/>
    <w:rsid w:val="00F10B7B"/>
    <w:rsid w:val="00F10DCE"/>
    <w:rsid w:val="00F10E21"/>
    <w:rsid w:val="00F130C5"/>
    <w:rsid w:val="00F133C1"/>
    <w:rsid w:val="00F14F98"/>
    <w:rsid w:val="00F15954"/>
    <w:rsid w:val="00F15BA9"/>
    <w:rsid w:val="00F163E0"/>
    <w:rsid w:val="00F20057"/>
    <w:rsid w:val="00F204B8"/>
    <w:rsid w:val="00F2232A"/>
    <w:rsid w:val="00F242AE"/>
    <w:rsid w:val="00F2533B"/>
    <w:rsid w:val="00F2600B"/>
    <w:rsid w:val="00F27D8E"/>
    <w:rsid w:val="00F307BD"/>
    <w:rsid w:val="00F315F2"/>
    <w:rsid w:val="00F32199"/>
    <w:rsid w:val="00F3246F"/>
    <w:rsid w:val="00F3276E"/>
    <w:rsid w:val="00F32BAF"/>
    <w:rsid w:val="00F32D07"/>
    <w:rsid w:val="00F33B75"/>
    <w:rsid w:val="00F33BD7"/>
    <w:rsid w:val="00F34C86"/>
    <w:rsid w:val="00F3569E"/>
    <w:rsid w:val="00F36EE8"/>
    <w:rsid w:val="00F4071D"/>
    <w:rsid w:val="00F4122D"/>
    <w:rsid w:val="00F44328"/>
    <w:rsid w:val="00F45350"/>
    <w:rsid w:val="00F45CE3"/>
    <w:rsid w:val="00F47BDD"/>
    <w:rsid w:val="00F52777"/>
    <w:rsid w:val="00F53DAF"/>
    <w:rsid w:val="00F54AB3"/>
    <w:rsid w:val="00F5595B"/>
    <w:rsid w:val="00F5671F"/>
    <w:rsid w:val="00F570DF"/>
    <w:rsid w:val="00F60607"/>
    <w:rsid w:val="00F61216"/>
    <w:rsid w:val="00F61D49"/>
    <w:rsid w:val="00F62BB8"/>
    <w:rsid w:val="00F63098"/>
    <w:rsid w:val="00F6481E"/>
    <w:rsid w:val="00F65248"/>
    <w:rsid w:val="00F65868"/>
    <w:rsid w:val="00F65B33"/>
    <w:rsid w:val="00F70019"/>
    <w:rsid w:val="00F70421"/>
    <w:rsid w:val="00F70B26"/>
    <w:rsid w:val="00F71258"/>
    <w:rsid w:val="00F712F7"/>
    <w:rsid w:val="00F71CFB"/>
    <w:rsid w:val="00F71D47"/>
    <w:rsid w:val="00F71F00"/>
    <w:rsid w:val="00F72A65"/>
    <w:rsid w:val="00F73CC3"/>
    <w:rsid w:val="00F7407F"/>
    <w:rsid w:val="00F74C38"/>
    <w:rsid w:val="00F7562F"/>
    <w:rsid w:val="00F757F2"/>
    <w:rsid w:val="00F7687C"/>
    <w:rsid w:val="00F768E4"/>
    <w:rsid w:val="00F77821"/>
    <w:rsid w:val="00F77C24"/>
    <w:rsid w:val="00F80391"/>
    <w:rsid w:val="00F80B83"/>
    <w:rsid w:val="00F81BF1"/>
    <w:rsid w:val="00F820CC"/>
    <w:rsid w:val="00F8273D"/>
    <w:rsid w:val="00F8500A"/>
    <w:rsid w:val="00F85C4A"/>
    <w:rsid w:val="00F900FA"/>
    <w:rsid w:val="00F906CC"/>
    <w:rsid w:val="00F91AAD"/>
    <w:rsid w:val="00F92928"/>
    <w:rsid w:val="00F92E79"/>
    <w:rsid w:val="00F93AF6"/>
    <w:rsid w:val="00F93F5F"/>
    <w:rsid w:val="00F948DF"/>
    <w:rsid w:val="00F94D61"/>
    <w:rsid w:val="00F956E2"/>
    <w:rsid w:val="00F9578A"/>
    <w:rsid w:val="00F97288"/>
    <w:rsid w:val="00FA07A1"/>
    <w:rsid w:val="00FA0C35"/>
    <w:rsid w:val="00FA1573"/>
    <w:rsid w:val="00FA21D1"/>
    <w:rsid w:val="00FA3444"/>
    <w:rsid w:val="00FA357C"/>
    <w:rsid w:val="00FA4594"/>
    <w:rsid w:val="00FA4964"/>
    <w:rsid w:val="00FA4DC1"/>
    <w:rsid w:val="00FA6476"/>
    <w:rsid w:val="00FA66F2"/>
    <w:rsid w:val="00FA6C6B"/>
    <w:rsid w:val="00FA7130"/>
    <w:rsid w:val="00FA7614"/>
    <w:rsid w:val="00FA7EBE"/>
    <w:rsid w:val="00FA7F8F"/>
    <w:rsid w:val="00FB0A33"/>
    <w:rsid w:val="00FB120D"/>
    <w:rsid w:val="00FB4022"/>
    <w:rsid w:val="00FB413F"/>
    <w:rsid w:val="00FB5031"/>
    <w:rsid w:val="00FB5BC1"/>
    <w:rsid w:val="00FB6A45"/>
    <w:rsid w:val="00FC06BC"/>
    <w:rsid w:val="00FC09AD"/>
    <w:rsid w:val="00FC1518"/>
    <w:rsid w:val="00FC2B24"/>
    <w:rsid w:val="00FC34EC"/>
    <w:rsid w:val="00FC3DBF"/>
    <w:rsid w:val="00FC4745"/>
    <w:rsid w:val="00FC5302"/>
    <w:rsid w:val="00FC5AD6"/>
    <w:rsid w:val="00FC605E"/>
    <w:rsid w:val="00FC6203"/>
    <w:rsid w:val="00FC63C0"/>
    <w:rsid w:val="00FC7453"/>
    <w:rsid w:val="00FC7BE8"/>
    <w:rsid w:val="00FD04F6"/>
    <w:rsid w:val="00FD0D17"/>
    <w:rsid w:val="00FD0F2C"/>
    <w:rsid w:val="00FD12DD"/>
    <w:rsid w:val="00FD1858"/>
    <w:rsid w:val="00FD21C7"/>
    <w:rsid w:val="00FD3FD1"/>
    <w:rsid w:val="00FD780A"/>
    <w:rsid w:val="00FE11BF"/>
    <w:rsid w:val="00FE13E6"/>
    <w:rsid w:val="00FE2C49"/>
    <w:rsid w:val="00FE4319"/>
    <w:rsid w:val="00FE4B95"/>
    <w:rsid w:val="00FE60ED"/>
    <w:rsid w:val="00FE621F"/>
    <w:rsid w:val="00FE6A21"/>
    <w:rsid w:val="00FE77B6"/>
    <w:rsid w:val="00FE7F75"/>
    <w:rsid w:val="00FF0DCE"/>
    <w:rsid w:val="00FF21DF"/>
    <w:rsid w:val="00FF27F1"/>
    <w:rsid w:val="00FF30F5"/>
    <w:rsid w:val="00FF4B05"/>
    <w:rsid w:val="00FF604F"/>
    <w:rsid w:val="00FF60F7"/>
    <w:rsid w:val="00FF6584"/>
    <w:rsid w:val="00FF76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5050,#ba1467,#7c0e45,purple"/>
    </o:shapedefaults>
    <o:shapelayout v:ext="edit">
      <o:idmap v:ext="edit" data="1"/>
    </o:shapelayout>
  </w:shapeDefaults>
  <w:decimalSymbol w:val="."/>
  <w:listSeparator w:val=","/>
  <w14:docId w14:val="63DE9297"/>
  <w15:docId w15:val="{519913B1-6BD1-46AE-9330-830B5040A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C02"/>
    <w:pPr>
      <w:spacing w:before="120" w:line="220" w:lineRule="atLeast"/>
    </w:pPr>
    <w:rPr>
      <w:rFonts w:ascii="Arial" w:hAnsi="Arial"/>
      <w:lang w:eastAsia="en-US"/>
    </w:rPr>
  </w:style>
  <w:style w:type="paragraph" w:styleId="Heading1">
    <w:name w:val="heading 1"/>
    <w:basedOn w:val="Normal"/>
    <w:next w:val="NumPara"/>
    <w:link w:val="Heading1Char"/>
    <w:qFormat/>
    <w:rsid w:val="00587ECE"/>
    <w:pPr>
      <w:keepNext/>
      <w:spacing w:before="240" w:after="60"/>
      <w:outlineLvl w:val="0"/>
    </w:pPr>
    <w:rPr>
      <w:rFonts w:cs="Arial"/>
      <w:b/>
      <w:bCs/>
      <w:kern w:val="32"/>
      <w:sz w:val="28"/>
      <w:szCs w:val="32"/>
    </w:rPr>
  </w:style>
  <w:style w:type="paragraph" w:styleId="Heading2">
    <w:name w:val="heading 2"/>
    <w:basedOn w:val="Normal"/>
    <w:next w:val="NumPara"/>
    <w:link w:val="Heading2Char"/>
    <w:qFormat/>
    <w:rsid w:val="00587ECE"/>
    <w:pPr>
      <w:keepNext/>
      <w:outlineLvl w:val="1"/>
    </w:pPr>
    <w:rPr>
      <w:rFonts w:cs="Arial"/>
      <w:b/>
      <w:bCs/>
      <w:i/>
      <w:iCs/>
      <w:sz w:val="24"/>
      <w:szCs w:val="28"/>
    </w:rPr>
  </w:style>
  <w:style w:type="paragraph" w:styleId="Heading3">
    <w:name w:val="heading 3"/>
    <w:basedOn w:val="Normal"/>
    <w:next w:val="NumPara"/>
    <w:autoRedefine/>
    <w:qFormat/>
    <w:rsid w:val="00587ECE"/>
    <w:pPr>
      <w:keepNext/>
      <w:outlineLvl w:val="2"/>
    </w:pPr>
    <w:rPr>
      <w:rFonts w:cs="Arial"/>
      <w:b/>
      <w:bCs/>
      <w:szCs w:val="26"/>
    </w:rPr>
  </w:style>
  <w:style w:type="paragraph" w:styleId="Heading4">
    <w:name w:val="heading 4"/>
    <w:basedOn w:val="Normal"/>
    <w:next w:val="NumPara"/>
    <w:autoRedefine/>
    <w:qFormat/>
    <w:rsid w:val="00587ECE"/>
    <w:pPr>
      <w:keepNext/>
      <w:spacing w:after="60"/>
      <w:outlineLvl w:val="3"/>
    </w:pPr>
    <w:rPr>
      <w:bCs/>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umPara">
    <w:name w:val="NumPara"/>
    <w:basedOn w:val="Normal"/>
    <w:link w:val="NumParaChar"/>
    <w:rsid w:val="0000619B"/>
    <w:pPr>
      <w:numPr>
        <w:numId w:val="1"/>
      </w:numPr>
      <w:spacing w:before="60" w:after="60"/>
    </w:pPr>
  </w:style>
  <w:style w:type="paragraph" w:styleId="FootnoteText">
    <w:name w:val="footnote text"/>
    <w:basedOn w:val="Normal"/>
    <w:link w:val="FootnoteTextChar"/>
    <w:autoRedefine/>
    <w:semiHidden/>
    <w:rsid w:val="00587ECE"/>
    <w:pPr>
      <w:spacing w:before="60"/>
    </w:pPr>
    <w:rPr>
      <w:sz w:val="16"/>
    </w:rPr>
  </w:style>
  <w:style w:type="paragraph" w:styleId="Header">
    <w:name w:val="header"/>
    <w:basedOn w:val="Normal"/>
    <w:rsid w:val="00587ECE"/>
    <w:pPr>
      <w:tabs>
        <w:tab w:val="center" w:pos="4678"/>
        <w:tab w:val="right" w:pos="9356"/>
      </w:tabs>
    </w:pPr>
    <w:rPr>
      <w:b/>
      <w:sz w:val="24"/>
    </w:rPr>
  </w:style>
  <w:style w:type="paragraph" w:styleId="Footer">
    <w:name w:val="footer"/>
    <w:basedOn w:val="Normal"/>
    <w:link w:val="FooterChar"/>
    <w:uiPriority w:val="99"/>
    <w:rsid w:val="00587ECE"/>
    <w:pPr>
      <w:tabs>
        <w:tab w:val="center" w:pos="4678"/>
        <w:tab w:val="right" w:pos="9356"/>
      </w:tabs>
    </w:pPr>
  </w:style>
  <w:style w:type="paragraph" w:styleId="EndnoteText">
    <w:name w:val="endnote text"/>
    <w:basedOn w:val="Normal"/>
    <w:semiHidden/>
    <w:rsid w:val="00587ECE"/>
  </w:style>
  <w:style w:type="paragraph" w:styleId="TOC1">
    <w:name w:val="toc 1"/>
    <w:basedOn w:val="Normal"/>
    <w:next w:val="Normal"/>
    <w:autoRedefine/>
    <w:uiPriority w:val="39"/>
    <w:rsid w:val="00587ECE"/>
  </w:style>
  <w:style w:type="paragraph" w:customStyle="1" w:styleId="sub-para">
    <w:name w:val="sub-para"/>
    <w:basedOn w:val="Normal"/>
    <w:link w:val="sub-paraChar"/>
    <w:autoRedefine/>
    <w:rsid w:val="00762DBF"/>
    <w:pPr>
      <w:spacing w:before="60" w:after="60"/>
      <w:ind w:left="851" w:hanging="284"/>
    </w:pPr>
  </w:style>
  <w:style w:type="paragraph" w:customStyle="1" w:styleId="TableEntry">
    <w:name w:val="TableEntry"/>
    <w:basedOn w:val="Normal"/>
    <w:rsid w:val="00587ECE"/>
    <w:pPr>
      <w:spacing w:before="60" w:after="60"/>
    </w:pPr>
    <w:rPr>
      <w:sz w:val="16"/>
    </w:rPr>
  </w:style>
  <w:style w:type="paragraph" w:customStyle="1" w:styleId="Follower">
    <w:name w:val="Follower"/>
    <w:basedOn w:val="sub-para"/>
    <w:autoRedefine/>
    <w:rsid w:val="001253F4"/>
    <w:pPr>
      <w:tabs>
        <w:tab w:val="left" w:pos="851"/>
      </w:tabs>
      <w:ind w:left="567" w:firstLine="0"/>
    </w:pPr>
  </w:style>
  <w:style w:type="paragraph" w:customStyle="1" w:styleId="TableHeading">
    <w:name w:val="Table Heading"/>
    <w:basedOn w:val="TableEntry"/>
    <w:next w:val="TableEntry"/>
    <w:rsid w:val="00587ECE"/>
    <w:rPr>
      <w:b/>
    </w:rPr>
  </w:style>
  <w:style w:type="paragraph" w:customStyle="1" w:styleId="ReportTitle">
    <w:name w:val="Report Title"/>
    <w:basedOn w:val="Heading1"/>
    <w:next w:val="Heading1"/>
    <w:rsid w:val="00587ECE"/>
    <w:pPr>
      <w:spacing w:before="0"/>
    </w:pPr>
  </w:style>
  <w:style w:type="paragraph" w:customStyle="1" w:styleId="Author">
    <w:name w:val="Author"/>
    <w:basedOn w:val="Heading1"/>
    <w:next w:val="Heading1"/>
    <w:rsid w:val="00587ECE"/>
    <w:pPr>
      <w:spacing w:before="120"/>
    </w:pPr>
    <w:rPr>
      <w:b w:val="0"/>
      <w:sz w:val="24"/>
    </w:rPr>
  </w:style>
  <w:style w:type="character" w:styleId="EndnoteReference">
    <w:name w:val="endnote reference"/>
    <w:basedOn w:val="DefaultParagraphFont"/>
    <w:semiHidden/>
    <w:rsid w:val="00587ECE"/>
    <w:rPr>
      <w:vertAlign w:val="superscript"/>
    </w:rPr>
  </w:style>
  <w:style w:type="character" w:styleId="FootnoteReference">
    <w:name w:val="footnote reference"/>
    <w:basedOn w:val="DefaultParagraphFont"/>
    <w:semiHidden/>
    <w:rsid w:val="00587ECE"/>
    <w:rPr>
      <w:vertAlign w:val="superscript"/>
    </w:rPr>
  </w:style>
  <w:style w:type="paragraph" w:styleId="TOC2">
    <w:name w:val="toc 2"/>
    <w:basedOn w:val="Normal"/>
    <w:next w:val="Normal"/>
    <w:autoRedefine/>
    <w:uiPriority w:val="39"/>
    <w:rsid w:val="00587ECE"/>
    <w:pPr>
      <w:ind w:left="200"/>
    </w:pPr>
  </w:style>
  <w:style w:type="character" w:styleId="PageNumber">
    <w:name w:val="page number"/>
    <w:basedOn w:val="DefaultParagraphFont"/>
    <w:rsid w:val="00587ECE"/>
  </w:style>
  <w:style w:type="character" w:styleId="Hyperlink">
    <w:name w:val="Hyperlink"/>
    <w:basedOn w:val="DefaultParagraphFont"/>
    <w:rsid w:val="00587ECE"/>
    <w:rPr>
      <w:color w:val="0000FF"/>
      <w:u w:val="single"/>
    </w:rPr>
  </w:style>
  <w:style w:type="paragraph" w:styleId="Caption">
    <w:name w:val="caption"/>
    <w:basedOn w:val="Normal"/>
    <w:next w:val="Normal"/>
    <w:link w:val="CaptionChar"/>
    <w:qFormat/>
    <w:rsid w:val="00020653"/>
    <w:pPr>
      <w:spacing w:after="120"/>
    </w:pPr>
    <w:rPr>
      <w:b/>
      <w:bCs/>
    </w:rPr>
  </w:style>
  <w:style w:type="table" w:styleId="TableGrid">
    <w:name w:val="Table Grid"/>
    <w:basedOn w:val="TableNormal"/>
    <w:uiPriority w:val="59"/>
    <w:rsid w:val="00131E50"/>
    <w:pPr>
      <w:spacing w:before="12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3F61"/>
    <w:rPr>
      <w:rFonts w:ascii="Arial" w:hAnsi="Arial" w:cs="Arial"/>
      <w:b/>
      <w:bCs/>
      <w:i/>
      <w:iCs/>
      <w:sz w:val="24"/>
      <w:szCs w:val="28"/>
      <w:lang w:val="en-GB" w:eastAsia="en-US" w:bidi="ar-SA"/>
    </w:rPr>
  </w:style>
  <w:style w:type="character" w:customStyle="1" w:styleId="Heading1Char">
    <w:name w:val="Heading 1 Char"/>
    <w:basedOn w:val="DefaultParagraphFont"/>
    <w:link w:val="Heading1"/>
    <w:rsid w:val="00710646"/>
    <w:rPr>
      <w:rFonts w:ascii="Arial" w:hAnsi="Arial" w:cs="Arial"/>
      <w:b/>
      <w:bCs/>
      <w:kern w:val="32"/>
      <w:sz w:val="28"/>
      <w:szCs w:val="32"/>
      <w:lang w:val="en-GB" w:eastAsia="en-US" w:bidi="ar-SA"/>
    </w:rPr>
  </w:style>
  <w:style w:type="paragraph" w:styleId="BalloonText">
    <w:name w:val="Balloon Text"/>
    <w:basedOn w:val="Normal"/>
    <w:semiHidden/>
    <w:rsid w:val="00231F76"/>
    <w:rPr>
      <w:rFonts w:ascii="Tahoma" w:hAnsi="Tahoma" w:cs="Tahoma"/>
      <w:sz w:val="16"/>
      <w:szCs w:val="16"/>
    </w:rPr>
  </w:style>
  <w:style w:type="character" w:styleId="CommentReference">
    <w:name w:val="annotation reference"/>
    <w:basedOn w:val="DefaultParagraphFont"/>
    <w:semiHidden/>
    <w:rsid w:val="00EE5C06"/>
    <w:rPr>
      <w:sz w:val="16"/>
      <w:szCs w:val="16"/>
    </w:rPr>
  </w:style>
  <w:style w:type="paragraph" w:styleId="CommentText">
    <w:name w:val="annotation text"/>
    <w:basedOn w:val="Normal"/>
    <w:semiHidden/>
    <w:rsid w:val="00EE5C06"/>
  </w:style>
  <w:style w:type="paragraph" w:styleId="CommentSubject">
    <w:name w:val="annotation subject"/>
    <w:basedOn w:val="CommentText"/>
    <w:next w:val="CommentText"/>
    <w:semiHidden/>
    <w:rsid w:val="00EE5C06"/>
    <w:rPr>
      <w:b/>
      <w:bCs/>
    </w:rPr>
  </w:style>
  <w:style w:type="paragraph" w:customStyle="1" w:styleId="NormalParagraphStyle">
    <w:name w:val="NormalParagraphStyle"/>
    <w:basedOn w:val="Normal"/>
    <w:rsid w:val="005830FB"/>
    <w:pPr>
      <w:autoSpaceDE w:val="0"/>
      <w:autoSpaceDN w:val="0"/>
      <w:adjustRightInd w:val="0"/>
      <w:spacing w:before="0" w:line="288" w:lineRule="auto"/>
    </w:pPr>
    <w:rPr>
      <w:rFonts w:ascii="Times New Roman" w:hAnsi="Times New Roman"/>
      <w:color w:val="000000"/>
      <w:sz w:val="24"/>
      <w:szCs w:val="24"/>
    </w:rPr>
  </w:style>
  <w:style w:type="character" w:styleId="FollowedHyperlink">
    <w:name w:val="FollowedHyperlink"/>
    <w:basedOn w:val="DefaultParagraphFont"/>
    <w:rsid w:val="007145E9"/>
    <w:rPr>
      <w:color w:val="800080"/>
      <w:u w:val="single"/>
    </w:rPr>
  </w:style>
  <w:style w:type="character" w:customStyle="1" w:styleId="EmailStyle42">
    <w:name w:val="EmailStyle42"/>
    <w:basedOn w:val="DefaultParagraphFont"/>
    <w:semiHidden/>
    <w:rsid w:val="005D301B"/>
    <w:rPr>
      <w:rFonts w:ascii="Arial" w:hAnsi="Arial" w:cs="Arial"/>
      <w:color w:val="auto"/>
      <w:sz w:val="20"/>
      <w:szCs w:val="20"/>
    </w:rPr>
  </w:style>
  <w:style w:type="character" w:customStyle="1" w:styleId="NumParaChar">
    <w:name w:val="NumPara Char"/>
    <w:basedOn w:val="DefaultParagraphFont"/>
    <w:link w:val="NumPara"/>
    <w:rsid w:val="000C5134"/>
    <w:rPr>
      <w:rFonts w:ascii="Arial" w:hAnsi="Arial"/>
      <w:lang w:eastAsia="en-US"/>
    </w:rPr>
  </w:style>
  <w:style w:type="paragraph" w:customStyle="1" w:styleId="Bullet">
    <w:name w:val="Bullet"/>
    <w:basedOn w:val="Normal"/>
    <w:autoRedefine/>
    <w:rsid w:val="006F6693"/>
    <w:pPr>
      <w:numPr>
        <w:numId w:val="2"/>
      </w:numPr>
      <w:tabs>
        <w:tab w:val="clear" w:pos="927"/>
        <w:tab w:val="left" w:pos="851"/>
      </w:tabs>
      <w:spacing w:before="60"/>
    </w:pPr>
  </w:style>
  <w:style w:type="character" w:customStyle="1" w:styleId="sub-paraChar">
    <w:name w:val="sub-para Char"/>
    <w:basedOn w:val="DefaultParagraphFont"/>
    <w:link w:val="sub-para"/>
    <w:rsid w:val="00762DBF"/>
    <w:rPr>
      <w:rFonts w:ascii="Arial" w:hAnsi="Arial"/>
      <w:lang w:eastAsia="en-US"/>
    </w:rPr>
  </w:style>
  <w:style w:type="character" w:customStyle="1" w:styleId="taghighlight1">
    <w:name w:val="taghighlight1"/>
    <w:basedOn w:val="DefaultParagraphFont"/>
    <w:rsid w:val="00EE3350"/>
    <w:rPr>
      <w:b/>
      <w:bCs/>
    </w:rPr>
  </w:style>
  <w:style w:type="paragraph" w:styleId="PlainText">
    <w:name w:val="Plain Text"/>
    <w:basedOn w:val="Normal"/>
    <w:link w:val="PlainTextChar"/>
    <w:rsid w:val="00F73CC3"/>
    <w:pPr>
      <w:spacing w:before="0" w:line="240" w:lineRule="auto"/>
    </w:pPr>
    <w:rPr>
      <w:rFonts w:ascii="Courier New" w:hAnsi="Courier New" w:cs="Courier New"/>
      <w:lang w:eastAsia="en-GB"/>
    </w:rPr>
  </w:style>
  <w:style w:type="character" w:customStyle="1" w:styleId="PlainTextChar">
    <w:name w:val="Plain Text Char"/>
    <w:basedOn w:val="DefaultParagraphFont"/>
    <w:link w:val="PlainText"/>
    <w:rsid w:val="00F73CC3"/>
    <w:rPr>
      <w:rFonts w:ascii="Courier New" w:hAnsi="Courier New" w:cs="Courier New"/>
    </w:rPr>
  </w:style>
  <w:style w:type="paragraph" w:styleId="ListParagraph">
    <w:name w:val="List Paragraph"/>
    <w:basedOn w:val="Normal"/>
    <w:uiPriority w:val="34"/>
    <w:qFormat/>
    <w:rsid w:val="007A50CE"/>
    <w:pPr>
      <w:ind w:left="720"/>
      <w:contextualSpacing/>
    </w:pPr>
  </w:style>
  <w:style w:type="character" w:customStyle="1" w:styleId="CaptionChar">
    <w:name w:val="Caption Char"/>
    <w:basedOn w:val="DefaultParagraphFont"/>
    <w:link w:val="Caption"/>
    <w:rsid w:val="00FA4594"/>
    <w:rPr>
      <w:rFonts w:ascii="Arial" w:hAnsi="Arial"/>
      <w:b/>
      <w:bCs/>
      <w:lang w:eastAsia="en-US"/>
    </w:rPr>
  </w:style>
  <w:style w:type="paragraph" w:styleId="Revision">
    <w:name w:val="Revision"/>
    <w:hidden/>
    <w:uiPriority w:val="99"/>
    <w:semiHidden/>
    <w:rsid w:val="005212D0"/>
    <w:rPr>
      <w:rFonts w:ascii="Arial" w:hAnsi="Arial"/>
      <w:lang w:eastAsia="en-US"/>
    </w:rPr>
  </w:style>
  <w:style w:type="character" w:customStyle="1" w:styleId="FootnoteTextChar">
    <w:name w:val="Footnote Text Char"/>
    <w:basedOn w:val="DefaultParagraphFont"/>
    <w:link w:val="FootnoteText"/>
    <w:semiHidden/>
    <w:rsid w:val="00BC4EA4"/>
    <w:rPr>
      <w:rFonts w:ascii="Arial" w:hAnsi="Arial"/>
      <w:sz w:val="16"/>
      <w:lang w:eastAsia="en-US"/>
    </w:rPr>
  </w:style>
  <w:style w:type="paragraph" w:styleId="NormalWeb">
    <w:name w:val="Normal (Web)"/>
    <w:basedOn w:val="Normal"/>
    <w:uiPriority w:val="99"/>
    <w:unhideWhenUsed/>
    <w:rsid w:val="00CD6DE4"/>
    <w:pPr>
      <w:spacing w:before="100" w:beforeAutospacing="1" w:after="100" w:afterAutospacing="1" w:line="240" w:lineRule="auto"/>
    </w:pPr>
    <w:rPr>
      <w:rFonts w:ascii="Times New Roman" w:hAnsi="Times New Roman"/>
      <w:sz w:val="24"/>
      <w:szCs w:val="24"/>
      <w:lang w:eastAsia="en-GB"/>
    </w:rPr>
  </w:style>
  <w:style w:type="paragraph" w:customStyle="1" w:styleId="Dissertation">
    <w:name w:val="Dissertation"/>
    <w:basedOn w:val="Normal"/>
    <w:link w:val="DissertationChar"/>
    <w:qFormat/>
    <w:rsid w:val="00621385"/>
    <w:pPr>
      <w:spacing w:before="0" w:after="200" w:line="240" w:lineRule="auto"/>
    </w:pPr>
    <w:rPr>
      <w:rFonts w:eastAsiaTheme="minorHAnsi" w:cs="Arial"/>
      <w:sz w:val="24"/>
      <w:szCs w:val="24"/>
    </w:rPr>
  </w:style>
  <w:style w:type="character" w:customStyle="1" w:styleId="DissertationChar">
    <w:name w:val="Dissertation Char"/>
    <w:basedOn w:val="DefaultParagraphFont"/>
    <w:link w:val="Dissertation"/>
    <w:rsid w:val="00621385"/>
    <w:rPr>
      <w:rFonts w:ascii="Arial" w:eastAsiaTheme="minorHAnsi" w:hAnsi="Arial" w:cs="Arial"/>
      <w:sz w:val="24"/>
      <w:szCs w:val="24"/>
      <w:lang w:eastAsia="en-US"/>
    </w:rPr>
  </w:style>
  <w:style w:type="character" w:customStyle="1" w:styleId="FooterChar">
    <w:name w:val="Footer Char"/>
    <w:basedOn w:val="DefaultParagraphFont"/>
    <w:link w:val="Footer"/>
    <w:uiPriority w:val="99"/>
    <w:rsid w:val="008F4194"/>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57226">
      <w:bodyDiv w:val="1"/>
      <w:marLeft w:val="0"/>
      <w:marRight w:val="0"/>
      <w:marTop w:val="0"/>
      <w:marBottom w:val="0"/>
      <w:divBdr>
        <w:top w:val="none" w:sz="0" w:space="0" w:color="auto"/>
        <w:left w:val="none" w:sz="0" w:space="0" w:color="auto"/>
        <w:bottom w:val="none" w:sz="0" w:space="0" w:color="auto"/>
        <w:right w:val="none" w:sz="0" w:space="0" w:color="auto"/>
      </w:divBdr>
    </w:div>
    <w:div w:id="88280398">
      <w:bodyDiv w:val="1"/>
      <w:marLeft w:val="0"/>
      <w:marRight w:val="0"/>
      <w:marTop w:val="0"/>
      <w:marBottom w:val="0"/>
      <w:divBdr>
        <w:top w:val="none" w:sz="0" w:space="0" w:color="auto"/>
        <w:left w:val="none" w:sz="0" w:space="0" w:color="auto"/>
        <w:bottom w:val="none" w:sz="0" w:space="0" w:color="auto"/>
        <w:right w:val="none" w:sz="0" w:space="0" w:color="auto"/>
      </w:divBdr>
      <w:divsChild>
        <w:div w:id="1351443767">
          <w:marLeft w:val="0"/>
          <w:marRight w:val="0"/>
          <w:marTop w:val="0"/>
          <w:marBottom w:val="0"/>
          <w:divBdr>
            <w:top w:val="none" w:sz="0" w:space="0" w:color="auto"/>
            <w:left w:val="none" w:sz="0" w:space="0" w:color="auto"/>
            <w:bottom w:val="none" w:sz="0" w:space="0" w:color="auto"/>
            <w:right w:val="none" w:sz="0" w:space="0" w:color="auto"/>
          </w:divBdr>
          <w:divsChild>
            <w:div w:id="757946753">
              <w:marLeft w:val="0"/>
              <w:marRight w:val="0"/>
              <w:marTop w:val="0"/>
              <w:marBottom w:val="0"/>
              <w:divBdr>
                <w:top w:val="none" w:sz="0" w:space="0" w:color="auto"/>
                <w:left w:val="none" w:sz="0" w:space="0" w:color="auto"/>
                <w:bottom w:val="none" w:sz="0" w:space="0" w:color="auto"/>
                <w:right w:val="none" w:sz="0" w:space="0" w:color="auto"/>
              </w:divBdr>
              <w:divsChild>
                <w:div w:id="281881679">
                  <w:marLeft w:val="0"/>
                  <w:marRight w:val="0"/>
                  <w:marTop w:val="0"/>
                  <w:marBottom w:val="0"/>
                  <w:divBdr>
                    <w:top w:val="none" w:sz="0" w:space="0" w:color="auto"/>
                    <w:left w:val="none" w:sz="0" w:space="0" w:color="auto"/>
                    <w:bottom w:val="none" w:sz="0" w:space="0" w:color="auto"/>
                    <w:right w:val="none" w:sz="0" w:space="0" w:color="auto"/>
                  </w:divBdr>
                </w:div>
                <w:div w:id="454328175">
                  <w:marLeft w:val="0"/>
                  <w:marRight w:val="0"/>
                  <w:marTop w:val="0"/>
                  <w:marBottom w:val="0"/>
                  <w:divBdr>
                    <w:top w:val="none" w:sz="0" w:space="0" w:color="auto"/>
                    <w:left w:val="none" w:sz="0" w:space="0" w:color="auto"/>
                    <w:bottom w:val="none" w:sz="0" w:space="0" w:color="auto"/>
                    <w:right w:val="none" w:sz="0" w:space="0" w:color="auto"/>
                  </w:divBdr>
                </w:div>
                <w:div w:id="930507217">
                  <w:marLeft w:val="0"/>
                  <w:marRight w:val="0"/>
                  <w:marTop w:val="0"/>
                  <w:marBottom w:val="0"/>
                  <w:divBdr>
                    <w:top w:val="none" w:sz="0" w:space="0" w:color="auto"/>
                    <w:left w:val="none" w:sz="0" w:space="0" w:color="auto"/>
                    <w:bottom w:val="none" w:sz="0" w:space="0" w:color="auto"/>
                    <w:right w:val="none" w:sz="0" w:space="0" w:color="auto"/>
                  </w:divBdr>
                </w:div>
                <w:div w:id="1735591234">
                  <w:marLeft w:val="0"/>
                  <w:marRight w:val="0"/>
                  <w:marTop w:val="0"/>
                  <w:marBottom w:val="0"/>
                  <w:divBdr>
                    <w:top w:val="none" w:sz="0" w:space="0" w:color="auto"/>
                    <w:left w:val="none" w:sz="0" w:space="0" w:color="auto"/>
                    <w:bottom w:val="none" w:sz="0" w:space="0" w:color="auto"/>
                    <w:right w:val="none" w:sz="0" w:space="0" w:color="auto"/>
                  </w:divBdr>
                </w:div>
                <w:div w:id="180908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26245">
      <w:bodyDiv w:val="1"/>
      <w:marLeft w:val="0"/>
      <w:marRight w:val="0"/>
      <w:marTop w:val="0"/>
      <w:marBottom w:val="0"/>
      <w:divBdr>
        <w:top w:val="none" w:sz="0" w:space="0" w:color="auto"/>
        <w:left w:val="none" w:sz="0" w:space="0" w:color="auto"/>
        <w:bottom w:val="none" w:sz="0" w:space="0" w:color="auto"/>
        <w:right w:val="none" w:sz="0" w:space="0" w:color="auto"/>
      </w:divBdr>
    </w:div>
    <w:div w:id="135800994">
      <w:bodyDiv w:val="1"/>
      <w:marLeft w:val="0"/>
      <w:marRight w:val="0"/>
      <w:marTop w:val="0"/>
      <w:marBottom w:val="0"/>
      <w:divBdr>
        <w:top w:val="none" w:sz="0" w:space="0" w:color="auto"/>
        <w:left w:val="none" w:sz="0" w:space="0" w:color="auto"/>
        <w:bottom w:val="none" w:sz="0" w:space="0" w:color="auto"/>
        <w:right w:val="none" w:sz="0" w:space="0" w:color="auto"/>
      </w:divBdr>
      <w:divsChild>
        <w:div w:id="755135590">
          <w:marLeft w:val="0"/>
          <w:marRight w:val="0"/>
          <w:marTop w:val="0"/>
          <w:marBottom w:val="0"/>
          <w:divBdr>
            <w:top w:val="none" w:sz="0" w:space="0" w:color="auto"/>
            <w:left w:val="none" w:sz="0" w:space="0" w:color="auto"/>
            <w:bottom w:val="none" w:sz="0" w:space="0" w:color="auto"/>
            <w:right w:val="none" w:sz="0" w:space="0" w:color="auto"/>
          </w:divBdr>
          <w:divsChild>
            <w:div w:id="461390741">
              <w:marLeft w:val="0"/>
              <w:marRight w:val="0"/>
              <w:marTop w:val="0"/>
              <w:marBottom w:val="0"/>
              <w:divBdr>
                <w:top w:val="none" w:sz="0" w:space="0" w:color="auto"/>
                <w:left w:val="none" w:sz="0" w:space="0" w:color="auto"/>
                <w:bottom w:val="none" w:sz="0" w:space="0" w:color="auto"/>
                <w:right w:val="none" w:sz="0" w:space="0" w:color="auto"/>
              </w:divBdr>
            </w:div>
            <w:div w:id="681510914">
              <w:marLeft w:val="0"/>
              <w:marRight w:val="0"/>
              <w:marTop w:val="0"/>
              <w:marBottom w:val="0"/>
              <w:divBdr>
                <w:top w:val="none" w:sz="0" w:space="0" w:color="auto"/>
                <w:left w:val="none" w:sz="0" w:space="0" w:color="auto"/>
                <w:bottom w:val="none" w:sz="0" w:space="0" w:color="auto"/>
                <w:right w:val="none" w:sz="0" w:space="0" w:color="auto"/>
              </w:divBdr>
            </w:div>
            <w:div w:id="750155925">
              <w:marLeft w:val="0"/>
              <w:marRight w:val="0"/>
              <w:marTop w:val="0"/>
              <w:marBottom w:val="0"/>
              <w:divBdr>
                <w:top w:val="none" w:sz="0" w:space="0" w:color="auto"/>
                <w:left w:val="none" w:sz="0" w:space="0" w:color="auto"/>
                <w:bottom w:val="none" w:sz="0" w:space="0" w:color="auto"/>
                <w:right w:val="none" w:sz="0" w:space="0" w:color="auto"/>
              </w:divBdr>
            </w:div>
            <w:div w:id="1161582717">
              <w:marLeft w:val="0"/>
              <w:marRight w:val="0"/>
              <w:marTop w:val="0"/>
              <w:marBottom w:val="0"/>
              <w:divBdr>
                <w:top w:val="none" w:sz="0" w:space="0" w:color="auto"/>
                <w:left w:val="none" w:sz="0" w:space="0" w:color="auto"/>
                <w:bottom w:val="none" w:sz="0" w:space="0" w:color="auto"/>
                <w:right w:val="none" w:sz="0" w:space="0" w:color="auto"/>
              </w:divBdr>
            </w:div>
            <w:div w:id="1449544346">
              <w:marLeft w:val="0"/>
              <w:marRight w:val="0"/>
              <w:marTop w:val="0"/>
              <w:marBottom w:val="0"/>
              <w:divBdr>
                <w:top w:val="none" w:sz="0" w:space="0" w:color="auto"/>
                <w:left w:val="none" w:sz="0" w:space="0" w:color="auto"/>
                <w:bottom w:val="none" w:sz="0" w:space="0" w:color="auto"/>
                <w:right w:val="none" w:sz="0" w:space="0" w:color="auto"/>
              </w:divBdr>
            </w:div>
            <w:div w:id="16093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62832">
      <w:bodyDiv w:val="1"/>
      <w:marLeft w:val="0"/>
      <w:marRight w:val="0"/>
      <w:marTop w:val="0"/>
      <w:marBottom w:val="0"/>
      <w:divBdr>
        <w:top w:val="none" w:sz="0" w:space="0" w:color="auto"/>
        <w:left w:val="none" w:sz="0" w:space="0" w:color="auto"/>
        <w:bottom w:val="none" w:sz="0" w:space="0" w:color="auto"/>
        <w:right w:val="none" w:sz="0" w:space="0" w:color="auto"/>
      </w:divBdr>
    </w:div>
    <w:div w:id="206795567">
      <w:bodyDiv w:val="1"/>
      <w:marLeft w:val="0"/>
      <w:marRight w:val="0"/>
      <w:marTop w:val="0"/>
      <w:marBottom w:val="0"/>
      <w:divBdr>
        <w:top w:val="none" w:sz="0" w:space="0" w:color="auto"/>
        <w:left w:val="none" w:sz="0" w:space="0" w:color="auto"/>
        <w:bottom w:val="none" w:sz="0" w:space="0" w:color="auto"/>
        <w:right w:val="none" w:sz="0" w:space="0" w:color="auto"/>
      </w:divBdr>
    </w:div>
    <w:div w:id="234314935">
      <w:bodyDiv w:val="1"/>
      <w:marLeft w:val="0"/>
      <w:marRight w:val="0"/>
      <w:marTop w:val="0"/>
      <w:marBottom w:val="0"/>
      <w:divBdr>
        <w:top w:val="none" w:sz="0" w:space="0" w:color="auto"/>
        <w:left w:val="none" w:sz="0" w:space="0" w:color="auto"/>
        <w:bottom w:val="none" w:sz="0" w:space="0" w:color="auto"/>
        <w:right w:val="none" w:sz="0" w:space="0" w:color="auto"/>
      </w:divBdr>
    </w:div>
    <w:div w:id="319581470">
      <w:bodyDiv w:val="1"/>
      <w:marLeft w:val="0"/>
      <w:marRight w:val="0"/>
      <w:marTop w:val="0"/>
      <w:marBottom w:val="0"/>
      <w:divBdr>
        <w:top w:val="none" w:sz="0" w:space="0" w:color="auto"/>
        <w:left w:val="none" w:sz="0" w:space="0" w:color="auto"/>
        <w:bottom w:val="none" w:sz="0" w:space="0" w:color="auto"/>
        <w:right w:val="none" w:sz="0" w:space="0" w:color="auto"/>
      </w:divBdr>
    </w:div>
    <w:div w:id="361319525">
      <w:bodyDiv w:val="1"/>
      <w:marLeft w:val="0"/>
      <w:marRight w:val="0"/>
      <w:marTop w:val="0"/>
      <w:marBottom w:val="0"/>
      <w:divBdr>
        <w:top w:val="none" w:sz="0" w:space="0" w:color="auto"/>
        <w:left w:val="none" w:sz="0" w:space="0" w:color="auto"/>
        <w:bottom w:val="none" w:sz="0" w:space="0" w:color="auto"/>
        <w:right w:val="none" w:sz="0" w:space="0" w:color="auto"/>
      </w:divBdr>
      <w:divsChild>
        <w:div w:id="175656275">
          <w:marLeft w:val="0"/>
          <w:marRight w:val="0"/>
          <w:marTop w:val="0"/>
          <w:marBottom w:val="0"/>
          <w:divBdr>
            <w:top w:val="none" w:sz="0" w:space="0" w:color="auto"/>
            <w:left w:val="none" w:sz="0" w:space="0" w:color="auto"/>
            <w:bottom w:val="none" w:sz="0" w:space="0" w:color="auto"/>
            <w:right w:val="none" w:sz="0" w:space="0" w:color="auto"/>
          </w:divBdr>
        </w:div>
        <w:div w:id="270087426">
          <w:marLeft w:val="0"/>
          <w:marRight w:val="0"/>
          <w:marTop w:val="0"/>
          <w:marBottom w:val="0"/>
          <w:divBdr>
            <w:top w:val="none" w:sz="0" w:space="0" w:color="auto"/>
            <w:left w:val="none" w:sz="0" w:space="0" w:color="auto"/>
            <w:bottom w:val="none" w:sz="0" w:space="0" w:color="auto"/>
            <w:right w:val="none" w:sz="0" w:space="0" w:color="auto"/>
          </w:divBdr>
        </w:div>
        <w:div w:id="324631456">
          <w:marLeft w:val="0"/>
          <w:marRight w:val="0"/>
          <w:marTop w:val="0"/>
          <w:marBottom w:val="0"/>
          <w:divBdr>
            <w:top w:val="none" w:sz="0" w:space="0" w:color="auto"/>
            <w:left w:val="none" w:sz="0" w:space="0" w:color="auto"/>
            <w:bottom w:val="none" w:sz="0" w:space="0" w:color="auto"/>
            <w:right w:val="none" w:sz="0" w:space="0" w:color="auto"/>
          </w:divBdr>
        </w:div>
        <w:div w:id="356271892">
          <w:marLeft w:val="0"/>
          <w:marRight w:val="0"/>
          <w:marTop w:val="0"/>
          <w:marBottom w:val="0"/>
          <w:divBdr>
            <w:top w:val="none" w:sz="0" w:space="0" w:color="auto"/>
            <w:left w:val="none" w:sz="0" w:space="0" w:color="auto"/>
            <w:bottom w:val="none" w:sz="0" w:space="0" w:color="auto"/>
            <w:right w:val="none" w:sz="0" w:space="0" w:color="auto"/>
          </w:divBdr>
        </w:div>
        <w:div w:id="360128632">
          <w:marLeft w:val="0"/>
          <w:marRight w:val="0"/>
          <w:marTop w:val="0"/>
          <w:marBottom w:val="0"/>
          <w:divBdr>
            <w:top w:val="none" w:sz="0" w:space="0" w:color="auto"/>
            <w:left w:val="none" w:sz="0" w:space="0" w:color="auto"/>
            <w:bottom w:val="none" w:sz="0" w:space="0" w:color="auto"/>
            <w:right w:val="none" w:sz="0" w:space="0" w:color="auto"/>
          </w:divBdr>
        </w:div>
        <w:div w:id="362442607">
          <w:marLeft w:val="0"/>
          <w:marRight w:val="0"/>
          <w:marTop w:val="0"/>
          <w:marBottom w:val="0"/>
          <w:divBdr>
            <w:top w:val="none" w:sz="0" w:space="0" w:color="auto"/>
            <w:left w:val="none" w:sz="0" w:space="0" w:color="auto"/>
            <w:bottom w:val="none" w:sz="0" w:space="0" w:color="auto"/>
            <w:right w:val="none" w:sz="0" w:space="0" w:color="auto"/>
          </w:divBdr>
        </w:div>
        <w:div w:id="533692130">
          <w:marLeft w:val="0"/>
          <w:marRight w:val="0"/>
          <w:marTop w:val="0"/>
          <w:marBottom w:val="0"/>
          <w:divBdr>
            <w:top w:val="none" w:sz="0" w:space="0" w:color="auto"/>
            <w:left w:val="none" w:sz="0" w:space="0" w:color="auto"/>
            <w:bottom w:val="none" w:sz="0" w:space="0" w:color="auto"/>
            <w:right w:val="none" w:sz="0" w:space="0" w:color="auto"/>
          </w:divBdr>
        </w:div>
        <w:div w:id="570120372">
          <w:marLeft w:val="0"/>
          <w:marRight w:val="0"/>
          <w:marTop w:val="0"/>
          <w:marBottom w:val="0"/>
          <w:divBdr>
            <w:top w:val="none" w:sz="0" w:space="0" w:color="auto"/>
            <w:left w:val="none" w:sz="0" w:space="0" w:color="auto"/>
            <w:bottom w:val="none" w:sz="0" w:space="0" w:color="auto"/>
            <w:right w:val="none" w:sz="0" w:space="0" w:color="auto"/>
          </w:divBdr>
        </w:div>
        <w:div w:id="824316242">
          <w:marLeft w:val="0"/>
          <w:marRight w:val="0"/>
          <w:marTop w:val="0"/>
          <w:marBottom w:val="0"/>
          <w:divBdr>
            <w:top w:val="none" w:sz="0" w:space="0" w:color="auto"/>
            <w:left w:val="none" w:sz="0" w:space="0" w:color="auto"/>
            <w:bottom w:val="none" w:sz="0" w:space="0" w:color="auto"/>
            <w:right w:val="none" w:sz="0" w:space="0" w:color="auto"/>
          </w:divBdr>
        </w:div>
        <w:div w:id="883323912">
          <w:marLeft w:val="0"/>
          <w:marRight w:val="0"/>
          <w:marTop w:val="0"/>
          <w:marBottom w:val="0"/>
          <w:divBdr>
            <w:top w:val="none" w:sz="0" w:space="0" w:color="auto"/>
            <w:left w:val="none" w:sz="0" w:space="0" w:color="auto"/>
            <w:bottom w:val="none" w:sz="0" w:space="0" w:color="auto"/>
            <w:right w:val="none" w:sz="0" w:space="0" w:color="auto"/>
          </w:divBdr>
        </w:div>
        <w:div w:id="1126895428">
          <w:marLeft w:val="0"/>
          <w:marRight w:val="0"/>
          <w:marTop w:val="0"/>
          <w:marBottom w:val="0"/>
          <w:divBdr>
            <w:top w:val="none" w:sz="0" w:space="0" w:color="auto"/>
            <w:left w:val="none" w:sz="0" w:space="0" w:color="auto"/>
            <w:bottom w:val="none" w:sz="0" w:space="0" w:color="auto"/>
            <w:right w:val="none" w:sz="0" w:space="0" w:color="auto"/>
          </w:divBdr>
        </w:div>
        <w:div w:id="1413965726">
          <w:marLeft w:val="0"/>
          <w:marRight w:val="0"/>
          <w:marTop w:val="0"/>
          <w:marBottom w:val="0"/>
          <w:divBdr>
            <w:top w:val="none" w:sz="0" w:space="0" w:color="auto"/>
            <w:left w:val="none" w:sz="0" w:space="0" w:color="auto"/>
            <w:bottom w:val="none" w:sz="0" w:space="0" w:color="auto"/>
            <w:right w:val="none" w:sz="0" w:space="0" w:color="auto"/>
          </w:divBdr>
        </w:div>
        <w:div w:id="1647196727">
          <w:marLeft w:val="0"/>
          <w:marRight w:val="0"/>
          <w:marTop w:val="0"/>
          <w:marBottom w:val="0"/>
          <w:divBdr>
            <w:top w:val="none" w:sz="0" w:space="0" w:color="auto"/>
            <w:left w:val="none" w:sz="0" w:space="0" w:color="auto"/>
            <w:bottom w:val="none" w:sz="0" w:space="0" w:color="auto"/>
            <w:right w:val="none" w:sz="0" w:space="0" w:color="auto"/>
          </w:divBdr>
        </w:div>
        <w:div w:id="1676767133">
          <w:marLeft w:val="0"/>
          <w:marRight w:val="0"/>
          <w:marTop w:val="0"/>
          <w:marBottom w:val="0"/>
          <w:divBdr>
            <w:top w:val="none" w:sz="0" w:space="0" w:color="auto"/>
            <w:left w:val="none" w:sz="0" w:space="0" w:color="auto"/>
            <w:bottom w:val="none" w:sz="0" w:space="0" w:color="auto"/>
            <w:right w:val="none" w:sz="0" w:space="0" w:color="auto"/>
          </w:divBdr>
        </w:div>
        <w:div w:id="1864900168">
          <w:marLeft w:val="0"/>
          <w:marRight w:val="0"/>
          <w:marTop w:val="0"/>
          <w:marBottom w:val="0"/>
          <w:divBdr>
            <w:top w:val="none" w:sz="0" w:space="0" w:color="auto"/>
            <w:left w:val="none" w:sz="0" w:space="0" w:color="auto"/>
            <w:bottom w:val="none" w:sz="0" w:space="0" w:color="auto"/>
            <w:right w:val="none" w:sz="0" w:space="0" w:color="auto"/>
          </w:divBdr>
        </w:div>
        <w:div w:id="1974751595">
          <w:marLeft w:val="0"/>
          <w:marRight w:val="0"/>
          <w:marTop w:val="0"/>
          <w:marBottom w:val="0"/>
          <w:divBdr>
            <w:top w:val="none" w:sz="0" w:space="0" w:color="auto"/>
            <w:left w:val="none" w:sz="0" w:space="0" w:color="auto"/>
            <w:bottom w:val="none" w:sz="0" w:space="0" w:color="auto"/>
            <w:right w:val="none" w:sz="0" w:space="0" w:color="auto"/>
          </w:divBdr>
        </w:div>
        <w:div w:id="1979338246">
          <w:marLeft w:val="0"/>
          <w:marRight w:val="0"/>
          <w:marTop w:val="0"/>
          <w:marBottom w:val="0"/>
          <w:divBdr>
            <w:top w:val="none" w:sz="0" w:space="0" w:color="auto"/>
            <w:left w:val="none" w:sz="0" w:space="0" w:color="auto"/>
            <w:bottom w:val="none" w:sz="0" w:space="0" w:color="auto"/>
            <w:right w:val="none" w:sz="0" w:space="0" w:color="auto"/>
          </w:divBdr>
        </w:div>
        <w:div w:id="2091344800">
          <w:marLeft w:val="0"/>
          <w:marRight w:val="0"/>
          <w:marTop w:val="0"/>
          <w:marBottom w:val="0"/>
          <w:divBdr>
            <w:top w:val="none" w:sz="0" w:space="0" w:color="auto"/>
            <w:left w:val="none" w:sz="0" w:space="0" w:color="auto"/>
            <w:bottom w:val="none" w:sz="0" w:space="0" w:color="auto"/>
            <w:right w:val="none" w:sz="0" w:space="0" w:color="auto"/>
          </w:divBdr>
        </w:div>
      </w:divsChild>
    </w:div>
    <w:div w:id="466896467">
      <w:bodyDiv w:val="1"/>
      <w:marLeft w:val="0"/>
      <w:marRight w:val="0"/>
      <w:marTop w:val="0"/>
      <w:marBottom w:val="0"/>
      <w:divBdr>
        <w:top w:val="none" w:sz="0" w:space="0" w:color="auto"/>
        <w:left w:val="none" w:sz="0" w:space="0" w:color="auto"/>
        <w:bottom w:val="none" w:sz="0" w:space="0" w:color="auto"/>
        <w:right w:val="none" w:sz="0" w:space="0" w:color="auto"/>
      </w:divBdr>
    </w:div>
    <w:div w:id="467866177">
      <w:bodyDiv w:val="1"/>
      <w:marLeft w:val="0"/>
      <w:marRight w:val="0"/>
      <w:marTop w:val="0"/>
      <w:marBottom w:val="0"/>
      <w:divBdr>
        <w:top w:val="none" w:sz="0" w:space="0" w:color="auto"/>
        <w:left w:val="none" w:sz="0" w:space="0" w:color="auto"/>
        <w:bottom w:val="none" w:sz="0" w:space="0" w:color="auto"/>
        <w:right w:val="none" w:sz="0" w:space="0" w:color="auto"/>
      </w:divBdr>
      <w:divsChild>
        <w:div w:id="49965627">
          <w:marLeft w:val="0"/>
          <w:marRight w:val="0"/>
          <w:marTop w:val="0"/>
          <w:marBottom w:val="0"/>
          <w:divBdr>
            <w:top w:val="none" w:sz="0" w:space="0" w:color="auto"/>
            <w:left w:val="none" w:sz="0" w:space="0" w:color="auto"/>
            <w:bottom w:val="none" w:sz="0" w:space="0" w:color="auto"/>
            <w:right w:val="none" w:sz="0" w:space="0" w:color="auto"/>
          </w:divBdr>
        </w:div>
        <w:div w:id="67963054">
          <w:marLeft w:val="0"/>
          <w:marRight w:val="0"/>
          <w:marTop w:val="0"/>
          <w:marBottom w:val="0"/>
          <w:divBdr>
            <w:top w:val="none" w:sz="0" w:space="0" w:color="auto"/>
            <w:left w:val="none" w:sz="0" w:space="0" w:color="auto"/>
            <w:bottom w:val="none" w:sz="0" w:space="0" w:color="auto"/>
            <w:right w:val="none" w:sz="0" w:space="0" w:color="auto"/>
          </w:divBdr>
        </w:div>
        <w:div w:id="87847945">
          <w:marLeft w:val="0"/>
          <w:marRight w:val="0"/>
          <w:marTop w:val="0"/>
          <w:marBottom w:val="0"/>
          <w:divBdr>
            <w:top w:val="none" w:sz="0" w:space="0" w:color="auto"/>
            <w:left w:val="none" w:sz="0" w:space="0" w:color="auto"/>
            <w:bottom w:val="none" w:sz="0" w:space="0" w:color="auto"/>
            <w:right w:val="none" w:sz="0" w:space="0" w:color="auto"/>
          </w:divBdr>
        </w:div>
        <w:div w:id="261886961">
          <w:marLeft w:val="0"/>
          <w:marRight w:val="0"/>
          <w:marTop w:val="0"/>
          <w:marBottom w:val="0"/>
          <w:divBdr>
            <w:top w:val="none" w:sz="0" w:space="0" w:color="auto"/>
            <w:left w:val="none" w:sz="0" w:space="0" w:color="auto"/>
            <w:bottom w:val="none" w:sz="0" w:space="0" w:color="auto"/>
            <w:right w:val="none" w:sz="0" w:space="0" w:color="auto"/>
          </w:divBdr>
        </w:div>
        <w:div w:id="337391146">
          <w:marLeft w:val="0"/>
          <w:marRight w:val="0"/>
          <w:marTop w:val="0"/>
          <w:marBottom w:val="0"/>
          <w:divBdr>
            <w:top w:val="none" w:sz="0" w:space="0" w:color="auto"/>
            <w:left w:val="none" w:sz="0" w:space="0" w:color="auto"/>
            <w:bottom w:val="none" w:sz="0" w:space="0" w:color="auto"/>
            <w:right w:val="none" w:sz="0" w:space="0" w:color="auto"/>
          </w:divBdr>
        </w:div>
        <w:div w:id="505050553">
          <w:marLeft w:val="0"/>
          <w:marRight w:val="0"/>
          <w:marTop w:val="0"/>
          <w:marBottom w:val="0"/>
          <w:divBdr>
            <w:top w:val="none" w:sz="0" w:space="0" w:color="auto"/>
            <w:left w:val="none" w:sz="0" w:space="0" w:color="auto"/>
            <w:bottom w:val="none" w:sz="0" w:space="0" w:color="auto"/>
            <w:right w:val="none" w:sz="0" w:space="0" w:color="auto"/>
          </w:divBdr>
        </w:div>
        <w:div w:id="544560087">
          <w:marLeft w:val="0"/>
          <w:marRight w:val="0"/>
          <w:marTop w:val="0"/>
          <w:marBottom w:val="0"/>
          <w:divBdr>
            <w:top w:val="none" w:sz="0" w:space="0" w:color="auto"/>
            <w:left w:val="none" w:sz="0" w:space="0" w:color="auto"/>
            <w:bottom w:val="none" w:sz="0" w:space="0" w:color="auto"/>
            <w:right w:val="none" w:sz="0" w:space="0" w:color="auto"/>
          </w:divBdr>
        </w:div>
        <w:div w:id="903956705">
          <w:marLeft w:val="0"/>
          <w:marRight w:val="0"/>
          <w:marTop w:val="0"/>
          <w:marBottom w:val="0"/>
          <w:divBdr>
            <w:top w:val="none" w:sz="0" w:space="0" w:color="auto"/>
            <w:left w:val="none" w:sz="0" w:space="0" w:color="auto"/>
            <w:bottom w:val="none" w:sz="0" w:space="0" w:color="auto"/>
            <w:right w:val="none" w:sz="0" w:space="0" w:color="auto"/>
          </w:divBdr>
        </w:div>
        <w:div w:id="1645961640">
          <w:marLeft w:val="0"/>
          <w:marRight w:val="0"/>
          <w:marTop w:val="0"/>
          <w:marBottom w:val="0"/>
          <w:divBdr>
            <w:top w:val="none" w:sz="0" w:space="0" w:color="auto"/>
            <w:left w:val="none" w:sz="0" w:space="0" w:color="auto"/>
            <w:bottom w:val="none" w:sz="0" w:space="0" w:color="auto"/>
            <w:right w:val="none" w:sz="0" w:space="0" w:color="auto"/>
          </w:divBdr>
        </w:div>
        <w:div w:id="2010673230">
          <w:marLeft w:val="0"/>
          <w:marRight w:val="0"/>
          <w:marTop w:val="0"/>
          <w:marBottom w:val="0"/>
          <w:divBdr>
            <w:top w:val="none" w:sz="0" w:space="0" w:color="auto"/>
            <w:left w:val="none" w:sz="0" w:space="0" w:color="auto"/>
            <w:bottom w:val="none" w:sz="0" w:space="0" w:color="auto"/>
            <w:right w:val="none" w:sz="0" w:space="0" w:color="auto"/>
          </w:divBdr>
        </w:div>
        <w:div w:id="2027365572">
          <w:marLeft w:val="0"/>
          <w:marRight w:val="0"/>
          <w:marTop w:val="0"/>
          <w:marBottom w:val="0"/>
          <w:divBdr>
            <w:top w:val="none" w:sz="0" w:space="0" w:color="auto"/>
            <w:left w:val="none" w:sz="0" w:space="0" w:color="auto"/>
            <w:bottom w:val="none" w:sz="0" w:space="0" w:color="auto"/>
            <w:right w:val="none" w:sz="0" w:space="0" w:color="auto"/>
          </w:divBdr>
        </w:div>
        <w:div w:id="2044015154">
          <w:marLeft w:val="0"/>
          <w:marRight w:val="0"/>
          <w:marTop w:val="0"/>
          <w:marBottom w:val="0"/>
          <w:divBdr>
            <w:top w:val="none" w:sz="0" w:space="0" w:color="auto"/>
            <w:left w:val="none" w:sz="0" w:space="0" w:color="auto"/>
            <w:bottom w:val="none" w:sz="0" w:space="0" w:color="auto"/>
            <w:right w:val="none" w:sz="0" w:space="0" w:color="auto"/>
          </w:divBdr>
        </w:div>
      </w:divsChild>
    </w:div>
    <w:div w:id="502818343">
      <w:bodyDiv w:val="1"/>
      <w:marLeft w:val="0"/>
      <w:marRight w:val="0"/>
      <w:marTop w:val="0"/>
      <w:marBottom w:val="0"/>
      <w:divBdr>
        <w:top w:val="none" w:sz="0" w:space="0" w:color="auto"/>
        <w:left w:val="none" w:sz="0" w:space="0" w:color="auto"/>
        <w:bottom w:val="none" w:sz="0" w:space="0" w:color="auto"/>
        <w:right w:val="none" w:sz="0" w:space="0" w:color="auto"/>
      </w:divBdr>
      <w:divsChild>
        <w:div w:id="283468581">
          <w:marLeft w:val="0"/>
          <w:marRight w:val="0"/>
          <w:marTop w:val="0"/>
          <w:marBottom w:val="0"/>
          <w:divBdr>
            <w:top w:val="none" w:sz="0" w:space="0" w:color="auto"/>
            <w:left w:val="none" w:sz="0" w:space="0" w:color="auto"/>
            <w:bottom w:val="none" w:sz="0" w:space="0" w:color="auto"/>
            <w:right w:val="none" w:sz="0" w:space="0" w:color="auto"/>
          </w:divBdr>
        </w:div>
        <w:div w:id="286352442">
          <w:marLeft w:val="0"/>
          <w:marRight w:val="0"/>
          <w:marTop w:val="0"/>
          <w:marBottom w:val="0"/>
          <w:divBdr>
            <w:top w:val="none" w:sz="0" w:space="0" w:color="auto"/>
            <w:left w:val="none" w:sz="0" w:space="0" w:color="auto"/>
            <w:bottom w:val="none" w:sz="0" w:space="0" w:color="auto"/>
            <w:right w:val="none" w:sz="0" w:space="0" w:color="auto"/>
          </w:divBdr>
        </w:div>
        <w:div w:id="405761819">
          <w:marLeft w:val="0"/>
          <w:marRight w:val="0"/>
          <w:marTop w:val="0"/>
          <w:marBottom w:val="0"/>
          <w:divBdr>
            <w:top w:val="none" w:sz="0" w:space="0" w:color="auto"/>
            <w:left w:val="none" w:sz="0" w:space="0" w:color="auto"/>
            <w:bottom w:val="none" w:sz="0" w:space="0" w:color="auto"/>
            <w:right w:val="none" w:sz="0" w:space="0" w:color="auto"/>
          </w:divBdr>
        </w:div>
        <w:div w:id="460272515">
          <w:marLeft w:val="0"/>
          <w:marRight w:val="0"/>
          <w:marTop w:val="0"/>
          <w:marBottom w:val="0"/>
          <w:divBdr>
            <w:top w:val="none" w:sz="0" w:space="0" w:color="auto"/>
            <w:left w:val="none" w:sz="0" w:space="0" w:color="auto"/>
            <w:bottom w:val="none" w:sz="0" w:space="0" w:color="auto"/>
            <w:right w:val="none" w:sz="0" w:space="0" w:color="auto"/>
          </w:divBdr>
        </w:div>
        <w:div w:id="488904004">
          <w:marLeft w:val="0"/>
          <w:marRight w:val="0"/>
          <w:marTop w:val="0"/>
          <w:marBottom w:val="0"/>
          <w:divBdr>
            <w:top w:val="none" w:sz="0" w:space="0" w:color="auto"/>
            <w:left w:val="none" w:sz="0" w:space="0" w:color="auto"/>
            <w:bottom w:val="none" w:sz="0" w:space="0" w:color="auto"/>
            <w:right w:val="none" w:sz="0" w:space="0" w:color="auto"/>
          </w:divBdr>
        </w:div>
        <w:div w:id="589462212">
          <w:marLeft w:val="0"/>
          <w:marRight w:val="0"/>
          <w:marTop w:val="0"/>
          <w:marBottom w:val="0"/>
          <w:divBdr>
            <w:top w:val="none" w:sz="0" w:space="0" w:color="auto"/>
            <w:left w:val="none" w:sz="0" w:space="0" w:color="auto"/>
            <w:bottom w:val="none" w:sz="0" w:space="0" w:color="auto"/>
            <w:right w:val="none" w:sz="0" w:space="0" w:color="auto"/>
          </w:divBdr>
        </w:div>
        <w:div w:id="622426528">
          <w:marLeft w:val="0"/>
          <w:marRight w:val="0"/>
          <w:marTop w:val="0"/>
          <w:marBottom w:val="0"/>
          <w:divBdr>
            <w:top w:val="none" w:sz="0" w:space="0" w:color="auto"/>
            <w:left w:val="none" w:sz="0" w:space="0" w:color="auto"/>
            <w:bottom w:val="none" w:sz="0" w:space="0" w:color="auto"/>
            <w:right w:val="none" w:sz="0" w:space="0" w:color="auto"/>
          </w:divBdr>
        </w:div>
        <w:div w:id="639266195">
          <w:marLeft w:val="0"/>
          <w:marRight w:val="0"/>
          <w:marTop w:val="0"/>
          <w:marBottom w:val="0"/>
          <w:divBdr>
            <w:top w:val="none" w:sz="0" w:space="0" w:color="auto"/>
            <w:left w:val="none" w:sz="0" w:space="0" w:color="auto"/>
            <w:bottom w:val="none" w:sz="0" w:space="0" w:color="auto"/>
            <w:right w:val="none" w:sz="0" w:space="0" w:color="auto"/>
          </w:divBdr>
        </w:div>
        <w:div w:id="913200256">
          <w:marLeft w:val="0"/>
          <w:marRight w:val="0"/>
          <w:marTop w:val="0"/>
          <w:marBottom w:val="0"/>
          <w:divBdr>
            <w:top w:val="none" w:sz="0" w:space="0" w:color="auto"/>
            <w:left w:val="none" w:sz="0" w:space="0" w:color="auto"/>
            <w:bottom w:val="none" w:sz="0" w:space="0" w:color="auto"/>
            <w:right w:val="none" w:sz="0" w:space="0" w:color="auto"/>
          </w:divBdr>
        </w:div>
        <w:div w:id="964696246">
          <w:marLeft w:val="0"/>
          <w:marRight w:val="0"/>
          <w:marTop w:val="0"/>
          <w:marBottom w:val="0"/>
          <w:divBdr>
            <w:top w:val="none" w:sz="0" w:space="0" w:color="auto"/>
            <w:left w:val="none" w:sz="0" w:space="0" w:color="auto"/>
            <w:bottom w:val="none" w:sz="0" w:space="0" w:color="auto"/>
            <w:right w:val="none" w:sz="0" w:space="0" w:color="auto"/>
          </w:divBdr>
        </w:div>
        <w:div w:id="1070275389">
          <w:marLeft w:val="0"/>
          <w:marRight w:val="0"/>
          <w:marTop w:val="0"/>
          <w:marBottom w:val="0"/>
          <w:divBdr>
            <w:top w:val="none" w:sz="0" w:space="0" w:color="auto"/>
            <w:left w:val="none" w:sz="0" w:space="0" w:color="auto"/>
            <w:bottom w:val="none" w:sz="0" w:space="0" w:color="auto"/>
            <w:right w:val="none" w:sz="0" w:space="0" w:color="auto"/>
          </w:divBdr>
        </w:div>
        <w:div w:id="1104112141">
          <w:marLeft w:val="0"/>
          <w:marRight w:val="0"/>
          <w:marTop w:val="0"/>
          <w:marBottom w:val="0"/>
          <w:divBdr>
            <w:top w:val="none" w:sz="0" w:space="0" w:color="auto"/>
            <w:left w:val="none" w:sz="0" w:space="0" w:color="auto"/>
            <w:bottom w:val="none" w:sz="0" w:space="0" w:color="auto"/>
            <w:right w:val="none" w:sz="0" w:space="0" w:color="auto"/>
          </w:divBdr>
        </w:div>
        <w:div w:id="1339696295">
          <w:marLeft w:val="0"/>
          <w:marRight w:val="0"/>
          <w:marTop w:val="0"/>
          <w:marBottom w:val="0"/>
          <w:divBdr>
            <w:top w:val="none" w:sz="0" w:space="0" w:color="auto"/>
            <w:left w:val="none" w:sz="0" w:space="0" w:color="auto"/>
            <w:bottom w:val="none" w:sz="0" w:space="0" w:color="auto"/>
            <w:right w:val="none" w:sz="0" w:space="0" w:color="auto"/>
          </w:divBdr>
        </w:div>
        <w:div w:id="1359087259">
          <w:marLeft w:val="0"/>
          <w:marRight w:val="0"/>
          <w:marTop w:val="0"/>
          <w:marBottom w:val="0"/>
          <w:divBdr>
            <w:top w:val="none" w:sz="0" w:space="0" w:color="auto"/>
            <w:left w:val="none" w:sz="0" w:space="0" w:color="auto"/>
            <w:bottom w:val="none" w:sz="0" w:space="0" w:color="auto"/>
            <w:right w:val="none" w:sz="0" w:space="0" w:color="auto"/>
          </w:divBdr>
        </w:div>
        <w:div w:id="1423335975">
          <w:marLeft w:val="0"/>
          <w:marRight w:val="0"/>
          <w:marTop w:val="0"/>
          <w:marBottom w:val="0"/>
          <w:divBdr>
            <w:top w:val="none" w:sz="0" w:space="0" w:color="auto"/>
            <w:left w:val="none" w:sz="0" w:space="0" w:color="auto"/>
            <w:bottom w:val="none" w:sz="0" w:space="0" w:color="auto"/>
            <w:right w:val="none" w:sz="0" w:space="0" w:color="auto"/>
          </w:divBdr>
        </w:div>
        <w:div w:id="1442535018">
          <w:marLeft w:val="0"/>
          <w:marRight w:val="0"/>
          <w:marTop w:val="0"/>
          <w:marBottom w:val="0"/>
          <w:divBdr>
            <w:top w:val="none" w:sz="0" w:space="0" w:color="auto"/>
            <w:left w:val="none" w:sz="0" w:space="0" w:color="auto"/>
            <w:bottom w:val="none" w:sz="0" w:space="0" w:color="auto"/>
            <w:right w:val="none" w:sz="0" w:space="0" w:color="auto"/>
          </w:divBdr>
        </w:div>
        <w:div w:id="1469204811">
          <w:marLeft w:val="0"/>
          <w:marRight w:val="0"/>
          <w:marTop w:val="0"/>
          <w:marBottom w:val="0"/>
          <w:divBdr>
            <w:top w:val="none" w:sz="0" w:space="0" w:color="auto"/>
            <w:left w:val="none" w:sz="0" w:space="0" w:color="auto"/>
            <w:bottom w:val="none" w:sz="0" w:space="0" w:color="auto"/>
            <w:right w:val="none" w:sz="0" w:space="0" w:color="auto"/>
          </w:divBdr>
        </w:div>
        <w:div w:id="1582372389">
          <w:marLeft w:val="0"/>
          <w:marRight w:val="0"/>
          <w:marTop w:val="0"/>
          <w:marBottom w:val="0"/>
          <w:divBdr>
            <w:top w:val="none" w:sz="0" w:space="0" w:color="auto"/>
            <w:left w:val="none" w:sz="0" w:space="0" w:color="auto"/>
            <w:bottom w:val="none" w:sz="0" w:space="0" w:color="auto"/>
            <w:right w:val="none" w:sz="0" w:space="0" w:color="auto"/>
          </w:divBdr>
        </w:div>
        <w:div w:id="1626086289">
          <w:marLeft w:val="0"/>
          <w:marRight w:val="0"/>
          <w:marTop w:val="0"/>
          <w:marBottom w:val="0"/>
          <w:divBdr>
            <w:top w:val="none" w:sz="0" w:space="0" w:color="auto"/>
            <w:left w:val="none" w:sz="0" w:space="0" w:color="auto"/>
            <w:bottom w:val="none" w:sz="0" w:space="0" w:color="auto"/>
            <w:right w:val="none" w:sz="0" w:space="0" w:color="auto"/>
          </w:divBdr>
        </w:div>
        <w:div w:id="1720283093">
          <w:marLeft w:val="0"/>
          <w:marRight w:val="0"/>
          <w:marTop w:val="0"/>
          <w:marBottom w:val="0"/>
          <w:divBdr>
            <w:top w:val="none" w:sz="0" w:space="0" w:color="auto"/>
            <w:left w:val="none" w:sz="0" w:space="0" w:color="auto"/>
            <w:bottom w:val="none" w:sz="0" w:space="0" w:color="auto"/>
            <w:right w:val="none" w:sz="0" w:space="0" w:color="auto"/>
          </w:divBdr>
        </w:div>
        <w:div w:id="1784109401">
          <w:marLeft w:val="0"/>
          <w:marRight w:val="0"/>
          <w:marTop w:val="0"/>
          <w:marBottom w:val="0"/>
          <w:divBdr>
            <w:top w:val="none" w:sz="0" w:space="0" w:color="auto"/>
            <w:left w:val="none" w:sz="0" w:space="0" w:color="auto"/>
            <w:bottom w:val="none" w:sz="0" w:space="0" w:color="auto"/>
            <w:right w:val="none" w:sz="0" w:space="0" w:color="auto"/>
          </w:divBdr>
        </w:div>
        <w:div w:id="1953393547">
          <w:marLeft w:val="0"/>
          <w:marRight w:val="0"/>
          <w:marTop w:val="0"/>
          <w:marBottom w:val="0"/>
          <w:divBdr>
            <w:top w:val="none" w:sz="0" w:space="0" w:color="auto"/>
            <w:left w:val="none" w:sz="0" w:space="0" w:color="auto"/>
            <w:bottom w:val="none" w:sz="0" w:space="0" w:color="auto"/>
            <w:right w:val="none" w:sz="0" w:space="0" w:color="auto"/>
          </w:divBdr>
        </w:div>
        <w:div w:id="1979651827">
          <w:marLeft w:val="0"/>
          <w:marRight w:val="0"/>
          <w:marTop w:val="0"/>
          <w:marBottom w:val="0"/>
          <w:divBdr>
            <w:top w:val="none" w:sz="0" w:space="0" w:color="auto"/>
            <w:left w:val="none" w:sz="0" w:space="0" w:color="auto"/>
            <w:bottom w:val="none" w:sz="0" w:space="0" w:color="auto"/>
            <w:right w:val="none" w:sz="0" w:space="0" w:color="auto"/>
          </w:divBdr>
        </w:div>
        <w:div w:id="2006324811">
          <w:marLeft w:val="0"/>
          <w:marRight w:val="0"/>
          <w:marTop w:val="0"/>
          <w:marBottom w:val="0"/>
          <w:divBdr>
            <w:top w:val="none" w:sz="0" w:space="0" w:color="auto"/>
            <w:left w:val="none" w:sz="0" w:space="0" w:color="auto"/>
            <w:bottom w:val="none" w:sz="0" w:space="0" w:color="auto"/>
            <w:right w:val="none" w:sz="0" w:space="0" w:color="auto"/>
          </w:divBdr>
        </w:div>
      </w:divsChild>
    </w:div>
    <w:div w:id="524945173">
      <w:bodyDiv w:val="1"/>
      <w:marLeft w:val="0"/>
      <w:marRight w:val="0"/>
      <w:marTop w:val="0"/>
      <w:marBottom w:val="0"/>
      <w:divBdr>
        <w:top w:val="none" w:sz="0" w:space="0" w:color="auto"/>
        <w:left w:val="none" w:sz="0" w:space="0" w:color="auto"/>
        <w:bottom w:val="none" w:sz="0" w:space="0" w:color="auto"/>
        <w:right w:val="none" w:sz="0" w:space="0" w:color="auto"/>
      </w:divBdr>
    </w:div>
    <w:div w:id="563370181">
      <w:bodyDiv w:val="1"/>
      <w:marLeft w:val="0"/>
      <w:marRight w:val="0"/>
      <w:marTop w:val="0"/>
      <w:marBottom w:val="0"/>
      <w:divBdr>
        <w:top w:val="none" w:sz="0" w:space="0" w:color="auto"/>
        <w:left w:val="none" w:sz="0" w:space="0" w:color="auto"/>
        <w:bottom w:val="none" w:sz="0" w:space="0" w:color="auto"/>
        <w:right w:val="none" w:sz="0" w:space="0" w:color="auto"/>
      </w:divBdr>
    </w:div>
    <w:div w:id="710960550">
      <w:bodyDiv w:val="1"/>
      <w:marLeft w:val="0"/>
      <w:marRight w:val="0"/>
      <w:marTop w:val="0"/>
      <w:marBottom w:val="0"/>
      <w:divBdr>
        <w:top w:val="none" w:sz="0" w:space="0" w:color="auto"/>
        <w:left w:val="none" w:sz="0" w:space="0" w:color="auto"/>
        <w:bottom w:val="none" w:sz="0" w:space="0" w:color="auto"/>
        <w:right w:val="none" w:sz="0" w:space="0" w:color="auto"/>
      </w:divBdr>
      <w:divsChild>
        <w:div w:id="1867017561">
          <w:marLeft w:val="0"/>
          <w:marRight w:val="0"/>
          <w:marTop w:val="0"/>
          <w:marBottom w:val="0"/>
          <w:divBdr>
            <w:top w:val="none" w:sz="0" w:space="0" w:color="auto"/>
            <w:left w:val="none" w:sz="0" w:space="0" w:color="auto"/>
            <w:bottom w:val="none" w:sz="0" w:space="0" w:color="auto"/>
            <w:right w:val="none" w:sz="0" w:space="0" w:color="auto"/>
          </w:divBdr>
          <w:divsChild>
            <w:div w:id="135687625">
              <w:marLeft w:val="0"/>
              <w:marRight w:val="0"/>
              <w:marTop w:val="0"/>
              <w:marBottom w:val="0"/>
              <w:divBdr>
                <w:top w:val="none" w:sz="0" w:space="0" w:color="auto"/>
                <w:left w:val="none" w:sz="0" w:space="0" w:color="auto"/>
                <w:bottom w:val="none" w:sz="0" w:space="0" w:color="auto"/>
                <w:right w:val="none" w:sz="0" w:space="0" w:color="auto"/>
              </w:divBdr>
            </w:div>
            <w:div w:id="757485958">
              <w:marLeft w:val="0"/>
              <w:marRight w:val="0"/>
              <w:marTop w:val="0"/>
              <w:marBottom w:val="0"/>
              <w:divBdr>
                <w:top w:val="none" w:sz="0" w:space="0" w:color="auto"/>
                <w:left w:val="none" w:sz="0" w:space="0" w:color="auto"/>
                <w:bottom w:val="none" w:sz="0" w:space="0" w:color="auto"/>
                <w:right w:val="none" w:sz="0" w:space="0" w:color="auto"/>
              </w:divBdr>
            </w:div>
            <w:div w:id="19426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45069">
      <w:bodyDiv w:val="1"/>
      <w:marLeft w:val="0"/>
      <w:marRight w:val="0"/>
      <w:marTop w:val="0"/>
      <w:marBottom w:val="0"/>
      <w:divBdr>
        <w:top w:val="none" w:sz="0" w:space="0" w:color="auto"/>
        <w:left w:val="none" w:sz="0" w:space="0" w:color="auto"/>
        <w:bottom w:val="none" w:sz="0" w:space="0" w:color="auto"/>
        <w:right w:val="none" w:sz="0" w:space="0" w:color="auto"/>
      </w:divBdr>
      <w:divsChild>
        <w:div w:id="29452075">
          <w:marLeft w:val="0"/>
          <w:marRight w:val="0"/>
          <w:marTop w:val="0"/>
          <w:marBottom w:val="0"/>
          <w:divBdr>
            <w:top w:val="none" w:sz="0" w:space="0" w:color="auto"/>
            <w:left w:val="none" w:sz="0" w:space="0" w:color="auto"/>
            <w:bottom w:val="none" w:sz="0" w:space="0" w:color="auto"/>
            <w:right w:val="none" w:sz="0" w:space="0" w:color="auto"/>
          </w:divBdr>
        </w:div>
        <w:div w:id="41103475">
          <w:marLeft w:val="0"/>
          <w:marRight w:val="0"/>
          <w:marTop w:val="0"/>
          <w:marBottom w:val="0"/>
          <w:divBdr>
            <w:top w:val="none" w:sz="0" w:space="0" w:color="auto"/>
            <w:left w:val="none" w:sz="0" w:space="0" w:color="auto"/>
            <w:bottom w:val="none" w:sz="0" w:space="0" w:color="auto"/>
            <w:right w:val="none" w:sz="0" w:space="0" w:color="auto"/>
          </w:divBdr>
        </w:div>
        <w:div w:id="56051005">
          <w:marLeft w:val="0"/>
          <w:marRight w:val="0"/>
          <w:marTop w:val="0"/>
          <w:marBottom w:val="0"/>
          <w:divBdr>
            <w:top w:val="none" w:sz="0" w:space="0" w:color="auto"/>
            <w:left w:val="none" w:sz="0" w:space="0" w:color="auto"/>
            <w:bottom w:val="none" w:sz="0" w:space="0" w:color="auto"/>
            <w:right w:val="none" w:sz="0" w:space="0" w:color="auto"/>
          </w:divBdr>
        </w:div>
        <w:div w:id="134762670">
          <w:marLeft w:val="0"/>
          <w:marRight w:val="0"/>
          <w:marTop w:val="0"/>
          <w:marBottom w:val="0"/>
          <w:divBdr>
            <w:top w:val="none" w:sz="0" w:space="0" w:color="auto"/>
            <w:left w:val="none" w:sz="0" w:space="0" w:color="auto"/>
            <w:bottom w:val="none" w:sz="0" w:space="0" w:color="auto"/>
            <w:right w:val="none" w:sz="0" w:space="0" w:color="auto"/>
          </w:divBdr>
        </w:div>
        <w:div w:id="158280165">
          <w:marLeft w:val="0"/>
          <w:marRight w:val="0"/>
          <w:marTop w:val="0"/>
          <w:marBottom w:val="0"/>
          <w:divBdr>
            <w:top w:val="none" w:sz="0" w:space="0" w:color="auto"/>
            <w:left w:val="none" w:sz="0" w:space="0" w:color="auto"/>
            <w:bottom w:val="none" w:sz="0" w:space="0" w:color="auto"/>
            <w:right w:val="none" w:sz="0" w:space="0" w:color="auto"/>
          </w:divBdr>
        </w:div>
        <w:div w:id="246382191">
          <w:marLeft w:val="0"/>
          <w:marRight w:val="0"/>
          <w:marTop w:val="0"/>
          <w:marBottom w:val="0"/>
          <w:divBdr>
            <w:top w:val="none" w:sz="0" w:space="0" w:color="auto"/>
            <w:left w:val="none" w:sz="0" w:space="0" w:color="auto"/>
            <w:bottom w:val="none" w:sz="0" w:space="0" w:color="auto"/>
            <w:right w:val="none" w:sz="0" w:space="0" w:color="auto"/>
          </w:divBdr>
        </w:div>
        <w:div w:id="248974559">
          <w:marLeft w:val="0"/>
          <w:marRight w:val="0"/>
          <w:marTop w:val="0"/>
          <w:marBottom w:val="0"/>
          <w:divBdr>
            <w:top w:val="none" w:sz="0" w:space="0" w:color="auto"/>
            <w:left w:val="none" w:sz="0" w:space="0" w:color="auto"/>
            <w:bottom w:val="none" w:sz="0" w:space="0" w:color="auto"/>
            <w:right w:val="none" w:sz="0" w:space="0" w:color="auto"/>
          </w:divBdr>
        </w:div>
        <w:div w:id="352003188">
          <w:marLeft w:val="0"/>
          <w:marRight w:val="0"/>
          <w:marTop w:val="0"/>
          <w:marBottom w:val="0"/>
          <w:divBdr>
            <w:top w:val="none" w:sz="0" w:space="0" w:color="auto"/>
            <w:left w:val="none" w:sz="0" w:space="0" w:color="auto"/>
            <w:bottom w:val="none" w:sz="0" w:space="0" w:color="auto"/>
            <w:right w:val="none" w:sz="0" w:space="0" w:color="auto"/>
          </w:divBdr>
        </w:div>
        <w:div w:id="363991416">
          <w:marLeft w:val="0"/>
          <w:marRight w:val="0"/>
          <w:marTop w:val="0"/>
          <w:marBottom w:val="0"/>
          <w:divBdr>
            <w:top w:val="none" w:sz="0" w:space="0" w:color="auto"/>
            <w:left w:val="none" w:sz="0" w:space="0" w:color="auto"/>
            <w:bottom w:val="none" w:sz="0" w:space="0" w:color="auto"/>
            <w:right w:val="none" w:sz="0" w:space="0" w:color="auto"/>
          </w:divBdr>
        </w:div>
        <w:div w:id="391739579">
          <w:marLeft w:val="0"/>
          <w:marRight w:val="0"/>
          <w:marTop w:val="0"/>
          <w:marBottom w:val="0"/>
          <w:divBdr>
            <w:top w:val="none" w:sz="0" w:space="0" w:color="auto"/>
            <w:left w:val="none" w:sz="0" w:space="0" w:color="auto"/>
            <w:bottom w:val="none" w:sz="0" w:space="0" w:color="auto"/>
            <w:right w:val="none" w:sz="0" w:space="0" w:color="auto"/>
          </w:divBdr>
        </w:div>
        <w:div w:id="490222026">
          <w:marLeft w:val="0"/>
          <w:marRight w:val="0"/>
          <w:marTop w:val="0"/>
          <w:marBottom w:val="0"/>
          <w:divBdr>
            <w:top w:val="none" w:sz="0" w:space="0" w:color="auto"/>
            <w:left w:val="none" w:sz="0" w:space="0" w:color="auto"/>
            <w:bottom w:val="none" w:sz="0" w:space="0" w:color="auto"/>
            <w:right w:val="none" w:sz="0" w:space="0" w:color="auto"/>
          </w:divBdr>
        </w:div>
        <w:div w:id="595483971">
          <w:marLeft w:val="0"/>
          <w:marRight w:val="0"/>
          <w:marTop w:val="0"/>
          <w:marBottom w:val="0"/>
          <w:divBdr>
            <w:top w:val="none" w:sz="0" w:space="0" w:color="auto"/>
            <w:left w:val="none" w:sz="0" w:space="0" w:color="auto"/>
            <w:bottom w:val="none" w:sz="0" w:space="0" w:color="auto"/>
            <w:right w:val="none" w:sz="0" w:space="0" w:color="auto"/>
          </w:divBdr>
        </w:div>
        <w:div w:id="596141143">
          <w:marLeft w:val="0"/>
          <w:marRight w:val="0"/>
          <w:marTop w:val="0"/>
          <w:marBottom w:val="0"/>
          <w:divBdr>
            <w:top w:val="none" w:sz="0" w:space="0" w:color="auto"/>
            <w:left w:val="none" w:sz="0" w:space="0" w:color="auto"/>
            <w:bottom w:val="none" w:sz="0" w:space="0" w:color="auto"/>
            <w:right w:val="none" w:sz="0" w:space="0" w:color="auto"/>
          </w:divBdr>
        </w:div>
        <w:div w:id="633102322">
          <w:marLeft w:val="0"/>
          <w:marRight w:val="0"/>
          <w:marTop w:val="0"/>
          <w:marBottom w:val="0"/>
          <w:divBdr>
            <w:top w:val="none" w:sz="0" w:space="0" w:color="auto"/>
            <w:left w:val="none" w:sz="0" w:space="0" w:color="auto"/>
            <w:bottom w:val="none" w:sz="0" w:space="0" w:color="auto"/>
            <w:right w:val="none" w:sz="0" w:space="0" w:color="auto"/>
          </w:divBdr>
        </w:div>
        <w:div w:id="722291496">
          <w:marLeft w:val="0"/>
          <w:marRight w:val="0"/>
          <w:marTop w:val="0"/>
          <w:marBottom w:val="0"/>
          <w:divBdr>
            <w:top w:val="none" w:sz="0" w:space="0" w:color="auto"/>
            <w:left w:val="none" w:sz="0" w:space="0" w:color="auto"/>
            <w:bottom w:val="none" w:sz="0" w:space="0" w:color="auto"/>
            <w:right w:val="none" w:sz="0" w:space="0" w:color="auto"/>
          </w:divBdr>
        </w:div>
        <w:div w:id="796487468">
          <w:marLeft w:val="0"/>
          <w:marRight w:val="0"/>
          <w:marTop w:val="0"/>
          <w:marBottom w:val="0"/>
          <w:divBdr>
            <w:top w:val="none" w:sz="0" w:space="0" w:color="auto"/>
            <w:left w:val="none" w:sz="0" w:space="0" w:color="auto"/>
            <w:bottom w:val="none" w:sz="0" w:space="0" w:color="auto"/>
            <w:right w:val="none" w:sz="0" w:space="0" w:color="auto"/>
          </w:divBdr>
        </w:div>
        <w:div w:id="811481268">
          <w:marLeft w:val="0"/>
          <w:marRight w:val="0"/>
          <w:marTop w:val="0"/>
          <w:marBottom w:val="0"/>
          <w:divBdr>
            <w:top w:val="none" w:sz="0" w:space="0" w:color="auto"/>
            <w:left w:val="none" w:sz="0" w:space="0" w:color="auto"/>
            <w:bottom w:val="none" w:sz="0" w:space="0" w:color="auto"/>
            <w:right w:val="none" w:sz="0" w:space="0" w:color="auto"/>
          </w:divBdr>
        </w:div>
        <w:div w:id="813376271">
          <w:marLeft w:val="0"/>
          <w:marRight w:val="0"/>
          <w:marTop w:val="0"/>
          <w:marBottom w:val="0"/>
          <w:divBdr>
            <w:top w:val="none" w:sz="0" w:space="0" w:color="auto"/>
            <w:left w:val="none" w:sz="0" w:space="0" w:color="auto"/>
            <w:bottom w:val="none" w:sz="0" w:space="0" w:color="auto"/>
            <w:right w:val="none" w:sz="0" w:space="0" w:color="auto"/>
          </w:divBdr>
        </w:div>
        <w:div w:id="822625365">
          <w:marLeft w:val="0"/>
          <w:marRight w:val="0"/>
          <w:marTop w:val="0"/>
          <w:marBottom w:val="0"/>
          <w:divBdr>
            <w:top w:val="none" w:sz="0" w:space="0" w:color="auto"/>
            <w:left w:val="none" w:sz="0" w:space="0" w:color="auto"/>
            <w:bottom w:val="none" w:sz="0" w:space="0" w:color="auto"/>
            <w:right w:val="none" w:sz="0" w:space="0" w:color="auto"/>
          </w:divBdr>
        </w:div>
        <w:div w:id="836309816">
          <w:marLeft w:val="0"/>
          <w:marRight w:val="0"/>
          <w:marTop w:val="0"/>
          <w:marBottom w:val="0"/>
          <w:divBdr>
            <w:top w:val="none" w:sz="0" w:space="0" w:color="auto"/>
            <w:left w:val="none" w:sz="0" w:space="0" w:color="auto"/>
            <w:bottom w:val="none" w:sz="0" w:space="0" w:color="auto"/>
            <w:right w:val="none" w:sz="0" w:space="0" w:color="auto"/>
          </w:divBdr>
        </w:div>
        <w:div w:id="859898041">
          <w:marLeft w:val="0"/>
          <w:marRight w:val="0"/>
          <w:marTop w:val="0"/>
          <w:marBottom w:val="0"/>
          <w:divBdr>
            <w:top w:val="none" w:sz="0" w:space="0" w:color="auto"/>
            <w:left w:val="none" w:sz="0" w:space="0" w:color="auto"/>
            <w:bottom w:val="none" w:sz="0" w:space="0" w:color="auto"/>
            <w:right w:val="none" w:sz="0" w:space="0" w:color="auto"/>
          </w:divBdr>
        </w:div>
        <w:div w:id="909580389">
          <w:marLeft w:val="0"/>
          <w:marRight w:val="0"/>
          <w:marTop w:val="0"/>
          <w:marBottom w:val="0"/>
          <w:divBdr>
            <w:top w:val="none" w:sz="0" w:space="0" w:color="auto"/>
            <w:left w:val="none" w:sz="0" w:space="0" w:color="auto"/>
            <w:bottom w:val="none" w:sz="0" w:space="0" w:color="auto"/>
            <w:right w:val="none" w:sz="0" w:space="0" w:color="auto"/>
          </w:divBdr>
        </w:div>
        <w:div w:id="963734410">
          <w:marLeft w:val="0"/>
          <w:marRight w:val="0"/>
          <w:marTop w:val="0"/>
          <w:marBottom w:val="0"/>
          <w:divBdr>
            <w:top w:val="none" w:sz="0" w:space="0" w:color="auto"/>
            <w:left w:val="none" w:sz="0" w:space="0" w:color="auto"/>
            <w:bottom w:val="none" w:sz="0" w:space="0" w:color="auto"/>
            <w:right w:val="none" w:sz="0" w:space="0" w:color="auto"/>
          </w:divBdr>
        </w:div>
        <w:div w:id="968125453">
          <w:marLeft w:val="0"/>
          <w:marRight w:val="0"/>
          <w:marTop w:val="0"/>
          <w:marBottom w:val="0"/>
          <w:divBdr>
            <w:top w:val="none" w:sz="0" w:space="0" w:color="auto"/>
            <w:left w:val="none" w:sz="0" w:space="0" w:color="auto"/>
            <w:bottom w:val="none" w:sz="0" w:space="0" w:color="auto"/>
            <w:right w:val="none" w:sz="0" w:space="0" w:color="auto"/>
          </w:divBdr>
        </w:div>
        <w:div w:id="1026561503">
          <w:marLeft w:val="0"/>
          <w:marRight w:val="0"/>
          <w:marTop w:val="0"/>
          <w:marBottom w:val="0"/>
          <w:divBdr>
            <w:top w:val="none" w:sz="0" w:space="0" w:color="auto"/>
            <w:left w:val="none" w:sz="0" w:space="0" w:color="auto"/>
            <w:bottom w:val="none" w:sz="0" w:space="0" w:color="auto"/>
            <w:right w:val="none" w:sz="0" w:space="0" w:color="auto"/>
          </w:divBdr>
        </w:div>
        <w:div w:id="1028481555">
          <w:marLeft w:val="0"/>
          <w:marRight w:val="0"/>
          <w:marTop w:val="0"/>
          <w:marBottom w:val="0"/>
          <w:divBdr>
            <w:top w:val="none" w:sz="0" w:space="0" w:color="auto"/>
            <w:left w:val="none" w:sz="0" w:space="0" w:color="auto"/>
            <w:bottom w:val="none" w:sz="0" w:space="0" w:color="auto"/>
            <w:right w:val="none" w:sz="0" w:space="0" w:color="auto"/>
          </w:divBdr>
        </w:div>
        <w:div w:id="1049379770">
          <w:marLeft w:val="0"/>
          <w:marRight w:val="0"/>
          <w:marTop w:val="0"/>
          <w:marBottom w:val="0"/>
          <w:divBdr>
            <w:top w:val="none" w:sz="0" w:space="0" w:color="auto"/>
            <w:left w:val="none" w:sz="0" w:space="0" w:color="auto"/>
            <w:bottom w:val="none" w:sz="0" w:space="0" w:color="auto"/>
            <w:right w:val="none" w:sz="0" w:space="0" w:color="auto"/>
          </w:divBdr>
        </w:div>
        <w:div w:id="1071343370">
          <w:marLeft w:val="0"/>
          <w:marRight w:val="0"/>
          <w:marTop w:val="0"/>
          <w:marBottom w:val="0"/>
          <w:divBdr>
            <w:top w:val="none" w:sz="0" w:space="0" w:color="auto"/>
            <w:left w:val="none" w:sz="0" w:space="0" w:color="auto"/>
            <w:bottom w:val="none" w:sz="0" w:space="0" w:color="auto"/>
            <w:right w:val="none" w:sz="0" w:space="0" w:color="auto"/>
          </w:divBdr>
        </w:div>
        <w:div w:id="1089424807">
          <w:marLeft w:val="0"/>
          <w:marRight w:val="0"/>
          <w:marTop w:val="0"/>
          <w:marBottom w:val="0"/>
          <w:divBdr>
            <w:top w:val="none" w:sz="0" w:space="0" w:color="auto"/>
            <w:left w:val="none" w:sz="0" w:space="0" w:color="auto"/>
            <w:bottom w:val="none" w:sz="0" w:space="0" w:color="auto"/>
            <w:right w:val="none" w:sz="0" w:space="0" w:color="auto"/>
          </w:divBdr>
        </w:div>
        <w:div w:id="1096905591">
          <w:marLeft w:val="0"/>
          <w:marRight w:val="0"/>
          <w:marTop w:val="0"/>
          <w:marBottom w:val="0"/>
          <w:divBdr>
            <w:top w:val="none" w:sz="0" w:space="0" w:color="auto"/>
            <w:left w:val="none" w:sz="0" w:space="0" w:color="auto"/>
            <w:bottom w:val="none" w:sz="0" w:space="0" w:color="auto"/>
            <w:right w:val="none" w:sz="0" w:space="0" w:color="auto"/>
          </w:divBdr>
        </w:div>
        <w:div w:id="1121412650">
          <w:marLeft w:val="0"/>
          <w:marRight w:val="0"/>
          <w:marTop w:val="0"/>
          <w:marBottom w:val="0"/>
          <w:divBdr>
            <w:top w:val="none" w:sz="0" w:space="0" w:color="auto"/>
            <w:left w:val="none" w:sz="0" w:space="0" w:color="auto"/>
            <w:bottom w:val="none" w:sz="0" w:space="0" w:color="auto"/>
            <w:right w:val="none" w:sz="0" w:space="0" w:color="auto"/>
          </w:divBdr>
        </w:div>
        <w:div w:id="1128623790">
          <w:marLeft w:val="0"/>
          <w:marRight w:val="0"/>
          <w:marTop w:val="0"/>
          <w:marBottom w:val="0"/>
          <w:divBdr>
            <w:top w:val="none" w:sz="0" w:space="0" w:color="auto"/>
            <w:left w:val="none" w:sz="0" w:space="0" w:color="auto"/>
            <w:bottom w:val="none" w:sz="0" w:space="0" w:color="auto"/>
            <w:right w:val="none" w:sz="0" w:space="0" w:color="auto"/>
          </w:divBdr>
        </w:div>
        <w:div w:id="1163351967">
          <w:marLeft w:val="0"/>
          <w:marRight w:val="0"/>
          <w:marTop w:val="0"/>
          <w:marBottom w:val="0"/>
          <w:divBdr>
            <w:top w:val="none" w:sz="0" w:space="0" w:color="auto"/>
            <w:left w:val="none" w:sz="0" w:space="0" w:color="auto"/>
            <w:bottom w:val="none" w:sz="0" w:space="0" w:color="auto"/>
            <w:right w:val="none" w:sz="0" w:space="0" w:color="auto"/>
          </w:divBdr>
        </w:div>
        <w:div w:id="1174033516">
          <w:marLeft w:val="0"/>
          <w:marRight w:val="0"/>
          <w:marTop w:val="0"/>
          <w:marBottom w:val="0"/>
          <w:divBdr>
            <w:top w:val="none" w:sz="0" w:space="0" w:color="auto"/>
            <w:left w:val="none" w:sz="0" w:space="0" w:color="auto"/>
            <w:bottom w:val="none" w:sz="0" w:space="0" w:color="auto"/>
            <w:right w:val="none" w:sz="0" w:space="0" w:color="auto"/>
          </w:divBdr>
        </w:div>
        <w:div w:id="1281231080">
          <w:marLeft w:val="0"/>
          <w:marRight w:val="0"/>
          <w:marTop w:val="0"/>
          <w:marBottom w:val="0"/>
          <w:divBdr>
            <w:top w:val="none" w:sz="0" w:space="0" w:color="auto"/>
            <w:left w:val="none" w:sz="0" w:space="0" w:color="auto"/>
            <w:bottom w:val="none" w:sz="0" w:space="0" w:color="auto"/>
            <w:right w:val="none" w:sz="0" w:space="0" w:color="auto"/>
          </w:divBdr>
        </w:div>
        <w:div w:id="1330133295">
          <w:marLeft w:val="0"/>
          <w:marRight w:val="0"/>
          <w:marTop w:val="0"/>
          <w:marBottom w:val="0"/>
          <w:divBdr>
            <w:top w:val="none" w:sz="0" w:space="0" w:color="auto"/>
            <w:left w:val="none" w:sz="0" w:space="0" w:color="auto"/>
            <w:bottom w:val="none" w:sz="0" w:space="0" w:color="auto"/>
            <w:right w:val="none" w:sz="0" w:space="0" w:color="auto"/>
          </w:divBdr>
        </w:div>
        <w:div w:id="1332175660">
          <w:marLeft w:val="0"/>
          <w:marRight w:val="0"/>
          <w:marTop w:val="0"/>
          <w:marBottom w:val="0"/>
          <w:divBdr>
            <w:top w:val="none" w:sz="0" w:space="0" w:color="auto"/>
            <w:left w:val="none" w:sz="0" w:space="0" w:color="auto"/>
            <w:bottom w:val="none" w:sz="0" w:space="0" w:color="auto"/>
            <w:right w:val="none" w:sz="0" w:space="0" w:color="auto"/>
          </w:divBdr>
        </w:div>
        <w:div w:id="1336493092">
          <w:marLeft w:val="0"/>
          <w:marRight w:val="0"/>
          <w:marTop w:val="0"/>
          <w:marBottom w:val="0"/>
          <w:divBdr>
            <w:top w:val="none" w:sz="0" w:space="0" w:color="auto"/>
            <w:left w:val="none" w:sz="0" w:space="0" w:color="auto"/>
            <w:bottom w:val="none" w:sz="0" w:space="0" w:color="auto"/>
            <w:right w:val="none" w:sz="0" w:space="0" w:color="auto"/>
          </w:divBdr>
        </w:div>
        <w:div w:id="1341153728">
          <w:marLeft w:val="0"/>
          <w:marRight w:val="0"/>
          <w:marTop w:val="0"/>
          <w:marBottom w:val="0"/>
          <w:divBdr>
            <w:top w:val="none" w:sz="0" w:space="0" w:color="auto"/>
            <w:left w:val="none" w:sz="0" w:space="0" w:color="auto"/>
            <w:bottom w:val="none" w:sz="0" w:space="0" w:color="auto"/>
            <w:right w:val="none" w:sz="0" w:space="0" w:color="auto"/>
          </w:divBdr>
        </w:div>
        <w:div w:id="1421833143">
          <w:marLeft w:val="0"/>
          <w:marRight w:val="0"/>
          <w:marTop w:val="0"/>
          <w:marBottom w:val="0"/>
          <w:divBdr>
            <w:top w:val="none" w:sz="0" w:space="0" w:color="auto"/>
            <w:left w:val="none" w:sz="0" w:space="0" w:color="auto"/>
            <w:bottom w:val="none" w:sz="0" w:space="0" w:color="auto"/>
            <w:right w:val="none" w:sz="0" w:space="0" w:color="auto"/>
          </w:divBdr>
        </w:div>
        <w:div w:id="1446075170">
          <w:marLeft w:val="0"/>
          <w:marRight w:val="0"/>
          <w:marTop w:val="0"/>
          <w:marBottom w:val="0"/>
          <w:divBdr>
            <w:top w:val="none" w:sz="0" w:space="0" w:color="auto"/>
            <w:left w:val="none" w:sz="0" w:space="0" w:color="auto"/>
            <w:bottom w:val="none" w:sz="0" w:space="0" w:color="auto"/>
            <w:right w:val="none" w:sz="0" w:space="0" w:color="auto"/>
          </w:divBdr>
        </w:div>
        <w:div w:id="1460300575">
          <w:marLeft w:val="0"/>
          <w:marRight w:val="0"/>
          <w:marTop w:val="0"/>
          <w:marBottom w:val="0"/>
          <w:divBdr>
            <w:top w:val="none" w:sz="0" w:space="0" w:color="auto"/>
            <w:left w:val="none" w:sz="0" w:space="0" w:color="auto"/>
            <w:bottom w:val="none" w:sz="0" w:space="0" w:color="auto"/>
            <w:right w:val="none" w:sz="0" w:space="0" w:color="auto"/>
          </w:divBdr>
        </w:div>
        <w:div w:id="1506744658">
          <w:marLeft w:val="0"/>
          <w:marRight w:val="0"/>
          <w:marTop w:val="0"/>
          <w:marBottom w:val="0"/>
          <w:divBdr>
            <w:top w:val="none" w:sz="0" w:space="0" w:color="auto"/>
            <w:left w:val="none" w:sz="0" w:space="0" w:color="auto"/>
            <w:bottom w:val="none" w:sz="0" w:space="0" w:color="auto"/>
            <w:right w:val="none" w:sz="0" w:space="0" w:color="auto"/>
          </w:divBdr>
        </w:div>
        <w:div w:id="1588926811">
          <w:marLeft w:val="0"/>
          <w:marRight w:val="0"/>
          <w:marTop w:val="0"/>
          <w:marBottom w:val="0"/>
          <w:divBdr>
            <w:top w:val="none" w:sz="0" w:space="0" w:color="auto"/>
            <w:left w:val="none" w:sz="0" w:space="0" w:color="auto"/>
            <w:bottom w:val="none" w:sz="0" w:space="0" w:color="auto"/>
            <w:right w:val="none" w:sz="0" w:space="0" w:color="auto"/>
          </w:divBdr>
        </w:div>
        <w:div w:id="1602060239">
          <w:marLeft w:val="0"/>
          <w:marRight w:val="0"/>
          <w:marTop w:val="0"/>
          <w:marBottom w:val="0"/>
          <w:divBdr>
            <w:top w:val="none" w:sz="0" w:space="0" w:color="auto"/>
            <w:left w:val="none" w:sz="0" w:space="0" w:color="auto"/>
            <w:bottom w:val="none" w:sz="0" w:space="0" w:color="auto"/>
            <w:right w:val="none" w:sz="0" w:space="0" w:color="auto"/>
          </w:divBdr>
        </w:div>
        <w:div w:id="1637562428">
          <w:marLeft w:val="0"/>
          <w:marRight w:val="0"/>
          <w:marTop w:val="0"/>
          <w:marBottom w:val="0"/>
          <w:divBdr>
            <w:top w:val="none" w:sz="0" w:space="0" w:color="auto"/>
            <w:left w:val="none" w:sz="0" w:space="0" w:color="auto"/>
            <w:bottom w:val="none" w:sz="0" w:space="0" w:color="auto"/>
            <w:right w:val="none" w:sz="0" w:space="0" w:color="auto"/>
          </w:divBdr>
        </w:div>
        <w:div w:id="1676415457">
          <w:marLeft w:val="0"/>
          <w:marRight w:val="0"/>
          <w:marTop w:val="0"/>
          <w:marBottom w:val="0"/>
          <w:divBdr>
            <w:top w:val="none" w:sz="0" w:space="0" w:color="auto"/>
            <w:left w:val="none" w:sz="0" w:space="0" w:color="auto"/>
            <w:bottom w:val="none" w:sz="0" w:space="0" w:color="auto"/>
            <w:right w:val="none" w:sz="0" w:space="0" w:color="auto"/>
          </w:divBdr>
        </w:div>
        <w:div w:id="1750809035">
          <w:marLeft w:val="0"/>
          <w:marRight w:val="0"/>
          <w:marTop w:val="0"/>
          <w:marBottom w:val="0"/>
          <w:divBdr>
            <w:top w:val="none" w:sz="0" w:space="0" w:color="auto"/>
            <w:left w:val="none" w:sz="0" w:space="0" w:color="auto"/>
            <w:bottom w:val="none" w:sz="0" w:space="0" w:color="auto"/>
            <w:right w:val="none" w:sz="0" w:space="0" w:color="auto"/>
          </w:divBdr>
        </w:div>
        <w:div w:id="1754738175">
          <w:marLeft w:val="0"/>
          <w:marRight w:val="0"/>
          <w:marTop w:val="0"/>
          <w:marBottom w:val="0"/>
          <w:divBdr>
            <w:top w:val="none" w:sz="0" w:space="0" w:color="auto"/>
            <w:left w:val="none" w:sz="0" w:space="0" w:color="auto"/>
            <w:bottom w:val="none" w:sz="0" w:space="0" w:color="auto"/>
            <w:right w:val="none" w:sz="0" w:space="0" w:color="auto"/>
          </w:divBdr>
        </w:div>
        <w:div w:id="1803227007">
          <w:marLeft w:val="0"/>
          <w:marRight w:val="0"/>
          <w:marTop w:val="0"/>
          <w:marBottom w:val="0"/>
          <w:divBdr>
            <w:top w:val="none" w:sz="0" w:space="0" w:color="auto"/>
            <w:left w:val="none" w:sz="0" w:space="0" w:color="auto"/>
            <w:bottom w:val="none" w:sz="0" w:space="0" w:color="auto"/>
            <w:right w:val="none" w:sz="0" w:space="0" w:color="auto"/>
          </w:divBdr>
        </w:div>
        <w:div w:id="1858541077">
          <w:marLeft w:val="0"/>
          <w:marRight w:val="0"/>
          <w:marTop w:val="0"/>
          <w:marBottom w:val="0"/>
          <w:divBdr>
            <w:top w:val="none" w:sz="0" w:space="0" w:color="auto"/>
            <w:left w:val="none" w:sz="0" w:space="0" w:color="auto"/>
            <w:bottom w:val="none" w:sz="0" w:space="0" w:color="auto"/>
            <w:right w:val="none" w:sz="0" w:space="0" w:color="auto"/>
          </w:divBdr>
        </w:div>
        <w:div w:id="2043433931">
          <w:marLeft w:val="0"/>
          <w:marRight w:val="0"/>
          <w:marTop w:val="0"/>
          <w:marBottom w:val="0"/>
          <w:divBdr>
            <w:top w:val="none" w:sz="0" w:space="0" w:color="auto"/>
            <w:left w:val="none" w:sz="0" w:space="0" w:color="auto"/>
            <w:bottom w:val="none" w:sz="0" w:space="0" w:color="auto"/>
            <w:right w:val="none" w:sz="0" w:space="0" w:color="auto"/>
          </w:divBdr>
        </w:div>
        <w:div w:id="2043632538">
          <w:marLeft w:val="0"/>
          <w:marRight w:val="0"/>
          <w:marTop w:val="0"/>
          <w:marBottom w:val="0"/>
          <w:divBdr>
            <w:top w:val="none" w:sz="0" w:space="0" w:color="auto"/>
            <w:left w:val="none" w:sz="0" w:space="0" w:color="auto"/>
            <w:bottom w:val="none" w:sz="0" w:space="0" w:color="auto"/>
            <w:right w:val="none" w:sz="0" w:space="0" w:color="auto"/>
          </w:divBdr>
        </w:div>
        <w:div w:id="2053073615">
          <w:marLeft w:val="0"/>
          <w:marRight w:val="0"/>
          <w:marTop w:val="0"/>
          <w:marBottom w:val="0"/>
          <w:divBdr>
            <w:top w:val="none" w:sz="0" w:space="0" w:color="auto"/>
            <w:left w:val="none" w:sz="0" w:space="0" w:color="auto"/>
            <w:bottom w:val="none" w:sz="0" w:space="0" w:color="auto"/>
            <w:right w:val="none" w:sz="0" w:space="0" w:color="auto"/>
          </w:divBdr>
        </w:div>
        <w:div w:id="2089766744">
          <w:marLeft w:val="0"/>
          <w:marRight w:val="0"/>
          <w:marTop w:val="0"/>
          <w:marBottom w:val="0"/>
          <w:divBdr>
            <w:top w:val="none" w:sz="0" w:space="0" w:color="auto"/>
            <w:left w:val="none" w:sz="0" w:space="0" w:color="auto"/>
            <w:bottom w:val="none" w:sz="0" w:space="0" w:color="auto"/>
            <w:right w:val="none" w:sz="0" w:space="0" w:color="auto"/>
          </w:divBdr>
        </w:div>
        <w:div w:id="2108840429">
          <w:marLeft w:val="0"/>
          <w:marRight w:val="0"/>
          <w:marTop w:val="0"/>
          <w:marBottom w:val="0"/>
          <w:divBdr>
            <w:top w:val="none" w:sz="0" w:space="0" w:color="auto"/>
            <w:left w:val="none" w:sz="0" w:space="0" w:color="auto"/>
            <w:bottom w:val="none" w:sz="0" w:space="0" w:color="auto"/>
            <w:right w:val="none" w:sz="0" w:space="0" w:color="auto"/>
          </w:divBdr>
        </w:div>
      </w:divsChild>
    </w:div>
    <w:div w:id="723255425">
      <w:bodyDiv w:val="1"/>
      <w:marLeft w:val="0"/>
      <w:marRight w:val="0"/>
      <w:marTop w:val="0"/>
      <w:marBottom w:val="0"/>
      <w:divBdr>
        <w:top w:val="none" w:sz="0" w:space="0" w:color="auto"/>
        <w:left w:val="none" w:sz="0" w:space="0" w:color="auto"/>
        <w:bottom w:val="none" w:sz="0" w:space="0" w:color="auto"/>
        <w:right w:val="none" w:sz="0" w:space="0" w:color="auto"/>
      </w:divBdr>
    </w:div>
    <w:div w:id="729882567">
      <w:bodyDiv w:val="1"/>
      <w:marLeft w:val="0"/>
      <w:marRight w:val="0"/>
      <w:marTop w:val="0"/>
      <w:marBottom w:val="0"/>
      <w:divBdr>
        <w:top w:val="none" w:sz="0" w:space="0" w:color="auto"/>
        <w:left w:val="none" w:sz="0" w:space="0" w:color="auto"/>
        <w:bottom w:val="none" w:sz="0" w:space="0" w:color="auto"/>
        <w:right w:val="none" w:sz="0" w:space="0" w:color="auto"/>
      </w:divBdr>
    </w:div>
    <w:div w:id="773283562">
      <w:bodyDiv w:val="1"/>
      <w:marLeft w:val="0"/>
      <w:marRight w:val="0"/>
      <w:marTop w:val="0"/>
      <w:marBottom w:val="0"/>
      <w:divBdr>
        <w:top w:val="none" w:sz="0" w:space="0" w:color="auto"/>
        <w:left w:val="none" w:sz="0" w:space="0" w:color="auto"/>
        <w:bottom w:val="none" w:sz="0" w:space="0" w:color="auto"/>
        <w:right w:val="none" w:sz="0" w:space="0" w:color="auto"/>
      </w:divBdr>
    </w:div>
    <w:div w:id="792793805">
      <w:bodyDiv w:val="1"/>
      <w:marLeft w:val="0"/>
      <w:marRight w:val="0"/>
      <w:marTop w:val="0"/>
      <w:marBottom w:val="0"/>
      <w:divBdr>
        <w:top w:val="none" w:sz="0" w:space="0" w:color="auto"/>
        <w:left w:val="none" w:sz="0" w:space="0" w:color="auto"/>
        <w:bottom w:val="none" w:sz="0" w:space="0" w:color="auto"/>
        <w:right w:val="none" w:sz="0" w:space="0" w:color="auto"/>
      </w:divBdr>
    </w:div>
    <w:div w:id="834492579">
      <w:bodyDiv w:val="1"/>
      <w:marLeft w:val="0"/>
      <w:marRight w:val="0"/>
      <w:marTop w:val="0"/>
      <w:marBottom w:val="0"/>
      <w:divBdr>
        <w:top w:val="none" w:sz="0" w:space="0" w:color="auto"/>
        <w:left w:val="none" w:sz="0" w:space="0" w:color="auto"/>
        <w:bottom w:val="none" w:sz="0" w:space="0" w:color="auto"/>
        <w:right w:val="none" w:sz="0" w:space="0" w:color="auto"/>
      </w:divBdr>
      <w:divsChild>
        <w:div w:id="880433374">
          <w:marLeft w:val="0"/>
          <w:marRight w:val="0"/>
          <w:marTop w:val="0"/>
          <w:marBottom w:val="0"/>
          <w:divBdr>
            <w:top w:val="none" w:sz="0" w:space="0" w:color="auto"/>
            <w:left w:val="none" w:sz="0" w:space="0" w:color="auto"/>
            <w:bottom w:val="none" w:sz="0" w:space="0" w:color="auto"/>
            <w:right w:val="none" w:sz="0" w:space="0" w:color="auto"/>
          </w:divBdr>
        </w:div>
        <w:div w:id="1146126163">
          <w:marLeft w:val="0"/>
          <w:marRight w:val="0"/>
          <w:marTop w:val="0"/>
          <w:marBottom w:val="0"/>
          <w:divBdr>
            <w:top w:val="none" w:sz="0" w:space="0" w:color="auto"/>
            <w:left w:val="none" w:sz="0" w:space="0" w:color="auto"/>
            <w:bottom w:val="none" w:sz="0" w:space="0" w:color="auto"/>
            <w:right w:val="none" w:sz="0" w:space="0" w:color="auto"/>
          </w:divBdr>
        </w:div>
        <w:div w:id="1425952563">
          <w:marLeft w:val="0"/>
          <w:marRight w:val="0"/>
          <w:marTop w:val="0"/>
          <w:marBottom w:val="0"/>
          <w:divBdr>
            <w:top w:val="none" w:sz="0" w:space="0" w:color="auto"/>
            <w:left w:val="none" w:sz="0" w:space="0" w:color="auto"/>
            <w:bottom w:val="none" w:sz="0" w:space="0" w:color="auto"/>
            <w:right w:val="none" w:sz="0" w:space="0" w:color="auto"/>
          </w:divBdr>
        </w:div>
        <w:div w:id="1546217868">
          <w:marLeft w:val="0"/>
          <w:marRight w:val="0"/>
          <w:marTop w:val="0"/>
          <w:marBottom w:val="0"/>
          <w:divBdr>
            <w:top w:val="none" w:sz="0" w:space="0" w:color="auto"/>
            <w:left w:val="none" w:sz="0" w:space="0" w:color="auto"/>
            <w:bottom w:val="none" w:sz="0" w:space="0" w:color="auto"/>
            <w:right w:val="none" w:sz="0" w:space="0" w:color="auto"/>
          </w:divBdr>
        </w:div>
        <w:div w:id="1718773309">
          <w:marLeft w:val="0"/>
          <w:marRight w:val="0"/>
          <w:marTop w:val="0"/>
          <w:marBottom w:val="0"/>
          <w:divBdr>
            <w:top w:val="none" w:sz="0" w:space="0" w:color="auto"/>
            <w:left w:val="none" w:sz="0" w:space="0" w:color="auto"/>
            <w:bottom w:val="none" w:sz="0" w:space="0" w:color="auto"/>
            <w:right w:val="none" w:sz="0" w:space="0" w:color="auto"/>
          </w:divBdr>
        </w:div>
        <w:div w:id="1899239584">
          <w:marLeft w:val="0"/>
          <w:marRight w:val="0"/>
          <w:marTop w:val="0"/>
          <w:marBottom w:val="0"/>
          <w:divBdr>
            <w:top w:val="none" w:sz="0" w:space="0" w:color="auto"/>
            <w:left w:val="none" w:sz="0" w:space="0" w:color="auto"/>
            <w:bottom w:val="none" w:sz="0" w:space="0" w:color="auto"/>
            <w:right w:val="none" w:sz="0" w:space="0" w:color="auto"/>
          </w:divBdr>
        </w:div>
      </w:divsChild>
    </w:div>
    <w:div w:id="838232961">
      <w:bodyDiv w:val="1"/>
      <w:marLeft w:val="0"/>
      <w:marRight w:val="0"/>
      <w:marTop w:val="0"/>
      <w:marBottom w:val="0"/>
      <w:divBdr>
        <w:top w:val="none" w:sz="0" w:space="0" w:color="auto"/>
        <w:left w:val="none" w:sz="0" w:space="0" w:color="auto"/>
        <w:bottom w:val="none" w:sz="0" w:space="0" w:color="auto"/>
        <w:right w:val="none" w:sz="0" w:space="0" w:color="auto"/>
      </w:divBdr>
    </w:div>
    <w:div w:id="861550527">
      <w:bodyDiv w:val="1"/>
      <w:marLeft w:val="0"/>
      <w:marRight w:val="0"/>
      <w:marTop w:val="0"/>
      <w:marBottom w:val="0"/>
      <w:divBdr>
        <w:top w:val="none" w:sz="0" w:space="0" w:color="auto"/>
        <w:left w:val="none" w:sz="0" w:space="0" w:color="auto"/>
        <w:bottom w:val="none" w:sz="0" w:space="0" w:color="auto"/>
        <w:right w:val="none" w:sz="0" w:space="0" w:color="auto"/>
      </w:divBdr>
    </w:div>
    <w:div w:id="977153340">
      <w:bodyDiv w:val="1"/>
      <w:marLeft w:val="0"/>
      <w:marRight w:val="0"/>
      <w:marTop w:val="0"/>
      <w:marBottom w:val="0"/>
      <w:divBdr>
        <w:top w:val="none" w:sz="0" w:space="0" w:color="auto"/>
        <w:left w:val="none" w:sz="0" w:space="0" w:color="auto"/>
        <w:bottom w:val="none" w:sz="0" w:space="0" w:color="auto"/>
        <w:right w:val="none" w:sz="0" w:space="0" w:color="auto"/>
      </w:divBdr>
    </w:div>
    <w:div w:id="1041200548">
      <w:bodyDiv w:val="1"/>
      <w:marLeft w:val="0"/>
      <w:marRight w:val="0"/>
      <w:marTop w:val="0"/>
      <w:marBottom w:val="0"/>
      <w:divBdr>
        <w:top w:val="none" w:sz="0" w:space="0" w:color="auto"/>
        <w:left w:val="none" w:sz="0" w:space="0" w:color="auto"/>
        <w:bottom w:val="none" w:sz="0" w:space="0" w:color="auto"/>
        <w:right w:val="none" w:sz="0" w:space="0" w:color="auto"/>
      </w:divBdr>
    </w:div>
    <w:div w:id="1044250968">
      <w:bodyDiv w:val="1"/>
      <w:marLeft w:val="0"/>
      <w:marRight w:val="0"/>
      <w:marTop w:val="0"/>
      <w:marBottom w:val="0"/>
      <w:divBdr>
        <w:top w:val="none" w:sz="0" w:space="0" w:color="auto"/>
        <w:left w:val="none" w:sz="0" w:space="0" w:color="auto"/>
        <w:bottom w:val="none" w:sz="0" w:space="0" w:color="auto"/>
        <w:right w:val="none" w:sz="0" w:space="0" w:color="auto"/>
      </w:divBdr>
      <w:divsChild>
        <w:div w:id="26150987">
          <w:marLeft w:val="0"/>
          <w:marRight w:val="0"/>
          <w:marTop w:val="0"/>
          <w:marBottom w:val="0"/>
          <w:divBdr>
            <w:top w:val="none" w:sz="0" w:space="0" w:color="auto"/>
            <w:left w:val="none" w:sz="0" w:space="0" w:color="auto"/>
            <w:bottom w:val="none" w:sz="0" w:space="0" w:color="auto"/>
            <w:right w:val="none" w:sz="0" w:space="0" w:color="auto"/>
          </w:divBdr>
        </w:div>
        <w:div w:id="109445246">
          <w:marLeft w:val="0"/>
          <w:marRight w:val="0"/>
          <w:marTop w:val="0"/>
          <w:marBottom w:val="0"/>
          <w:divBdr>
            <w:top w:val="none" w:sz="0" w:space="0" w:color="auto"/>
            <w:left w:val="none" w:sz="0" w:space="0" w:color="auto"/>
            <w:bottom w:val="none" w:sz="0" w:space="0" w:color="auto"/>
            <w:right w:val="none" w:sz="0" w:space="0" w:color="auto"/>
          </w:divBdr>
        </w:div>
        <w:div w:id="203715936">
          <w:marLeft w:val="0"/>
          <w:marRight w:val="0"/>
          <w:marTop w:val="0"/>
          <w:marBottom w:val="0"/>
          <w:divBdr>
            <w:top w:val="none" w:sz="0" w:space="0" w:color="auto"/>
            <w:left w:val="none" w:sz="0" w:space="0" w:color="auto"/>
            <w:bottom w:val="none" w:sz="0" w:space="0" w:color="auto"/>
            <w:right w:val="none" w:sz="0" w:space="0" w:color="auto"/>
          </w:divBdr>
        </w:div>
        <w:div w:id="480385967">
          <w:marLeft w:val="0"/>
          <w:marRight w:val="0"/>
          <w:marTop w:val="0"/>
          <w:marBottom w:val="0"/>
          <w:divBdr>
            <w:top w:val="none" w:sz="0" w:space="0" w:color="auto"/>
            <w:left w:val="none" w:sz="0" w:space="0" w:color="auto"/>
            <w:bottom w:val="none" w:sz="0" w:space="0" w:color="auto"/>
            <w:right w:val="none" w:sz="0" w:space="0" w:color="auto"/>
          </w:divBdr>
        </w:div>
        <w:div w:id="540674774">
          <w:marLeft w:val="0"/>
          <w:marRight w:val="0"/>
          <w:marTop w:val="0"/>
          <w:marBottom w:val="0"/>
          <w:divBdr>
            <w:top w:val="none" w:sz="0" w:space="0" w:color="auto"/>
            <w:left w:val="none" w:sz="0" w:space="0" w:color="auto"/>
            <w:bottom w:val="none" w:sz="0" w:space="0" w:color="auto"/>
            <w:right w:val="none" w:sz="0" w:space="0" w:color="auto"/>
          </w:divBdr>
        </w:div>
        <w:div w:id="556236068">
          <w:marLeft w:val="0"/>
          <w:marRight w:val="0"/>
          <w:marTop w:val="0"/>
          <w:marBottom w:val="0"/>
          <w:divBdr>
            <w:top w:val="none" w:sz="0" w:space="0" w:color="auto"/>
            <w:left w:val="none" w:sz="0" w:space="0" w:color="auto"/>
            <w:bottom w:val="none" w:sz="0" w:space="0" w:color="auto"/>
            <w:right w:val="none" w:sz="0" w:space="0" w:color="auto"/>
          </w:divBdr>
        </w:div>
        <w:div w:id="622461192">
          <w:marLeft w:val="0"/>
          <w:marRight w:val="0"/>
          <w:marTop w:val="0"/>
          <w:marBottom w:val="0"/>
          <w:divBdr>
            <w:top w:val="none" w:sz="0" w:space="0" w:color="auto"/>
            <w:left w:val="none" w:sz="0" w:space="0" w:color="auto"/>
            <w:bottom w:val="none" w:sz="0" w:space="0" w:color="auto"/>
            <w:right w:val="none" w:sz="0" w:space="0" w:color="auto"/>
          </w:divBdr>
        </w:div>
        <w:div w:id="887491955">
          <w:marLeft w:val="0"/>
          <w:marRight w:val="0"/>
          <w:marTop w:val="0"/>
          <w:marBottom w:val="0"/>
          <w:divBdr>
            <w:top w:val="none" w:sz="0" w:space="0" w:color="auto"/>
            <w:left w:val="none" w:sz="0" w:space="0" w:color="auto"/>
            <w:bottom w:val="none" w:sz="0" w:space="0" w:color="auto"/>
            <w:right w:val="none" w:sz="0" w:space="0" w:color="auto"/>
          </w:divBdr>
        </w:div>
        <w:div w:id="889540972">
          <w:marLeft w:val="0"/>
          <w:marRight w:val="0"/>
          <w:marTop w:val="0"/>
          <w:marBottom w:val="0"/>
          <w:divBdr>
            <w:top w:val="none" w:sz="0" w:space="0" w:color="auto"/>
            <w:left w:val="none" w:sz="0" w:space="0" w:color="auto"/>
            <w:bottom w:val="none" w:sz="0" w:space="0" w:color="auto"/>
            <w:right w:val="none" w:sz="0" w:space="0" w:color="auto"/>
          </w:divBdr>
        </w:div>
        <w:div w:id="1065300457">
          <w:marLeft w:val="0"/>
          <w:marRight w:val="0"/>
          <w:marTop w:val="0"/>
          <w:marBottom w:val="0"/>
          <w:divBdr>
            <w:top w:val="none" w:sz="0" w:space="0" w:color="auto"/>
            <w:left w:val="none" w:sz="0" w:space="0" w:color="auto"/>
            <w:bottom w:val="none" w:sz="0" w:space="0" w:color="auto"/>
            <w:right w:val="none" w:sz="0" w:space="0" w:color="auto"/>
          </w:divBdr>
        </w:div>
        <w:div w:id="1185944244">
          <w:marLeft w:val="0"/>
          <w:marRight w:val="0"/>
          <w:marTop w:val="0"/>
          <w:marBottom w:val="0"/>
          <w:divBdr>
            <w:top w:val="none" w:sz="0" w:space="0" w:color="auto"/>
            <w:left w:val="none" w:sz="0" w:space="0" w:color="auto"/>
            <w:bottom w:val="none" w:sz="0" w:space="0" w:color="auto"/>
            <w:right w:val="none" w:sz="0" w:space="0" w:color="auto"/>
          </w:divBdr>
        </w:div>
        <w:div w:id="1294600653">
          <w:marLeft w:val="0"/>
          <w:marRight w:val="0"/>
          <w:marTop w:val="0"/>
          <w:marBottom w:val="0"/>
          <w:divBdr>
            <w:top w:val="none" w:sz="0" w:space="0" w:color="auto"/>
            <w:left w:val="none" w:sz="0" w:space="0" w:color="auto"/>
            <w:bottom w:val="none" w:sz="0" w:space="0" w:color="auto"/>
            <w:right w:val="none" w:sz="0" w:space="0" w:color="auto"/>
          </w:divBdr>
        </w:div>
        <w:div w:id="1331526376">
          <w:marLeft w:val="0"/>
          <w:marRight w:val="0"/>
          <w:marTop w:val="0"/>
          <w:marBottom w:val="0"/>
          <w:divBdr>
            <w:top w:val="none" w:sz="0" w:space="0" w:color="auto"/>
            <w:left w:val="none" w:sz="0" w:space="0" w:color="auto"/>
            <w:bottom w:val="none" w:sz="0" w:space="0" w:color="auto"/>
            <w:right w:val="none" w:sz="0" w:space="0" w:color="auto"/>
          </w:divBdr>
        </w:div>
        <w:div w:id="1333798651">
          <w:marLeft w:val="0"/>
          <w:marRight w:val="0"/>
          <w:marTop w:val="0"/>
          <w:marBottom w:val="0"/>
          <w:divBdr>
            <w:top w:val="none" w:sz="0" w:space="0" w:color="auto"/>
            <w:left w:val="none" w:sz="0" w:space="0" w:color="auto"/>
            <w:bottom w:val="none" w:sz="0" w:space="0" w:color="auto"/>
            <w:right w:val="none" w:sz="0" w:space="0" w:color="auto"/>
          </w:divBdr>
        </w:div>
        <w:div w:id="1557744501">
          <w:marLeft w:val="0"/>
          <w:marRight w:val="0"/>
          <w:marTop w:val="0"/>
          <w:marBottom w:val="0"/>
          <w:divBdr>
            <w:top w:val="none" w:sz="0" w:space="0" w:color="auto"/>
            <w:left w:val="none" w:sz="0" w:space="0" w:color="auto"/>
            <w:bottom w:val="none" w:sz="0" w:space="0" w:color="auto"/>
            <w:right w:val="none" w:sz="0" w:space="0" w:color="auto"/>
          </w:divBdr>
        </w:div>
        <w:div w:id="1592010677">
          <w:marLeft w:val="0"/>
          <w:marRight w:val="0"/>
          <w:marTop w:val="0"/>
          <w:marBottom w:val="0"/>
          <w:divBdr>
            <w:top w:val="none" w:sz="0" w:space="0" w:color="auto"/>
            <w:left w:val="none" w:sz="0" w:space="0" w:color="auto"/>
            <w:bottom w:val="none" w:sz="0" w:space="0" w:color="auto"/>
            <w:right w:val="none" w:sz="0" w:space="0" w:color="auto"/>
          </w:divBdr>
        </w:div>
        <w:div w:id="1904297090">
          <w:marLeft w:val="0"/>
          <w:marRight w:val="0"/>
          <w:marTop w:val="0"/>
          <w:marBottom w:val="0"/>
          <w:divBdr>
            <w:top w:val="none" w:sz="0" w:space="0" w:color="auto"/>
            <w:left w:val="none" w:sz="0" w:space="0" w:color="auto"/>
            <w:bottom w:val="none" w:sz="0" w:space="0" w:color="auto"/>
            <w:right w:val="none" w:sz="0" w:space="0" w:color="auto"/>
          </w:divBdr>
        </w:div>
        <w:div w:id="2018536858">
          <w:marLeft w:val="0"/>
          <w:marRight w:val="0"/>
          <w:marTop w:val="0"/>
          <w:marBottom w:val="0"/>
          <w:divBdr>
            <w:top w:val="none" w:sz="0" w:space="0" w:color="auto"/>
            <w:left w:val="none" w:sz="0" w:space="0" w:color="auto"/>
            <w:bottom w:val="none" w:sz="0" w:space="0" w:color="auto"/>
            <w:right w:val="none" w:sz="0" w:space="0" w:color="auto"/>
          </w:divBdr>
        </w:div>
        <w:div w:id="2091778422">
          <w:marLeft w:val="0"/>
          <w:marRight w:val="0"/>
          <w:marTop w:val="0"/>
          <w:marBottom w:val="0"/>
          <w:divBdr>
            <w:top w:val="none" w:sz="0" w:space="0" w:color="auto"/>
            <w:left w:val="none" w:sz="0" w:space="0" w:color="auto"/>
            <w:bottom w:val="none" w:sz="0" w:space="0" w:color="auto"/>
            <w:right w:val="none" w:sz="0" w:space="0" w:color="auto"/>
          </w:divBdr>
        </w:div>
        <w:div w:id="2127772400">
          <w:marLeft w:val="0"/>
          <w:marRight w:val="0"/>
          <w:marTop w:val="0"/>
          <w:marBottom w:val="0"/>
          <w:divBdr>
            <w:top w:val="none" w:sz="0" w:space="0" w:color="auto"/>
            <w:left w:val="none" w:sz="0" w:space="0" w:color="auto"/>
            <w:bottom w:val="none" w:sz="0" w:space="0" w:color="auto"/>
            <w:right w:val="none" w:sz="0" w:space="0" w:color="auto"/>
          </w:divBdr>
        </w:div>
      </w:divsChild>
    </w:div>
    <w:div w:id="1201891600">
      <w:bodyDiv w:val="1"/>
      <w:marLeft w:val="0"/>
      <w:marRight w:val="0"/>
      <w:marTop w:val="0"/>
      <w:marBottom w:val="0"/>
      <w:divBdr>
        <w:top w:val="none" w:sz="0" w:space="0" w:color="auto"/>
        <w:left w:val="none" w:sz="0" w:space="0" w:color="auto"/>
        <w:bottom w:val="none" w:sz="0" w:space="0" w:color="auto"/>
        <w:right w:val="none" w:sz="0" w:space="0" w:color="auto"/>
      </w:divBdr>
    </w:div>
    <w:div w:id="1203637174">
      <w:bodyDiv w:val="1"/>
      <w:marLeft w:val="0"/>
      <w:marRight w:val="0"/>
      <w:marTop w:val="0"/>
      <w:marBottom w:val="0"/>
      <w:divBdr>
        <w:top w:val="none" w:sz="0" w:space="0" w:color="auto"/>
        <w:left w:val="none" w:sz="0" w:space="0" w:color="auto"/>
        <w:bottom w:val="none" w:sz="0" w:space="0" w:color="auto"/>
        <w:right w:val="none" w:sz="0" w:space="0" w:color="auto"/>
      </w:divBdr>
      <w:divsChild>
        <w:div w:id="304624629">
          <w:marLeft w:val="0"/>
          <w:marRight w:val="0"/>
          <w:marTop w:val="0"/>
          <w:marBottom w:val="0"/>
          <w:divBdr>
            <w:top w:val="none" w:sz="0" w:space="0" w:color="auto"/>
            <w:left w:val="none" w:sz="0" w:space="0" w:color="auto"/>
            <w:bottom w:val="none" w:sz="0" w:space="0" w:color="auto"/>
            <w:right w:val="none" w:sz="0" w:space="0" w:color="auto"/>
          </w:divBdr>
        </w:div>
        <w:div w:id="668102715">
          <w:marLeft w:val="0"/>
          <w:marRight w:val="0"/>
          <w:marTop w:val="0"/>
          <w:marBottom w:val="0"/>
          <w:divBdr>
            <w:top w:val="none" w:sz="0" w:space="0" w:color="auto"/>
            <w:left w:val="none" w:sz="0" w:space="0" w:color="auto"/>
            <w:bottom w:val="none" w:sz="0" w:space="0" w:color="auto"/>
            <w:right w:val="none" w:sz="0" w:space="0" w:color="auto"/>
          </w:divBdr>
        </w:div>
        <w:div w:id="679089122">
          <w:marLeft w:val="0"/>
          <w:marRight w:val="0"/>
          <w:marTop w:val="0"/>
          <w:marBottom w:val="0"/>
          <w:divBdr>
            <w:top w:val="none" w:sz="0" w:space="0" w:color="auto"/>
            <w:left w:val="none" w:sz="0" w:space="0" w:color="auto"/>
            <w:bottom w:val="none" w:sz="0" w:space="0" w:color="auto"/>
            <w:right w:val="none" w:sz="0" w:space="0" w:color="auto"/>
          </w:divBdr>
        </w:div>
        <w:div w:id="1599488718">
          <w:marLeft w:val="0"/>
          <w:marRight w:val="0"/>
          <w:marTop w:val="0"/>
          <w:marBottom w:val="0"/>
          <w:divBdr>
            <w:top w:val="none" w:sz="0" w:space="0" w:color="auto"/>
            <w:left w:val="none" w:sz="0" w:space="0" w:color="auto"/>
            <w:bottom w:val="none" w:sz="0" w:space="0" w:color="auto"/>
            <w:right w:val="none" w:sz="0" w:space="0" w:color="auto"/>
          </w:divBdr>
        </w:div>
        <w:div w:id="1712532192">
          <w:marLeft w:val="0"/>
          <w:marRight w:val="0"/>
          <w:marTop w:val="0"/>
          <w:marBottom w:val="0"/>
          <w:divBdr>
            <w:top w:val="none" w:sz="0" w:space="0" w:color="auto"/>
            <w:left w:val="none" w:sz="0" w:space="0" w:color="auto"/>
            <w:bottom w:val="none" w:sz="0" w:space="0" w:color="auto"/>
            <w:right w:val="none" w:sz="0" w:space="0" w:color="auto"/>
          </w:divBdr>
        </w:div>
        <w:div w:id="1863009849">
          <w:marLeft w:val="0"/>
          <w:marRight w:val="0"/>
          <w:marTop w:val="0"/>
          <w:marBottom w:val="0"/>
          <w:divBdr>
            <w:top w:val="none" w:sz="0" w:space="0" w:color="auto"/>
            <w:left w:val="none" w:sz="0" w:space="0" w:color="auto"/>
            <w:bottom w:val="none" w:sz="0" w:space="0" w:color="auto"/>
            <w:right w:val="none" w:sz="0" w:space="0" w:color="auto"/>
          </w:divBdr>
        </w:div>
      </w:divsChild>
    </w:div>
    <w:div w:id="1206408384">
      <w:bodyDiv w:val="1"/>
      <w:marLeft w:val="0"/>
      <w:marRight w:val="0"/>
      <w:marTop w:val="0"/>
      <w:marBottom w:val="0"/>
      <w:divBdr>
        <w:top w:val="none" w:sz="0" w:space="0" w:color="auto"/>
        <w:left w:val="none" w:sz="0" w:space="0" w:color="auto"/>
        <w:bottom w:val="none" w:sz="0" w:space="0" w:color="auto"/>
        <w:right w:val="none" w:sz="0" w:space="0" w:color="auto"/>
      </w:divBdr>
    </w:div>
    <w:div w:id="1215122441">
      <w:bodyDiv w:val="1"/>
      <w:marLeft w:val="0"/>
      <w:marRight w:val="0"/>
      <w:marTop w:val="0"/>
      <w:marBottom w:val="0"/>
      <w:divBdr>
        <w:top w:val="none" w:sz="0" w:space="0" w:color="auto"/>
        <w:left w:val="none" w:sz="0" w:space="0" w:color="auto"/>
        <w:bottom w:val="none" w:sz="0" w:space="0" w:color="auto"/>
        <w:right w:val="none" w:sz="0" w:space="0" w:color="auto"/>
      </w:divBdr>
      <w:divsChild>
        <w:div w:id="132405016">
          <w:marLeft w:val="0"/>
          <w:marRight w:val="0"/>
          <w:marTop w:val="0"/>
          <w:marBottom w:val="0"/>
          <w:divBdr>
            <w:top w:val="none" w:sz="0" w:space="0" w:color="auto"/>
            <w:left w:val="none" w:sz="0" w:space="0" w:color="auto"/>
            <w:bottom w:val="none" w:sz="0" w:space="0" w:color="auto"/>
            <w:right w:val="none" w:sz="0" w:space="0" w:color="auto"/>
          </w:divBdr>
          <w:divsChild>
            <w:div w:id="251670988">
              <w:marLeft w:val="0"/>
              <w:marRight w:val="0"/>
              <w:marTop w:val="0"/>
              <w:marBottom w:val="0"/>
              <w:divBdr>
                <w:top w:val="none" w:sz="0" w:space="0" w:color="auto"/>
                <w:left w:val="none" w:sz="0" w:space="0" w:color="auto"/>
                <w:bottom w:val="none" w:sz="0" w:space="0" w:color="auto"/>
                <w:right w:val="none" w:sz="0" w:space="0" w:color="auto"/>
              </w:divBdr>
            </w:div>
            <w:div w:id="947397907">
              <w:marLeft w:val="0"/>
              <w:marRight w:val="0"/>
              <w:marTop w:val="0"/>
              <w:marBottom w:val="0"/>
              <w:divBdr>
                <w:top w:val="none" w:sz="0" w:space="0" w:color="auto"/>
                <w:left w:val="none" w:sz="0" w:space="0" w:color="auto"/>
                <w:bottom w:val="none" w:sz="0" w:space="0" w:color="auto"/>
                <w:right w:val="none" w:sz="0" w:space="0" w:color="auto"/>
              </w:divBdr>
            </w:div>
            <w:div w:id="153754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7848">
      <w:bodyDiv w:val="1"/>
      <w:marLeft w:val="0"/>
      <w:marRight w:val="0"/>
      <w:marTop w:val="0"/>
      <w:marBottom w:val="0"/>
      <w:divBdr>
        <w:top w:val="none" w:sz="0" w:space="0" w:color="auto"/>
        <w:left w:val="none" w:sz="0" w:space="0" w:color="auto"/>
        <w:bottom w:val="none" w:sz="0" w:space="0" w:color="auto"/>
        <w:right w:val="none" w:sz="0" w:space="0" w:color="auto"/>
      </w:divBdr>
      <w:divsChild>
        <w:div w:id="14158999">
          <w:marLeft w:val="0"/>
          <w:marRight w:val="0"/>
          <w:marTop w:val="0"/>
          <w:marBottom w:val="0"/>
          <w:divBdr>
            <w:top w:val="none" w:sz="0" w:space="0" w:color="auto"/>
            <w:left w:val="none" w:sz="0" w:space="0" w:color="auto"/>
            <w:bottom w:val="none" w:sz="0" w:space="0" w:color="auto"/>
            <w:right w:val="none" w:sz="0" w:space="0" w:color="auto"/>
          </w:divBdr>
        </w:div>
        <w:div w:id="53966976">
          <w:marLeft w:val="0"/>
          <w:marRight w:val="0"/>
          <w:marTop w:val="0"/>
          <w:marBottom w:val="0"/>
          <w:divBdr>
            <w:top w:val="none" w:sz="0" w:space="0" w:color="auto"/>
            <w:left w:val="none" w:sz="0" w:space="0" w:color="auto"/>
            <w:bottom w:val="none" w:sz="0" w:space="0" w:color="auto"/>
            <w:right w:val="none" w:sz="0" w:space="0" w:color="auto"/>
          </w:divBdr>
        </w:div>
        <w:div w:id="81805924">
          <w:marLeft w:val="0"/>
          <w:marRight w:val="0"/>
          <w:marTop w:val="0"/>
          <w:marBottom w:val="0"/>
          <w:divBdr>
            <w:top w:val="none" w:sz="0" w:space="0" w:color="auto"/>
            <w:left w:val="none" w:sz="0" w:space="0" w:color="auto"/>
            <w:bottom w:val="none" w:sz="0" w:space="0" w:color="auto"/>
            <w:right w:val="none" w:sz="0" w:space="0" w:color="auto"/>
          </w:divBdr>
        </w:div>
        <w:div w:id="244000559">
          <w:marLeft w:val="0"/>
          <w:marRight w:val="0"/>
          <w:marTop w:val="0"/>
          <w:marBottom w:val="0"/>
          <w:divBdr>
            <w:top w:val="none" w:sz="0" w:space="0" w:color="auto"/>
            <w:left w:val="none" w:sz="0" w:space="0" w:color="auto"/>
            <w:bottom w:val="none" w:sz="0" w:space="0" w:color="auto"/>
            <w:right w:val="none" w:sz="0" w:space="0" w:color="auto"/>
          </w:divBdr>
        </w:div>
        <w:div w:id="254091542">
          <w:marLeft w:val="0"/>
          <w:marRight w:val="0"/>
          <w:marTop w:val="0"/>
          <w:marBottom w:val="0"/>
          <w:divBdr>
            <w:top w:val="none" w:sz="0" w:space="0" w:color="auto"/>
            <w:left w:val="none" w:sz="0" w:space="0" w:color="auto"/>
            <w:bottom w:val="none" w:sz="0" w:space="0" w:color="auto"/>
            <w:right w:val="none" w:sz="0" w:space="0" w:color="auto"/>
          </w:divBdr>
        </w:div>
        <w:div w:id="267081775">
          <w:marLeft w:val="0"/>
          <w:marRight w:val="0"/>
          <w:marTop w:val="0"/>
          <w:marBottom w:val="0"/>
          <w:divBdr>
            <w:top w:val="none" w:sz="0" w:space="0" w:color="auto"/>
            <w:left w:val="none" w:sz="0" w:space="0" w:color="auto"/>
            <w:bottom w:val="none" w:sz="0" w:space="0" w:color="auto"/>
            <w:right w:val="none" w:sz="0" w:space="0" w:color="auto"/>
          </w:divBdr>
        </w:div>
        <w:div w:id="299112213">
          <w:marLeft w:val="0"/>
          <w:marRight w:val="0"/>
          <w:marTop w:val="0"/>
          <w:marBottom w:val="0"/>
          <w:divBdr>
            <w:top w:val="none" w:sz="0" w:space="0" w:color="auto"/>
            <w:left w:val="none" w:sz="0" w:space="0" w:color="auto"/>
            <w:bottom w:val="none" w:sz="0" w:space="0" w:color="auto"/>
            <w:right w:val="none" w:sz="0" w:space="0" w:color="auto"/>
          </w:divBdr>
        </w:div>
        <w:div w:id="426200209">
          <w:marLeft w:val="0"/>
          <w:marRight w:val="0"/>
          <w:marTop w:val="0"/>
          <w:marBottom w:val="0"/>
          <w:divBdr>
            <w:top w:val="none" w:sz="0" w:space="0" w:color="auto"/>
            <w:left w:val="none" w:sz="0" w:space="0" w:color="auto"/>
            <w:bottom w:val="none" w:sz="0" w:space="0" w:color="auto"/>
            <w:right w:val="none" w:sz="0" w:space="0" w:color="auto"/>
          </w:divBdr>
        </w:div>
        <w:div w:id="626156219">
          <w:marLeft w:val="0"/>
          <w:marRight w:val="0"/>
          <w:marTop w:val="0"/>
          <w:marBottom w:val="0"/>
          <w:divBdr>
            <w:top w:val="none" w:sz="0" w:space="0" w:color="auto"/>
            <w:left w:val="none" w:sz="0" w:space="0" w:color="auto"/>
            <w:bottom w:val="none" w:sz="0" w:space="0" w:color="auto"/>
            <w:right w:val="none" w:sz="0" w:space="0" w:color="auto"/>
          </w:divBdr>
        </w:div>
        <w:div w:id="648629856">
          <w:marLeft w:val="0"/>
          <w:marRight w:val="0"/>
          <w:marTop w:val="0"/>
          <w:marBottom w:val="0"/>
          <w:divBdr>
            <w:top w:val="none" w:sz="0" w:space="0" w:color="auto"/>
            <w:left w:val="none" w:sz="0" w:space="0" w:color="auto"/>
            <w:bottom w:val="none" w:sz="0" w:space="0" w:color="auto"/>
            <w:right w:val="none" w:sz="0" w:space="0" w:color="auto"/>
          </w:divBdr>
        </w:div>
        <w:div w:id="700127146">
          <w:marLeft w:val="0"/>
          <w:marRight w:val="0"/>
          <w:marTop w:val="0"/>
          <w:marBottom w:val="0"/>
          <w:divBdr>
            <w:top w:val="none" w:sz="0" w:space="0" w:color="auto"/>
            <w:left w:val="none" w:sz="0" w:space="0" w:color="auto"/>
            <w:bottom w:val="none" w:sz="0" w:space="0" w:color="auto"/>
            <w:right w:val="none" w:sz="0" w:space="0" w:color="auto"/>
          </w:divBdr>
        </w:div>
        <w:div w:id="883757508">
          <w:marLeft w:val="0"/>
          <w:marRight w:val="0"/>
          <w:marTop w:val="0"/>
          <w:marBottom w:val="0"/>
          <w:divBdr>
            <w:top w:val="none" w:sz="0" w:space="0" w:color="auto"/>
            <w:left w:val="none" w:sz="0" w:space="0" w:color="auto"/>
            <w:bottom w:val="none" w:sz="0" w:space="0" w:color="auto"/>
            <w:right w:val="none" w:sz="0" w:space="0" w:color="auto"/>
          </w:divBdr>
        </w:div>
        <w:div w:id="901020341">
          <w:marLeft w:val="0"/>
          <w:marRight w:val="0"/>
          <w:marTop w:val="0"/>
          <w:marBottom w:val="0"/>
          <w:divBdr>
            <w:top w:val="none" w:sz="0" w:space="0" w:color="auto"/>
            <w:left w:val="none" w:sz="0" w:space="0" w:color="auto"/>
            <w:bottom w:val="none" w:sz="0" w:space="0" w:color="auto"/>
            <w:right w:val="none" w:sz="0" w:space="0" w:color="auto"/>
          </w:divBdr>
        </w:div>
        <w:div w:id="962267339">
          <w:marLeft w:val="0"/>
          <w:marRight w:val="0"/>
          <w:marTop w:val="0"/>
          <w:marBottom w:val="0"/>
          <w:divBdr>
            <w:top w:val="none" w:sz="0" w:space="0" w:color="auto"/>
            <w:left w:val="none" w:sz="0" w:space="0" w:color="auto"/>
            <w:bottom w:val="none" w:sz="0" w:space="0" w:color="auto"/>
            <w:right w:val="none" w:sz="0" w:space="0" w:color="auto"/>
          </w:divBdr>
        </w:div>
        <w:div w:id="978995703">
          <w:marLeft w:val="0"/>
          <w:marRight w:val="0"/>
          <w:marTop w:val="0"/>
          <w:marBottom w:val="0"/>
          <w:divBdr>
            <w:top w:val="none" w:sz="0" w:space="0" w:color="auto"/>
            <w:left w:val="none" w:sz="0" w:space="0" w:color="auto"/>
            <w:bottom w:val="none" w:sz="0" w:space="0" w:color="auto"/>
            <w:right w:val="none" w:sz="0" w:space="0" w:color="auto"/>
          </w:divBdr>
        </w:div>
        <w:div w:id="992413597">
          <w:marLeft w:val="0"/>
          <w:marRight w:val="0"/>
          <w:marTop w:val="0"/>
          <w:marBottom w:val="0"/>
          <w:divBdr>
            <w:top w:val="none" w:sz="0" w:space="0" w:color="auto"/>
            <w:left w:val="none" w:sz="0" w:space="0" w:color="auto"/>
            <w:bottom w:val="none" w:sz="0" w:space="0" w:color="auto"/>
            <w:right w:val="none" w:sz="0" w:space="0" w:color="auto"/>
          </w:divBdr>
        </w:div>
        <w:div w:id="1274556217">
          <w:marLeft w:val="0"/>
          <w:marRight w:val="0"/>
          <w:marTop w:val="0"/>
          <w:marBottom w:val="0"/>
          <w:divBdr>
            <w:top w:val="none" w:sz="0" w:space="0" w:color="auto"/>
            <w:left w:val="none" w:sz="0" w:space="0" w:color="auto"/>
            <w:bottom w:val="none" w:sz="0" w:space="0" w:color="auto"/>
            <w:right w:val="none" w:sz="0" w:space="0" w:color="auto"/>
          </w:divBdr>
        </w:div>
        <w:div w:id="1278488211">
          <w:marLeft w:val="0"/>
          <w:marRight w:val="0"/>
          <w:marTop w:val="0"/>
          <w:marBottom w:val="0"/>
          <w:divBdr>
            <w:top w:val="none" w:sz="0" w:space="0" w:color="auto"/>
            <w:left w:val="none" w:sz="0" w:space="0" w:color="auto"/>
            <w:bottom w:val="none" w:sz="0" w:space="0" w:color="auto"/>
            <w:right w:val="none" w:sz="0" w:space="0" w:color="auto"/>
          </w:divBdr>
        </w:div>
        <w:div w:id="1474634352">
          <w:marLeft w:val="0"/>
          <w:marRight w:val="0"/>
          <w:marTop w:val="0"/>
          <w:marBottom w:val="0"/>
          <w:divBdr>
            <w:top w:val="none" w:sz="0" w:space="0" w:color="auto"/>
            <w:left w:val="none" w:sz="0" w:space="0" w:color="auto"/>
            <w:bottom w:val="none" w:sz="0" w:space="0" w:color="auto"/>
            <w:right w:val="none" w:sz="0" w:space="0" w:color="auto"/>
          </w:divBdr>
        </w:div>
        <w:div w:id="1581017372">
          <w:marLeft w:val="0"/>
          <w:marRight w:val="0"/>
          <w:marTop w:val="0"/>
          <w:marBottom w:val="0"/>
          <w:divBdr>
            <w:top w:val="none" w:sz="0" w:space="0" w:color="auto"/>
            <w:left w:val="none" w:sz="0" w:space="0" w:color="auto"/>
            <w:bottom w:val="none" w:sz="0" w:space="0" w:color="auto"/>
            <w:right w:val="none" w:sz="0" w:space="0" w:color="auto"/>
          </w:divBdr>
        </w:div>
        <w:div w:id="1714887831">
          <w:marLeft w:val="0"/>
          <w:marRight w:val="0"/>
          <w:marTop w:val="0"/>
          <w:marBottom w:val="0"/>
          <w:divBdr>
            <w:top w:val="none" w:sz="0" w:space="0" w:color="auto"/>
            <w:left w:val="none" w:sz="0" w:space="0" w:color="auto"/>
            <w:bottom w:val="none" w:sz="0" w:space="0" w:color="auto"/>
            <w:right w:val="none" w:sz="0" w:space="0" w:color="auto"/>
          </w:divBdr>
        </w:div>
        <w:div w:id="1861625653">
          <w:marLeft w:val="0"/>
          <w:marRight w:val="0"/>
          <w:marTop w:val="0"/>
          <w:marBottom w:val="0"/>
          <w:divBdr>
            <w:top w:val="none" w:sz="0" w:space="0" w:color="auto"/>
            <w:left w:val="none" w:sz="0" w:space="0" w:color="auto"/>
            <w:bottom w:val="none" w:sz="0" w:space="0" w:color="auto"/>
            <w:right w:val="none" w:sz="0" w:space="0" w:color="auto"/>
          </w:divBdr>
        </w:div>
        <w:div w:id="2047561151">
          <w:marLeft w:val="0"/>
          <w:marRight w:val="0"/>
          <w:marTop w:val="0"/>
          <w:marBottom w:val="0"/>
          <w:divBdr>
            <w:top w:val="none" w:sz="0" w:space="0" w:color="auto"/>
            <w:left w:val="none" w:sz="0" w:space="0" w:color="auto"/>
            <w:bottom w:val="none" w:sz="0" w:space="0" w:color="auto"/>
            <w:right w:val="none" w:sz="0" w:space="0" w:color="auto"/>
          </w:divBdr>
        </w:div>
      </w:divsChild>
    </w:div>
    <w:div w:id="1296520076">
      <w:bodyDiv w:val="1"/>
      <w:marLeft w:val="0"/>
      <w:marRight w:val="0"/>
      <w:marTop w:val="0"/>
      <w:marBottom w:val="0"/>
      <w:divBdr>
        <w:top w:val="none" w:sz="0" w:space="0" w:color="auto"/>
        <w:left w:val="none" w:sz="0" w:space="0" w:color="auto"/>
        <w:bottom w:val="none" w:sz="0" w:space="0" w:color="auto"/>
        <w:right w:val="none" w:sz="0" w:space="0" w:color="auto"/>
      </w:divBdr>
    </w:div>
    <w:div w:id="1334065889">
      <w:bodyDiv w:val="1"/>
      <w:marLeft w:val="0"/>
      <w:marRight w:val="0"/>
      <w:marTop w:val="0"/>
      <w:marBottom w:val="0"/>
      <w:divBdr>
        <w:top w:val="none" w:sz="0" w:space="0" w:color="auto"/>
        <w:left w:val="none" w:sz="0" w:space="0" w:color="auto"/>
        <w:bottom w:val="none" w:sz="0" w:space="0" w:color="auto"/>
        <w:right w:val="none" w:sz="0" w:space="0" w:color="auto"/>
      </w:divBdr>
    </w:div>
    <w:div w:id="1404990850">
      <w:bodyDiv w:val="1"/>
      <w:marLeft w:val="0"/>
      <w:marRight w:val="0"/>
      <w:marTop w:val="0"/>
      <w:marBottom w:val="0"/>
      <w:divBdr>
        <w:top w:val="none" w:sz="0" w:space="0" w:color="auto"/>
        <w:left w:val="none" w:sz="0" w:space="0" w:color="auto"/>
        <w:bottom w:val="none" w:sz="0" w:space="0" w:color="auto"/>
        <w:right w:val="none" w:sz="0" w:space="0" w:color="auto"/>
      </w:divBdr>
    </w:div>
    <w:div w:id="1425105728">
      <w:bodyDiv w:val="1"/>
      <w:marLeft w:val="0"/>
      <w:marRight w:val="0"/>
      <w:marTop w:val="0"/>
      <w:marBottom w:val="0"/>
      <w:divBdr>
        <w:top w:val="none" w:sz="0" w:space="0" w:color="auto"/>
        <w:left w:val="none" w:sz="0" w:space="0" w:color="auto"/>
        <w:bottom w:val="none" w:sz="0" w:space="0" w:color="auto"/>
        <w:right w:val="none" w:sz="0" w:space="0" w:color="auto"/>
      </w:divBdr>
    </w:div>
    <w:div w:id="1432773840">
      <w:bodyDiv w:val="1"/>
      <w:marLeft w:val="0"/>
      <w:marRight w:val="0"/>
      <w:marTop w:val="0"/>
      <w:marBottom w:val="0"/>
      <w:divBdr>
        <w:top w:val="none" w:sz="0" w:space="0" w:color="auto"/>
        <w:left w:val="none" w:sz="0" w:space="0" w:color="auto"/>
        <w:bottom w:val="none" w:sz="0" w:space="0" w:color="auto"/>
        <w:right w:val="none" w:sz="0" w:space="0" w:color="auto"/>
      </w:divBdr>
    </w:div>
    <w:div w:id="1434671119">
      <w:bodyDiv w:val="1"/>
      <w:marLeft w:val="0"/>
      <w:marRight w:val="0"/>
      <w:marTop w:val="0"/>
      <w:marBottom w:val="0"/>
      <w:divBdr>
        <w:top w:val="none" w:sz="0" w:space="0" w:color="auto"/>
        <w:left w:val="none" w:sz="0" w:space="0" w:color="auto"/>
        <w:bottom w:val="none" w:sz="0" w:space="0" w:color="auto"/>
        <w:right w:val="none" w:sz="0" w:space="0" w:color="auto"/>
      </w:divBdr>
    </w:div>
    <w:div w:id="1444685828">
      <w:bodyDiv w:val="1"/>
      <w:marLeft w:val="0"/>
      <w:marRight w:val="0"/>
      <w:marTop w:val="0"/>
      <w:marBottom w:val="0"/>
      <w:divBdr>
        <w:top w:val="none" w:sz="0" w:space="0" w:color="auto"/>
        <w:left w:val="none" w:sz="0" w:space="0" w:color="auto"/>
        <w:bottom w:val="none" w:sz="0" w:space="0" w:color="auto"/>
        <w:right w:val="none" w:sz="0" w:space="0" w:color="auto"/>
      </w:divBdr>
    </w:div>
    <w:div w:id="1471091893">
      <w:bodyDiv w:val="1"/>
      <w:marLeft w:val="0"/>
      <w:marRight w:val="0"/>
      <w:marTop w:val="0"/>
      <w:marBottom w:val="0"/>
      <w:divBdr>
        <w:top w:val="none" w:sz="0" w:space="0" w:color="auto"/>
        <w:left w:val="none" w:sz="0" w:space="0" w:color="auto"/>
        <w:bottom w:val="none" w:sz="0" w:space="0" w:color="auto"/>
        <w:right w:val="none" w:sz="0" w:space="0" w:color="auto"/>
      </w:divBdr>
      <w:divsChild>
        <w:div w:id="233976163">
          <w:marLeft w:val="0"/>
          <w:marRight w:val="0"/>
          <w:marTop w:val="0"/>
          <w:marBottom w:val="0"/>
          <w:divBdr>
            <w:top w:val="none" w:sz="0" w:space="0" w:color="auto"/>
            <w:left w:val="none" w:sz="0" w:space="0" w:color="auto"/>
            <w:bottom w:val="none" w:sz="0" w:space="0" w:color="auto"/>
            <w:right w:val="none" w:sz="0" w:space="0" w:color="auto"/>
          </w:divBdr>
        </w:div>
        <w:div w:id="280501067">
          <w:marLeft w:val="0"/>
          <w:marRight w:val="0"/>
          <w:marTop w:val="0"/>
          <w:marBottom w:val="0"/>
          <w:divBdr>
            <w:top w:val="none" w:sz="0" w:space="0" w:color="auto"/>
            <w:left w:val="none" w:sz="0" w:space="0" w:color="auto"/>
            <w:bottom w:val="none" w:sz="0" w:space="0" w:color="auto"/>
            <w:right w:val="none" w:sz="0" w:space="0" w:color="auto"/>
          </w:divBdr>
        </w:div>
        <w:div w:id="648022025">
          <w:marLeft w:val="0"/>
          <w:marRight w:val="0"/>
          <w:marTop w:val="0"/>
          <w:marBottom w:val="0"/>
          <w:divBdr>
            <w:top w:val="none" w:sz="0" w:space="0" w:color="auto"/>
            <w:left w:val="none" w:sz="0" w:space="0" w:color="auto"/>
            <w:bottom w:val="none" w:sz="0" w:space="0" w:color="auto"/>
            <w:right w:val="none" w:sz="0" w:space="0" w:color="auto"/>
          </w:divBdr>
        </w:div>
        <w:div w:id="711151240">
          <w:marLeft w:val="0"/>
          <w:marRight w:val="0"/>
          <w:marTop w:val="0"/>
          <w:marBottom w:val="0"/>
          <w:divBdr>
            <w:top w:val="none" w:sz="0" w:space="0" w:color="auto"/>
            <w:left w:val="none" w:sz="0" w:space="0" w:color="auto"/>
            <w:bottom w:val="none" w:sz="0" w:space="0" w:color="auto"/>
            <w:right w:val="none" w:sz="0" w:space="0" w:color="auto"/>
          </w:divBdr>
        </w:div>
        <w:div w:id="753210023">
          <w:marLeft w:val="0"/>
          <w:marRight w:val="0"/>
          <w:marTop w:val="0"/>
          <w:marBottom w:val="0"/>
          <w:divBdr>
            <w:top w:val="none" w:sz="0" w:space="0" w:color="auto"/>
            <w:left w:val="none" w:sz="0" w:space="0" w:color="auto"/>
            <w:bottom w:val="none" w:sz="0" w:space="0" w:color="auto"/>
            <w:right w:val="none" w:sz="0" w:space="0" w:color="auto"/>
          </w:divBdr>
        </w:div>
        <w:div w:id="1244756168">
          <w:marLeft w:val="0"/>
          <w:marRight w:val="0"/>
          <w:marTop w:val="0"/>
          <w:marBottom w:val="0"/>
          <w:divBdr>
            <w:top w:val="none" w:sz="0" w:space="0" w:color="auto"/>
            <w:left w:val="none" w:sz="0" w:space="0" w:color="auto"/>
            <w:bottom w:val="none" w:sz="0" w:space="0" w:color="auto"/>
            <w:right w:val="none" w:sz="0" w:space="0" w:color="auto"/>
          </w:divBdr>
        </w:div>
      </w:divsChild>
    </w:div>
    <w:div w:id="1495342154">
      <w:bodyDiv w:val="1"/>
      <w:marLeft w:val="0"/>
      <w:marRight w:val="0"/>
      <w:marTop w:val="0"/>
      <w:marBottom w:val="0"/>
      <w:divBdr>
        <w:top w:val="none" w:sz="0" w:space="0" w:color="auto"/>
        <w:left w:val="none" w:sz="0" w:space="0" w:color="auto"/>
        <w:bottom w:val="none" w:sz="0" w:space="0" w:color="auto"/>
        <w:right w:val="none" w:sz="0" w:space="0" w:color="auto"/>
      </w:divBdr>
      <w:divsChild>
        <w:div w:id="38282335">
          <w:marLeft w:val="0"/>
          <w:marRight w:val="0"/>
          <w:marTop w:val="0"/>
          <w:marBottom w:val="0"/>
          <w:divBdr>
            <w:top w:val="none" w:sz="0" w:space="0" w:color="auto"/>
            <w:left w:val="none" w:sz="0" w:space="0" w:color="auto"/>
            <w:bottom w:val="none" w:sz="0" w:space="0" w:color="auto"/>
            <w:right w:val="none" w:sz="0" w:space="0" w:color="auto"/>
          </w:divBdr>
        </w:div>
        <w:div w:id="74672594">
          <w:marLeft w:val="0"/>
          <w:marRight w:val="0"/>
          <w:marTop w:val="0"/>
          <w:marBottom w:val="0"/>
          <w:divBdr>
            <w:top w:val="none" w:sz="0" w:space="0" w:color="auto"/>
            <w:left w:val="none" w:sz="0" w:space="0" w:color="auto"/>
            <w:bottom w:val="none" w:sz="0" w:space="0" w:color="auto"/>
            <w:right w:val="none" w:sz="0" w:space="0" w:color="auto"/>
          </w:divBdr>
        </w:div>
        <w:div w:id="310839083">
          <w:marLeft w:val="0"/>
          <w:marRight w:val="0"/>
          <w:marTop w:val="0"/>
          <w:marBottom w:val="0"/>
          <w:divBdr>
            <w:top w:val="none" w:sz="0" w:space="0" w:color="auto"/>
            <w:left w:val="none" w:sz="0" w:space="0" w:color="auto"/>
            <w:bottom w:val="none" w:sz="0" w:space="0" w:color="auto"/>
            <w:right w:val="none" w:sz="0" w:space="0" w:color="auto"/>
          </w:divBdr>
        </w:div>
        <w:div w:id="310912332">
          <w:marLeft w:val="0"/>
          <w:marRight w:val="0"/>
          <w:marTop w:val="0"/>
          <w:marBottom w:val="0"/>
          <w:divBdr>
            <w:top w:val="none" w:sz="0" w:space="0" w:color="auto"/>
            <w:left w:val="none" w:sz="0" w:space="0" w:color="auto"/>
            <w:bottom w:val="none" w:sz="0" w:space="0" w:color="auto"/>
            <w:right w:val="none" w:sz="0" w:space="0" w:color="auto"/>
          </w:divBdr>
        </w:div>
        <w:div w:id="323706284">
          <w:marLeft w:val="0"/>
          <w:marRight w:val="0"/>
          <w:marTop w:val="0"/>
          <w:marBottom w:val="0"/>
          <w:divBdr>
            <w:top w:val="none" w:sz="0" w:space="0" w:color="auto"/>
            <w:left w:val="none" w:sz="0" w:space="0" w:color="auto"/>
            <w:bottom w:val="none" w:sz="0" w:space="0" w:color="auto"/>
            <w:right w:val="none" w:sz="0" w:space="0" w:color="auto"/>
          </w:divBdr>
        </w:div>
        <w:div w:id="622730113">
          <w:marLeft w:val="0"/>
          <w:marRight w:val="0"/>
          <w:marTop w:val="0"/>
          <w:marBottom w:val="0"/>
          <w:divBdr>
            <w:top w:val="none" w:sz="0" w:space="0" w:color="auto"/>
            <w:left w:val="none" w:sz="0" w:space="0" w:color="auto"/>
            <w:bottom w:val="none" w:sz="0" w:space="0" w:color="auto"/>
            <w:right w:val="none" w:sz="0" w:space="0" w:color="auto"/>
          </w:divBdr>
        </w:div>
        <w:div w:id="706487371">
          <w:marLeft w:val="0"/>
          <w:marRight w:val="0"/>
          <w:marTop w:val="0"/>
          <w:marBottom w:val="0"/>
          <w:divBdr>
            <w:top w:val="none" w:sz="0" w:space="0" w:color="auto"/>
            <w:left w:val="none" w:sz="0" w:space="0" w:color="auto"/>
            <w:bottom w:val="none" w:sz="0" w:space="0" w:color="auto"/>
            <w:right w:val="none" w:sz="0" w:space="0" w:color="auto"/>
          </w:divBdr>
        </w:div>
        <w:div w:id="848953699">
          <w:marLeft w:val="0"/>
          <w:marRight w:val="0"/>
          <w:marTop w:val="0"/>
          <w:marBottom w:val="0"/>
          <w:divBdr>
            <w:top w:val="none" w:sz="0" w:space="0" w:color="auto"/>
            <w:left w:val="none" w:sz="0" w:space="0" w:color="auto"/>
            <w:bottom w:val="none" w:sz="0" w:space="0" w:color="auto"/>
            <w:right w:val="none" w:sz="0" w:space="0" w:color="auto"/>
          </w:divBdr>
        </w:div>
        <w:div w:id="911431904">
          <w:marLeft w:val="0"/>
          <w:marRight w:val="0"/>
          <w:marTop w:val="0"/>
          <w:marBottom w:val="0"/>
          <w:divBdr>
            <w:top w:val="none" w:sz="0" w:space="0" w:color="auto"/>
            <w:left w:val="none" w:sz="0" w:space="0" w:color="auto"/>
            <w:bottom w:val="none" w:sz="0" w:space="0" w:color="auto"/>
            <w:right w:val="none" w:sz="0" w:space="0" w:color="auto"/>
          </w:divBdr>
        </w:div>
        <w:div w:id="912355319">
          <w:marLeft w:val="0"/>
          <w:marRight w:val="0"/>
          <w:marTop w:val="0"/>
          <w:marBottom w:val="0"/>
          <w:divBdr>
            <w:top w:val="none" w:sz="0" w:space="0" w:color="auto"/>
            <w:left w:val="none" w:sz="0" w:space="0" w:color="auto"/>
            <w:bottom w:val="none" w:sz="0" w:space="0" w:color="auto"/>
            <w:right w:val="none" w:sz="0" w:space="0" w:color="auto"/>
          </w:divBdr>
        </w:div>
        <w:div w:id="926110533">
          <w:marLeft w:val="0"/>
          <w:marRight w:val="0"/>
          <w:marTop w:val="0"/>
          <w:marBottom w:val="0"/>
          <w:divBdr>
            <w:top w:val="none" w:sz="0" w:space="0" w:color="auto"/>
            <w:left w:val="none" w:sz="0" w:space="0" w:color="auto"/>
            <w:bottom w:val="none" w:sz="0" w:space="0" w:color="auto"/>
            <w:right w:val="none" w:sz="0" w:space="0" w:color="auto"/>
          </w:divBdr>
        </w:div>
        <w:div w:id="936984532">
          <w:marLeft w:val="0"/>
          <w:marRight w:val="0"/>
          <w:marTop w:val="0"/>
          <w:marBottom w:val="0"/>
          <w:divBdr>
            <w:top w:val="none" w:sz="0" w:space="0" w:color="auto"/>
            <w:left w:val="none" w:sz="0" w:space="0" w:color="auto"/>
            <w:bottom w:val="none" w:sz="0" w:space="0" w:color="auto"/>
            <w:right w:val="none" w:sz="0" w:space="0" w:color="auto"/>
          </w:divBdr>
        </w:div>
        <w:div w:id="958102996">
          <w:marLeft w:val="0"/>
          <w:marRight w:val="0"/>
          <w:marTop w:val="0"/>
          <w:marBottom w:val="0"/>
          <w:divBdr>
            <w:top w:val="none" w:sz="0" w:space="0" w:color="auto"/>
            <w:left w:val="none" w:sz="0" w:space="0" w:color="auto"/>
            <w:bottom w:val="none" w:sz="0" w:space="0" w:color="auto"/>
            <w:right w:val="none" w:sz="0" w:space="0" w:color="auto"/>
          </w:divBdr>
        </w:div>
        <w:div w:id="1077559781">
          <w:marLeft w:val="0"/>
          <w:marRight w:val="0"/>
          <w:marTop w:val="0"/>
          <w:marBottom w:val="0"/>
          <w:divBdr>
            <w:top w:val="none" w:sz="0" w:space="0" w:color="auto"/>
            <w:left w:val="none" w:sz="0" w:space="0" w:color="auto"/>
            <w:bottom w:val="none" w:sz="0" w:space="0" w:color="auto"/>
            <w:right w:val="none" w:sz="0" w:space="0" w:color="auto"/>
          </w:divBdr>
        </w:div>
        <w:div w:id="1117022993">
          <w:marLeft w:val="0"/>
          <w:marRight w:val="0"/>
          <w:marTop w:val="0"/>
          <w:marBottom w:val="0"/>
          <w:divBdr>
            <w:top w:val="none" w:sz="0" w:space="0" w:color="auto"/>
            <w:left w:val="none" w:sz="0" w:space="0" w:color="auto"/>
            <w:bottom w:val="none" w:sz="0" w:space="0" w:color="auto"/>
            <w:right w:val="none" w:sz="0" w:space="0" w:color="auto"/>
          </w:divBdr>
        </w:div>
        <w:div w:id="1126580671">
          <w:marLeft w:val="0"/>
          <w:marRight w:val="0"/>
          <w:marTop w:val="0"/>
          <w:marBottom w:val="0"/>
          <w:divBdr>
            <w:top w:val="none" w:sz="0" w:space="0" w:color="auto"/>
            <w:left w:val="none" w:sz="0" w:space="0" w:color="auto"/>
            <w:bottom w:val="none" w:sz="0" w:space="0" w:color="auto"/>
            <w:right w:val="none" w:sz="0" w:space="0" w:color="auto"/>
          </w:divBdr>
        </w:div>
        <w:div w:id="1160004798">
          <w:marLeft w:val="0"/>
          <w:marRight w:val="0"/>
          <w:marTop w:val="0"/>
          <w:marBottom w:val="0"/>
          <w:divBdr>
            <w:top w:val="none" w:sz="0" w:space="0" w:color="auto"/>
            <w:left w:val="none" w:sz="0" w:space="0" w:color="auto"/>
            <w:bottom w:val="none" w:sz="0" w:space="0" w:color="auto"/>
            <w:right w:val="none" w:sz="0" w:space="0" w:color="auto"/>
          </w:divBdr>
        </w:div>
        <w:div w:id="1170367392">
          <w:marLeft w:val="0"/>
          <w:marRight w:val="0"/>
          <w:marTop w:val="0"/>
          <w:marBottom w:val="0"/>
          <w:divBdr>
            <w:top w:val="none" w:sz="0" w:space="0" w:color="auto"/>
            <w:left w:val="none" w:sz="0" w:space="0" w:color="auto"/>
            <w:bottom w:val="none" w:sz="0" w:space="0" w:color="auto"/>
            <w:right w:val="none" w:sz="0" w:space="0" w:color="auto"/>
          </w:divBdr>
        </w:div>
        <w:div w:id="1210531782">
          <w:marLeft w:val="0"/>
          <w:marRight w:val="0"/>
          <w:marTop w:val="0"/>
          <w:marBottom w:val="0"/>
          <w:divBdr>
            <w:top w:val="none" w:sz="0" w:space="0" w:color="auto"/>
            <w:left w:val="none" w:sz="0" w:space="0" w:color="auto"/>
            <w:bottom w:val="none" w:sz="0" w:space="0" w:color="auto"/>
            <w:right w:val="none" w:sz="0" w:space="0" w:color="auto"/>
          </w:divBdr>
        </w:div>
        <w:div w:id="1573543962">
          <w:marLeft w:val="0"/>
          <w:marRight w:val="0"/>
          <w:marTop w:val="0"/>
          <w:marBottom w:val="0"/>
          <w:divBdr>
            <w:top w:val="none" w:sz="0" w:space="0" w:color="auto"/>
            <w:left w:val="none" w:sz="0" w:space="0" w:color="auto"/>
            <w:bottom w:val="none" w:sz="0" w:space="0" w:color="auto"/>
            <w:right w:val="none" w:sz="0" w:space="0" w:color="auto"/>
          </w:divBdr>
        </w:div>
        <w:div w:id="1750807944">
          <w:marLeft w:val="0"/>
          <w:marRight w:val="0"/>
          <w:marTop w:val="0"/>
          <w:marBottom w:val="0"/>
          <w:divBdr>
            <w:top w:val="none" w:sz="0" w:space="0" w:color="auto"/>
            <w:left w:val="none" w:sz="0" w:space="0" w:color="auto"/>
            <w:bottom w:val="none" w:sz="0" w:space="0" w:color="auto"/>
            <w:right w:val="none" w:sz="0" w:space="0" w:color="auto"/>
          </w:divBdr>
        </w:div>
        <w:div w:id="1859388084">
          <w:marLeft w:val="0"/>
          <w:marRight w:val="0"/>
          <w:marTop w:val="0"/>
          <w:marBottom w:val="0"/>
          <w:divBdr>
            <w:top w:val="none" w:sz="0" w:space="0" w:color="auto"/>
            <w:left w:val="none" w:sz="0" w:space="0" w:color="auto"/>
            <w:bottom w:val="none" w:sz="0" w:space="0" w:color="auto"/>
            <w:right w:val="none" w:sz="0" w:space="0" w:color="auto"/>
          </w:divBdr>
        </w:div>
        <w:div w:id="1972713706">
          <w:marLeft w:val="0"/>
          <w:marRight w:val="0"/>
          <w:marTop w:val="0"/>
          <w:marBottom w:val="0"/>
          <w:divBdr>
            <w:top w:val="none" w:sz="0" w:space="0" w:color="auto"/>
            <w:left w:val="none" w:sz="0" w:space="0" w:color="auto"/>
            <w:bottom w:val="none" w:sz="0" w:space="0" w:color="auto"/>
            <w:right w:val="none" w:sz="0" w:space="0" w:color="auto"/>
          </w:divBdr>
        </w:div>
        <w:div w:id="2006590831">
          <w:marLeft w:val="0"/>
          <w:marRight w:val="0"/>
          <w:marTop w:val="0"/>
          <w:marBottom w:val="0"/>
          <w:divBdr>
            <w:top w:val="none" w:sz="0" w:space="0" w:color="auto"/>
            <w:left w:val="none" w:sz="0" w:space="0" w:color="auto"/>
            <w:bottom w:val="none" w:sz="0" w:space="0" w:color="auto"/>
            <w:right w:val="none" w:sz="0" w:space="0" w:color="auto"/>
          </w:divBdr>
        </w:div>
      </w:divsChild>
    </w:div>
    <w:div w:id="1516918151">
      <w:bodyDiv w:val="1"/>
      <w:marLeft w:val="0"/>
      <w:marRight w:val="0"/>
      <w:marTop w:val="0"/>
      <w:marBottom w:val="0"/>
      <w:divBdr>
        <w:top w:val="none" w:sz="0" w:space="0" w:color="auto"/>
        <w:left w:val="none" w:sz="0" w:space="0" w:color="auto"/>
        <w:bottom w:val="none" w:sz="0" w:space="0" w:color="auto"/>
        <w:right w:val="none" w:sz="0" w:space="0" w:color="auto"/>
      </w:divBdr>
      <w:divsChild>
        <w:div w:id="437409290">
          <w:marLeft w:val="0"/>
          <w:marRight w:val="0"/>
          <w:marTop w:val="0"/>
          <w:marBottom w:val="0"/>
          <w:divBdr>
            <w:top w:val="none" w:sz="0" w:space="0" w:color="auto"/>
            <w:left w:val="none" w:sz="0" w:space="0" w:color="auto"/>
            <w:bottom w:val="none" w:sz="0" w:space="0" w:color="auto"/>
            <w:right w:val="none" w:sz="0" w:space="0" w:color="auto"/>
          </w:divBdr>
          <w:divsChild>
            <w:div w:id="318652625">
              <w:marLeft w:val="0"/>
              <w:marRight w:val="0"/>
              <w:marTop w:val="0"/>
              <w:marBottom w:val="0"/>
              <w:divBdr>
                <w:top w:val="none" w:sz="0" w:space="0" w:color="auto"/>
                <w:left w:val="none" w:sz="0" w:space="0" w:color="auto"/>
                <w:bottom w:val="none" w:sz="0" w:space="0" w:color="auto"/>
                <w:right w:val="none" w:sz="0" w:space="0" w:color="auto"/>
              </w:divBdr>
            </w:div>
            <w:div w:id="922184106">
              <w:marLeft w:val="0"/>
              <w:marRight w:val="0"/>
              <w:marTop w:val="0"/>
              <w:marBottom w:val="0"/>
              <w:divBdr>
                <w:top w:val="none" w:sz="0" w:space="0" w:color="auto"/>
                <w:left w:val="none" w:sz="0" w:space="0" w:color="auto"/>
                <w:bottom w:val="none" w:sz="0" w:space="0" w:color="auto"/>
                <w:right w:val="none" w:sz="0" w:space="0" w:color="auto"/>
              </w:divBdr>
            </w:div>
            <w:div w:id="153179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60018">
      <w:bodyDiv w:val="1"/>
      <w:marLeft w:val="0"/>
      <w:marRight w:val="0"/>
      <w:marTop w:val="0"/>
      <w:marBottom w:val="0"/>
      <w:divBdr>
        <w:top w:val="none" w:sz="0" w:space="0" w:color="auto"/>
        <w:left w:val="none" w:sz="0" w:space="0" w:color="auto"/>
        <w:bottom w:val="none" w:sz="0" w:space="0" w:color="auto"/>
        <w:right w:val="none" w:sz="0" w:space="0" w:color="auto"/>
      </w:divBdr>
      <w:divsChild>
        <w:div w:id="1666399836">
          <w:marLeft w:val="0"/>
          <w:marRight w:val="0"/>
          <w:marTop w:val="0"/>
          <w:marBottom w:val="0"/>
          <w:divBdr>
            <w:top w:val="none" w:sz="0" w:space="0" w:color="auto"/>
            <w:left w:val="none" w:sz="0" w:space="0" w:color="auto"/>
            <w:bottom w:val="none" w:sz="0" w:space="0" w:color="auto"/>
            <w:right w:val="none" w:sz="0" w:space="0" w:color="auto"/>
          </w:divBdr>
          <w:divsChild>
            <w:div w:id="241263636">
              <w:marLeft w:val="0"/>
              <w:marRight w:val="0"/>
              <w:marTop w:val="0"/>
              <w:marBottom w:val="0"/>
              <w:divBdr>
                <w:top w:val="none" w:sz="0" w:space="0" w:color="auto"/>
                <w:left w:val="none" w:sz="0" w:space="0" w:color="auto"/>
                <w:bottom w:val="none" w:sz="0" w:space="0" w:color="auto"/>
                <w:right w:val="none" w:sz="0" w:space="0" w:color="auto"/>
              </w:divBdr>
            </w:div>
            <w:div w:id="1115950357">
              <w:marLeft w:val="0"/>
              <w:marRight w:val="0"/>
              <w:marTop w:val="0"/>
              <w:marBottom w:val="0"/>
              <w:divBdr>
                <w:top w:val="none" w:sz="0" w:space="0" w:color="auto"/>
                <w:left w:val="none" w:sz="0" w:space="0" w:color="auto"/>
                <w:bottom w:val="none" w:sz="0" w:space="0" w:color="auto"/>
                <w:right w:val="none" w:sz="0" w:space="0" w:color="auto"/>
              </w:divBdr>
            </w:div>
            <w:div w:id="1655329594">
              <w:marLeft w:val="0"/>
              <w:marRight w:val="0"/>
              <w:marTop w:val="0"/>
              <w:marBottom w:val="0"/>
              <w:divBdr>
                <w:top w:val="none" w:sz="0" w:space="0" w:color="auto"/>
                <w:left w:val="none" w:sz="0" w:space="0" w:color="auto"/>
                <w:bottom w:val="none" w:sz="0" w:space="0" w:color="auto"/>
                <w:right w:val="none" w:sz="0" w:space="0" w:color="auto"/>
              </w:divBdr>
            </w:div>
            <w:div w:id="1779988116">
              <w:marLeft w:val="0"/>
              <w:marRight w:val="0"/>
              <w:marTop w:val="0"/>
              <w:marBottom w:val="0"/>
              <w:divBdr>
                <w:top w:val="none" w:sz="0" w:space="0" w:color="auto"/>
                <w:left w:val="none" w:sz="0" w:space="0" w:color="auto"/>
                <w:bottom w:val="none" w:sz="0" w:space="0" w:color="auto"/>
                <w:right w:val="none" w:sz="0" w:space="0" w:color="auto"/>
              </w:divBdr>
            </w:div>
            <w:div w:id="1892689985">
              <w:marLeft w:val="0"/>
              <w:marRight w:val="0"/>
              <w:marTop w:val="0"/>
              <w:marBottom w:val="0"/>
              <w:divBdr>
                <w:top w:val="none" w:sz="0" w:space="0" w:color="auto"/>
                <w:left w:val="none" w:sz="0" w:space="0" w:color="auto"/>
                <w:bottom w:val="none" w:sz="0" w:space="0" w:color="auto"/>
                <w:right w:val="none" w:sz="0" w:space="0" w:color="auto"/>
              </w:divBdr>
            </w:div>
            <w:div w:id="194572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846647">
      <w:bodyDiv w:val="1"/>
      <w:marLeft w:val="0"/>
      <w:marRight w:val="0"/>
      <w:marTop w:val="0"/>
      <w:marBottom w:val="0"/>
      <w:divBdr>
        <w:top w:val="none" w:sz="0" w:space="0" w:color="auto"/>
        <w:left w:val="none" w:sz="0" w:space="0" w:color="auto"/>
        <w:bottom w:val="none" w:sz="0" w:space="0" w:color="auto"/>
        <w:right w:val="none" w:sz="0" w:space="0" w:color="auto"/>
      </w:divBdr>
    </w:div>
    <w:div w:id="1890652282">
      <w:bodyDiv w:val="1"/>
      <w:marLeft w:val="0"/>
      <w:marRight w:val="0"/>
      <w:marTop w:val="0"/>
      <w:marBottom w:val="0"/>
      <w:divBdr>
        <w:top w:val="none" w:sz="0" w:space="0" w:color="auto"/>
        <w:left w:val="none" w:sz="0" w:space="0" w:color="auto"/>
        <w:bottom w:val="none" w:sz="0" w:space="0" w:color="auto"/>
        <w:right w:val="none" w:sz="0" w:space="0" w:color="auto"/>
      </w:divBdr>
    </w:div>
    <w:div w:id="2009867551">
      <w:bodyDiv w:val="1"/>
      <w:marLeft w:val="0"/>
      <w:marRight w:val="0"/>
      <w:marTop w:val="0"/>
      <w:marBottom w:val="0"/>
      <w:divBdr>
        <w:top w:val="none" w:sz="0" w:space="0" w:color="auto"/>
        <w:left w:val="none" w:sz="0" w:space="0" w:color="auto"/>
        <w:bottom w:val="none" w:sz="0" w:space="0" w:color="auto"/>
        <w:right w:val="none" w:sz="0" w:space="0" w:color="auto"/>
      </w:divBdr>
    </w:div>
    <w:div w:id="2023897288">
      <w:bodyDiv w:val="1"/>
      <w:marLeft w:val="0"/>
      <w:marRight w:val="0"/>
      <w:marTop w:val="0"/>
      <w:marBottom w:val="0"/>
      <w:divBdr>
        <w:top w:val="none" w:sz="0" w:space="0" w:color="auto"/>
        <w:left w:val="none" w:sz="0" w:space="0" w:color="auto"/>
        <w:bottom w:val="none" w:sz="0" w:space="0" w:color="auto"/>
        <w:right w:val="none" w:sz="0" w:space="0" w:color="auto"/>
      </w:divBdr>
      <w:divsChild>
        <w:div w:id="119345548">
          <w:marLeft w:val="0"/>
          <w:marRight w:val="0"/>
          <w:marTop w:val="0"/>
          <w:marBottom w:val="0"/>
          <w:divBdr>
            <w:top w:val="none" w:sz="0" w:space="0" w:color="auto"/>
            <w:left w:val="none" w:sz="0" w:space="0" w:color="auto"/>
            <w:bottom w:val="none" w:sz="0" w:space="0" w:color="auto"/>
            <w:right w:val="none" w:sz="0" w:space="0" w:color="auto"/>
          </w:divBdr>
        </w:div>
        <w:div w:id="237595411">
          <w:marLeft w:val="0"/>
          <w:marRight w:val="0"/>
          <w:marTop w:val="0"/>
          <w:marBottom w:val="0"/>
          <w:divBdr>
            <w:top w:val="none" w:sz="0" w:space="0" w:color="auto"/>
            <w:left w:val="none" w:sz="0" w:space="0" w:color="auto"/>
            <w:bottom w:val="none" w:sz="0" w:space="0" w:color="auto"/>
            <w:right w:val="none" w:sz="0" w:space="0" w:color="auto"/>
          </w:divBdr>
        </w:div>
        <w:div w:id="244189530">
          <w:marLeft w:val="0"/>
          <w:marRight w:val="0"/>
          <w:marTop w:val="0"/>
          <w:marBottom w:val="0"/>
          <w:divBdr>
            <w:top w:val="none" w:sz="0" w:space="0" w:color="auto"/>
            <w:left w:val="none" w:sz="0" w:space="0" w:color="auto"/>
            <w:bottom w:val="none" w:sz="0" w:space="0" w:color="auto"/>
            <w:right w:val="none" w:sz="0" w:space="0" w:color="auto"/>
          </w:divBdr>
        </w:div>
        <w:div w:id="303581667">
          <w:marLeft w:val="0"/>
          <w:marRight w:val="0"/>
          <w:marTop w:val="0"/>
          <w:marBottom w:val="0"/>
          <w:divBdr>
            <w:top w:val="none" w:sz="0" w:space="0" w:color="auto"/>
            <w:left w:val="none" w:sz="0" w:space="0" w:color="auto"/>
            <w:bottom w:val="none" w:sz="0" w:space="0" w:color="auto"/>
            <w:right w:val="none" w:sz="0" w:space="0" w:color="auto"/>
          </w:divBdr>
        </w:div>
        <w:div w:id="542258189">
          <w:marLeft w:val="0"/>
          <w:marRight w:val="0"/>
          <w:marTop w:val="0"/>
          <w:marBottom w:val="0"/>
          <w:divBdr>
            <w:top w:val="none" w:sz="0" w:space="0" w:color="auto"/>
            <w:left w:val="none" w:sz="0" w:space="0" w:color="auto"/>
            <w:bottom w:val="none" w:sz="0" w:space="0" w:color="auto"/>
            <w:right w:val="none" w:sz="0" w:space="0" w:color="auto"/>
          </w:divBdr>
        </w:div>
        <w:div w:id="733352659">
          <w:marLeft w:val="0"/>
          <w:marRight w:val="0"/>
          <w:marTop w:val="0"/>
          <w:marBottom w:val="0"/>
          <w:divBdr>
            <w:top w:val="none" w:sz="0" w:space="0" w:color="auto"/>
            <w:left w:val="none" w:sz="0" w:space="0" w:color="auto"/>
            <w:bottom w:val="none" w:sz="0" w:space="0" w:color="auto"/>
            <w:right w:val="none" w:sz="0" w:space="0" w:color="auto"/>
          </w:divBdr>
        </w:div>
        <w:div w:id="760566176">
          <w:marLeft w:val="0"/>
          <w:marRight w:val="0"/>
          <w:marTop w:val="0"/>
          <w:marBottom w:val="0"/>
          <w:divBdr>
            <w:top w:val="none" w:sz="0" w:space="0" w:color="auto"/>
            <w:left w:val="none" w:sz="0" w:space="0" w:color="auto"/>
            <w:bottom w:val="none" w:sz="0" w:space="0" w:color="auto"/>
            <w:right w:val="none" w:sz="0" w:space="0" w:color="auto"/>
          </w:divBdr>
        </w:div>
        <w:div w:id="769009323">
          <w:marLeft w:val="0"/>
          <w:marRight w:val="0"/>
          <w:marTop w:val="0"/>
          <w:marBottom w:val="0"/>
          <w:divBdr>
            <w:top w:val="none" w:sz="0" w:space="0" w:color="auto"/>
            <w:left w:val="none" w:sz="0" w:space="0" w:color="auto"/>
            <w:bottom w:val="none" w:sz="0" w:space="0" w:color="auto"/>
            <w:right w:val="none" w:sz="0" w:space="0" w:color="auto"/>
          </w:divBdr>
        </w:div>
        <w:div w:id="781072935">
          <w:marLeft w:val="0"/>
          <w:marRight w:val="0"/>
          <w:marTop w:val="0"/>
          <w:marBottom w:val="0"/>
          <w:divBdr>
            <w:top w:val="none" w:sz="0" w:space="0" w:color="auto"/>
            <w:left w:val="none" w:sz="0" w:space="0" w:color="auto"/>
            <w:bottom w:val="none" w:sz="0" w:space="0" w:color="auto"/>
            <w:right w:val="none" w:sz="0" w:space="0" w:color="auto"/>
          </w:divBdr>
        </w:div>
        <w:div w:id="783497744">
          <w:marLeft w:val="0"/>
          <w:marRight w:val="0"/>
          <w:marTop w:val="0"/>
          <w:marBottom w:val="0"/>
          <w:divBdr>
            <w:top w:val="none" w:sz="0" w:space="0" w:color="auto"/>
            <w:left w:val="none" w:sz="0" w:space="0" w:color="auto"/>
            <w:bottom w:val="none" w:sz="0" w:space="0" w:color="auto"/>
            <w:right w:val="none" w:sz="0" w:space="0" w:color="auto"/>
          </w:divBdr>
        </w:div>
        <w:div w:id="1026248765">
          <w:marLeft w:val="0"/>
          <w:marRight w:val="0"/>
          <w:marTop w:val="0"/>
          <w:marBottom w:val="0"/>
          <w:divBdr>
            <w:top w:val="none" w:sz="0" w:space="0" w:color="auto"/>
            <w:left w:val="none" w:sz="0" w:space="0" w:color="auto"/>
            <w:bottom w:val="none" w:sz="0" w:space="0" w:color="auto"/>
            <w:right w:val="none" w:sz="0" w:space="0" w:color="auto"/>
          </w:divBdr>
        </w:div>
        <w:div w:id="1051803963">
          <w:marLeft w:val="0"/>
          <w:marRight w:val="0"/>
          <w:marTop w:val="0"/>
          <w:marBottom w:val="0"/>
          <w:divBdr>
            <w:top w:val="none" w:sz="0" w:space="0" w:color="auto"/>
            <w:left w:val="none" w:sz="0" w:space="0" w:color="auto"/>
            <w:bottom w:val="none" w:sz="0" w:space="0" w:color="auto"/>
            <w:right w:val="none" w:sz="0" w:space="0" w:color="auto"/>
          </w:divBdr>
        </w:div>
        <w:div w:id="1071465697">
          <w:marLeft w:val="0"/>
          <w:marRight w:val="0"/>
          <w:marTop w:val="0"/>
          <w:marBottom w:val="0"/>
          <w:divBdr>
            <w:top w:val="none" w:sz="0" w:space="0" w:color="auto"/>
            <w:left w:val="none" w:sz="0" w:space="0" w:color="auto"/>
            <w:bottom w:val="none" w:sz="0" w:space="0" w:color="auto"/>
            <w:right w:val="none" w:sz="0" w:space="0" w:color="auto"/>
          </w:divBdr>
        </w:div>
        <w:div w:id="1341272581">
          <w:marLeft w:val="0"/>
          <w:marRight w:val="0"/>
          <w:marTop w:val="0"/>
          <w:marBottom w:val="0"/>
          <w:divBdr>
            <w:top w:val="none" w:sz="0" w:space="0" w:color="auto"/>
            <w:left w:val="none" w:sz="0" w:space="0" w:color="auto"/>
            <w:bottom w:val="none" w:sz="0" w:space="0" w:color="auto"/>
            <w:right w:val="none" w:sz="0" w:space="0" w:color="auto"/>
          </w:divBdr>
        </w:div>
        <w:div w:id="1409763138">
          <w:marLeft w:val="0"/>
          <w:marRight w:val="0"/>
          <w:marTop w:val="0"/>
          <w:marBottom w:val="0"/>
          <w:divBdr>
            <w:top w:val="none" w:sz="0" w:space="0" w:color="auto"/>
            <w:left w:val="none" w:sz="0" w:space="0" w:color="auto"/>
            <w:bottom w:val="none" w:sz="0" w:space="0" w:color="auto"/>
            <w:right w:val="none" w:sz="0" w:space="0" w:color="auto"/>
          </w:divBdr>
        </w:div>
        <w:div w:id="1496997594">
          <w:marLeft w:val="0"/>
          <w:marRight w:val="0"/>
          <w:marTop w:val="0"/>
          <w:marBottom w:val="0"/>
          <w:divBdr>
            <w:top w:val="none" w:sz="0" w:space="0" w:color="auto"/>
            <w:left w:val="none" w:sz="0" w:space="0" w:color="auto"/>
            <w:bottom w:val="none" w:sz="0" w:space="0" w:color="auto"/>
            <w:right w:val="none" w:sz="0" w:space="0" w:color="auto"/>
          </w:divBdr>
        </w:div>
        <w:div w:id="1526214522">
          <w:marLeft w:val="0"/>
          <w:marRight w:val="0"/>
          <w:marTop w:val="0"/>
          <w:marBottom w:val="0"/>
          <w:divBdr>
            <w:top w:val="none" w:sz="0" w:space="0" w:color="auto"/>
            <w:left w:val="none" w:sz="0" w:space="0" w:color="auto"/>
            <w:bottom w:val="none" w:sz="0" w:space="0" w:color="auto"/>
            <w:right w:val="none" w:sz="0" w:space="0" w:color="auto"/>
          </w:divBdr>
        </w:div>
        <w:div w:id="1705985282">
          <w:marLeft w:val="0"/>
          <w:marRight w:val="0"/>
          <w:marTop w:val="0"/>
          <w:marBottom w:val="0"/>
          <w:divBdr>
            <w:top w:val="none" w:sz="0" w:space="0" w:color="auto"/>
            <w:left w:val="none" w:sz="0" w:space="0" w:color="auto"/>
            <w:bottom w:val="none" w:sz="0" w:space="0" w:color="auto"/>
            <w:right w:val="none" w:sz="0" w:space="0" w:color="auto"/>
          </w:divBdr>
        </w:div>
        <w:div w:id="1719668999">
          <w:marLeft w:val="0"/>
          <w:marRight w:val="0"/>
          <w:marTop w:val="0"/>
          <w:marBottom w:val="0"/>
          <w:divBdr>
            <w:top w:val="none" w:sz="0" w:space="0" w:color="auto"/>
            <w:left w:val="none" w:sz="0" w:space="0" w:color="auto"/>
            <w:bottom w:val="none" w:sz="0" w:space="0" w:color="auto"/>
            <w:right w:val="none" w:sz="0" w:space="0" w:color="auto"/>
          </w:divBdr>
        </w:div>
        <w:div w:id="1771077062">
          <w:marLeft w:val="0"/>
          <w:marRight w:val="0"/>
          <w:marTop w:val="0"/>
          <w:marBottom w:val="0"/>
          <w:divBdr>
            <w:top w:val="none" w:sz="0" w:space="0" w:color="auto"/>
            <w:left w:val="none" w:sz="0" w:space="0" w:color="auto"/>
            <w:bottom w:val="none" w:sz="0" w:space="0" w:color="auto"/>
            <w:right w:val="none" w:sz="0" w:space="0" w:color="auto"/>
          </w:divBdr>
        </w:div>
        <w:div w:id="1794589618">
          <w:marLeft w:val="0"/>
          <w:marRight w:val="0"/>
          <w:marTop w:val="0"/>
          <w:marBottom w:val="0"/>
          <w:divBdr>
            <w:top w:val="none" w:sz="0" w:space="0" w:color="auto"/>
            <w:left w:val="none" w:sz="0" w:space="0" w:color="auto"/>
            <w:bottom w:val="none" w:sz="0" w:space="0" w:color="auto"/>
            <w:right w:val="none" w:sz="0" w:space="0" w:color="auto"/>
          </w:divBdr>
        </w:div>
        <w:div w:id="1806969245">
          <w:marLeft w:val="0"/>
          <w:marRight w:val="0"/>
          <w:marTop w:val="0"/>
          <w:marBottom w:val="0"/>
          <w:divBdr>
            <w:top w:val="none" w:sz="0" w:space="0" w:color="auto"/>
            <w:left w:val="none" w:sz="0" w:space="0" w:color="auto"/>
            <w:bottom w:val="none" w:sz="0" w:space="0" w:color="auto"/>
            <w:right w:val="none" w:sz="0" w:space="0" w:color="auto"/>
          </w:divBdr>
        </w:div>
        <w:div w:id="1843935891">
          <w:marLeft w:val="0"/>
          <w:marRight w:val="0"/>
          <w:marTop w:val="0"/>
          <w:marBottom w:val="0"/>
          <w:divBdr>
            <w:top w:val="none" w:sz="0" w:space="0" w:color="auto"/>
            <w:left w:val="none" w:sz="0" w:space="0" w:color="auto"/>
            <w:bottom w:val="none" w:sz="0" w:space="0" w:color="auto"/>
            <w:right w:val="none" w:sz="0" w:space="0" w:color="auto"/>
          </w:divBdr>
        </w:div>
        <w:div w:id="1960143547">
          <w:marLeft w:val="0"/>
          <w:marRight w:val="0"/>
          <w:marTop w:val="0"/>
          <w:marBottom w:val="0"/>
          <w:divBdr>
            <w:top w:val="none" w:sz="0" w:space="0" w:color="auto"/>
            <w:left w:val="none" w:sz="0" w:space="0" w:color="auto"/>
            <w:bottom w:val="none" w:sz="0" w:space="0" w:color="auto"/>
            <w:right w:val="none" w:sz="0" w:space="0" w:color="auto"/>
          </w:divBdr>
        </w:div>
        <w:div w:id="1972243423">
          <w:marLeft w:val="0"/>
          <w:marRight w:val="0"/>
          <w:marTop w:val="0"/>
          <w:marBottom w:val="0"/>
          <w:divBdr>
            <w:top w:val="none" w:sz="0" w:space="0" w:color="auto"/>
            <w:left w:val="none" w:sz="0" w:space="0" w:color="auto"/>
            <w:bottom w:val="none" w:sz="0" w:space="0" w:color="auto"/>
            <w:right w:val="none" w:sz="0" w:space="0" w:color="auto"/>
          </w:divBdr>
        </w:div>
      </w:divsChild>
    </w:div>
    <w:div w:id="2050104761">
      <w:bodyDiv w:val="1"/>
      <w:marLeft w:val="0"/>
      <w:marRight w:val="0"/>
      <w:marTop w:val="0"/>
      <w:marBottom w:val="0"/>
      <w:divBdr>
        <w:top w:val="none" w:sz="0" w:space="0" w:color="auto"/>
        <w:left w:val="none" w:sz="0" w:space="0" w:color="auto"/>
        <w:bottom w:val="none" w:sz="0" w:space="0" w:color="auto"/>
        <w:right w:val="none" w:sz="0" w:space="0" w:color="auto"/>
      </w:divBdr>
    </w:div>
    <w:div w:id="2079984300">
      <w:bodyDiv w:val="1"/>
      <w:marLeft w:val="0"/>
      <w:marRight w:val="0"/>
      <w:marTop w:val="0"/>
      <w:marBottom w:val="0"/>
      <w:divBdr>
        <w:top w:val="none" w:sz="0" w:space="0" w:color="auto"/>
        <w:left w:val="none" w:sz="0" w:space="0" w:color="auto"/>
        <w:bottom w:val="none" w:sz="0" w:space="0" w:color="auto"/>
        <w:right w:val="none" w:sz="0" w:space="0" w:color="auto"/>
      </w:divBdr>
    </w:div>
    <w:div w:id="2118871364">
      <w:bodyDiv w:val="1"/>
      <w:marLeft w:val="0"/>
      <w:marRight w:val="0"/>
      <w:marTop w:val="0"/>
      <w:marBottom w:val="0"/>
      <w:divBdr>
        <w:top w:val="none" w:sz="0" w:space="0" w:color="auto"/>
        <w:left w:val="none" w:sz="0" w:space="0" w:color="auto"/>
        <w:bottom w:val="none" w:sz="0" w:space="0" w:color="auto"/>
        <w:right w:val="none" w:sz="0" w:space="0" w:color="auto"/>
      </w:divBdr>
      <w:divsChild>
        <w:div w:id="765419216">
          <w:marLeft w:val="0"/>
          <w:marRight w:val="0"/>
          <w:marTop w:val="0"/>
          <w:marBottom w:val="0"/>
          <w:divBdr>
            <w:top w:val="none" w:sz="0" w:space="0" w:color="auto"/>
            <w:left w:val="none" w:sz="0" w:space="0" w:color="auto"/>
            <w:bottom w:val="none" w:sz="0" w:space="0" w:color="auto"/>
            <w:right w:val="none" w:sz="0" w:space="0" w:color="auto"/>
          </w:divBdr>
        </w:div>
        <w:div w:id="1009985438">
          <w:marLeft w:val="0"/>
          <w:marRight w:val="0"/>
          <w:marTop w:val="0"/>
          <w:marBottom w:val="0"/>
          <w:divBdr>
            <w:top w:val="none" w:sz="0" w:space="0" w:color="auto"/>
            <w:left w:val="none" w:sz="0" w:space="0" w:color="auto"/>
            <w:bottom w:val="none" w:sz="0" w:space="0" w:color="auto"/>
            <w:right w:val="none" w:sz="0" w:space="0" w:color="auto"/>
          </w:divBdr>
        </w:div>
        <w:div w:id="1185291737">
          <w:marLeft w:val="0"/>
          <w:marRight w:val="0"/>
          <w:marTop w:val="0"/>
          <w:marBottom w:val="0"/>
          <w:divBdr>
            <w:top w:val="none" w:sz="0" w:space="0" w:color="auto"/>
            <w:left w:val="none" w:sz="0" w:space="0" w:color="auto"/>
            <w:bottom w:val="none" w:sz="0" w:space="0" w:color="auto"/>
            <w:right w:val="none" w:sz="0" w:space="0" w:color="auto"/>
          </w:divBdr>
        </w:div>
        <w:div w:id="1816215344">
          <w:marLeft w:val="0"/>
          <w:marRight w:val="0"/>
          <w:marTop w:val="0"/>
          <w:marBottom w:val="0"/>
          <w:divBdr>
            <w:top w:val="none" w:sz="0" w:space="0" w:color="auto"/>
            <w:left w:val="none" w:sz="0" w:space="0" w:color="auto"/>
            <w:bottom w:val="none" w:sz="0" w:space="0" w:color="auto"/>
            <w:right w:val="none" w:sz="0" w:space="0" w:color="auto"/>
          </w:divBdr>
        </w:div>
        <w:div w:id="1912808102">
          <w:marLeft w:val="0"/>
          <w:marRight w:val="0"/>
          <w:marTop w:val="0"/>
          <w:marBottom w:val="0"/>
          <w:divBdr>
            <w:top w:val="none" w:sz="0" w:space="0" w:color="auto"/>
            <w:left w:val="none" w:sz="0" w:space="0" w:color="auto"/>
            <w:bottom w:val="none" w:sz="0" w:space="0" w:color="auto"/>
            <w:right w:val="none" w:sz="0" w:space="0" w:color="auto"/>
          </w:divBdr>
        </w:div>
        <w:div w:id="194815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chart" Target="charts/chart6.xml"/><Relationship Id="rId39" Type="http://schemas.openxmlformats.org/officeDocument/2006/relationships/chart" Target="charts/chart13.xml"/><Relationship Id="rId21" Type="http://schemas.openxmlformats.org/officeDocument/2006/relationships/image" Target="media/image11.emf"/><Relationship Id="rId34" Type="http://schemas.openxmlformats.org/officeDocument/2006/relationships/chart" Target="charts/chart10.xml"/><Relationship Id="rId42" Type="http://schemas.openxmlformats.org/officeDocument/2006/relationships/image" Target="media/image20.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chart" Target="charts/chart12.xml"/><Relationship Id="rId46"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0.emf"/><Relationship Id="rId29" Type="http://schemas.openxmlformats.org/officeDocument/2006/relationships/image" Target="media/image15.emf"/><Relationship Id="rId41" Type="http://schemas.openxmlformats.org/officeDocument/2006/relationships/chart" Target="charts/chart15.xm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chart" Target="charts/chart14.xml"/><Relationship Id="rId45" Type="http://schemas.openxmlformats.org/officeDocument/2006/relationships/chart" Target="charts/chart17.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5.xml"/><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chart" Target="charts/chart9.xml"/><Relationship Id="rId44" Type="http://schemas.openxmlformats.org/officeDocument/2006/relationships/chart" Target="charts/chart16.xm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1.xml"/><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7.em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ji\Application%20Data\Microsoft\Templates\Num%20Para.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rker27\Google%20Drive\Projects\Live\P30400%20KTP%20WDH\6%20Analysis\WDH%20KTP%20ground%20slab%20U_value%20sensitivity.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rker27\Google%20Drive\Projects\Live\Eco%20Pod%20Walker%20Associates\Eco%20Pod%20scenari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991951587446915E-2"/>
          <c:y val="4.418913307478356E-2"/>
          <c:w val="0.74070708661417328"/>
          <c:h val="0.76231159164805895"/>
        </c:manualLayout>
      </c:layout>
      <c:areaChart>
        <c:grouping val="standard"/>
        <c:varyColors val="0"/>
        <c:ser>
          <c:idx val="3"/>
          <c:order val="0"/>
          <c:tx>
            <c:strRef>
              <c:f>'C:\Users\parker27\Google Drive\Projects\Live\HiveHaus\[DTS analysis.xlsx]Schedules'!$F$1</c:f>
              <c:strCache>
                <c:ptCount val="1"/>
                <c:pt idx="0">
                  <c:v>Lounge</c:v>
                </c:pt>
              </c:strCache>
            </c:strRef>
          </c:tx>
          <c:cat>
            <c:numRef>
              <c:f>'C:\Users\parker27\Google Drive\Projects\Live\HiveHaus\[DTS analysis.xlsx]Schedules'!$B$2:$B$25</c:f>
              <c:numCache>
                <c:formatCode>General</c:formatCode>
                <c:ptCount val="24"/>
                <c:pt idx="0">
                  <c:v>0</c:v>
                </c:pt>
                <c:pt idx="1">
                  <c:v>4.1666666666666664E-2</c:v>
                </c:pt>
                <c:pt idx="2">
                  <c:v>8.3333333333333329E-2</c:v>
                </c:pt>
                <c:pt idx="3">
                  <c:v>0.125</c:v>
                </c:pt>
                <c:pt idx="4">
                  <c:v>0.16666666666666666</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'C:\Users\parker27\Google Drive\Projects\Live\HiveHaus\[DTS analysis.xlsx]Schedules'!$F$2:$F$25</c:f>
              <c:numCache>
                <c:formatCode>General</c:formatCode>
                <c:ptCount val="2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0.5</c:v>
                </c:pt>
                <c:pt idx="17">
                  <c:v>0.5</c:v>
                </c:pt>
                <c:pt idx="18">
                  <c:v>1</c:v>
                </c:pt>
                <c:pt idx="19">
                  <c:v>1</c:v>
                </c:pt>
                <c:pt idx="20">
                  <c:v>1</c:v>
                </c:pt>
                <c:pt idx="21">
                  <c:v>1</c:v>
                </c:pt>
                <c:pt idx="22">
                  <c:v>1</c:v>
                </c:pt>
                <c:pt idx="23">
                  <c:v>0.65</c:v>
                </c:pt>
              </c:numCache>
            </c:numRef>
          </c:val>
        </c:ser>
        <c:ser>
          <c:idx val="0"/>
          <c:order val="1"/>
          <c:tx>
            <c:v>Bathroom &amp; Kitchen</c:v>
          </c:tx>
          <c:spPr>
            <a:solidFill>
              <a:srgbClr val="99FF99"/>
            </a:solidFill>
          </c:spPr>
          <c:cat>
            <c:numRef>
              <c:f>'C:\Users\parker27\Google Drive\Projects\Live\HiveHaus\[DTS analysis.xlsx]Schedules'!$B$2:$B$25</c:f>
              <c:numCache>
                <c:formatCode>General</c:formatCode>
                <c:ptCount val="24"/>
                <c:pt idx="0">
                  <c:v>0</c:v>
                </c:pt>
                <c:pt idx="1">
                  <c:v>4.1666666666666664E-2</c:v>
                </c:pt>
                <c:pt idx="2">
                  <c:v>8.3333333333333329E-2</c:v>
                </c:pt>
                <c:pt idx="3">
                  <c:v>0.125</c:v>
                </c:pt>
                <c:pt idx="4">
                  <c:v>0.16666666666666666</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'C:\Users\parker27\Google Drive\Projects\Live\HiveHaus\[DTS analysis.xlsx]Schedules'!$C$2:$C$25</c:f>
              <c:numCache>
                <c:formatCode>General</c:formatCode>
                <c:ptCount val="24"/>
                <c:pt idx="0">
                  <c:v>0</c:v>
                </c:pt>
                <c:pt idx="1">
                  <c:v>0</c:v>
                </c:pt>
                <c:pt idx="2">
                  <c:v>0</c:v>
                </c:pt>
                <c:pt idx="3">
                  <c:v>0</c:v>
                </c:pt>
                <c:pt idx="4">
                  <c:v>0</c:v>
                </c:pt>
                <c:pt idx="5">
                  <c:v>0</c:v>
                </c:pt>
                <c:pt idx="6">
                  <c:v>0</c:v>
                </c:pt>
                <c:pt idx="7">
                  <c:v>1</c:v>
                </c:pt>
                <c:pt idx="8">
                  <c:v>1</c:v>
                </c:pt>
                <c:pt idx="9">
                  <c:v>1</c:v>
                </c:pt>
                <c:pt idx="10">
                  <c:v>0</c:v>
                </c:pt>
                <c:pt idx="11">
                  <c:v>0</c:v>
                </c:pt>
                <c:pt idx="12">
                  <c:v>0</c:v>
                </c:pt>
                <c:pt idx="13">
                  <c:v>0</c:v>
                </c:pt>
                <c:pt idx="14">
                  <c:v>0</c:v>
                </c:pt>
                <c:pt idx="15">
                  <c:v>0</c:v>
                </c:pt>
                <c:pt idx="16">
                  <c:v>0</c:v>
                </c:pt>
                <c:pt idx="17">
                  <c:v>0</c:v>
                </c:pt>
                <c:pt idx="18">
                  <c:v>0</c:v>
                </c:pt>
                <c:pt idx="19">
                  <c:v>0.2</c:v>
                </c:pt>
                <c:pt idx="20">
                  <c:v>0.2</c:v>
                </c:pt>
                <c:pt idx="21">
                  <c:v>0.2</c:v>
                </c:pt>
                <c:pt idx="22">
                  <c:v>0.2</c:v>
                </c:pt>
                <c:pt idx="23">
                  <c:v>0</c:v>
                </c:pt>
              </c:numCache>
            </c:numRef>
          </c:val>
        </c:ser>
        <c:ser>
          <c:idx val="1"/>
          <c:order val="2"/>
          <c:tx>
            <c:strRef>
              <c:f>'C:\Users\parker27\Google Drive\Projects\Live\HiveHaus\[DTS analysis.xlsx]Schedules'!$D$1</c:f>
              <c:strCache>
                <c:ptCount val="1"/>
                <c:pt idx="0">
                  <c:v>Bedroom</c:v>
                </c:pt>
              </c:strCache>
            </c:strRef>
          </c:tx>
          <c:spPr>
            <a:solidFill>
              <a:schemeClr val="accent2">
                <a:alpha val="72000"/>
              </a:schemeClr>
            </a:solidFill>
          </c:spPr>
          <c:cat>
            <c:numRef>
              <c:f>'C:\Users\parker27\Google Drive\Projects\Live\HiveHaus\[DTS analysis.xlsx]Schedules'!$B$2:$B$25</c:f>
              <c:numCache>
                <c:formatCode>General</c:formatCode>
                <c:ptCount val="24"/>
                <c:pt idx="0">
                  <c:v>0</c:v>
                </c:pt>
                <c:pt idx="1">
                  <c:v>4.1666666666666664E-2</c:v>
                </c:pt>
                <c:pt idx="2">
                  <c:v>8.3333333333333329E-2</c:v>
                </c:pt>
                <c:pt idx="3">
                  <c:v>0.125</c:v>
                </c:pt>
                <c:pt idx="4">
                  <c:v>0.16666666666666666</c:v>
                </c:pt>
                <c:pt idx="5">
                  <c:v>0.20833333333333301</c:v>
                </c:pt>
                <c:pt idx="6">
                  <c:v>0.25</c:v>
                </c:pt>
                <c:pt idx="7">
                  <c:v>0.29166666666666702</c:v>
                </c:pt>
                <c:pt idx="8">
                  <c:v>0.33333333333333298</c:v>
                </c:pt>
                <c:pt idx="9">
                  <c:v>0.375</c:v>
                </c:pt>
                <c:pt idx="10">
                  <c:v>0.41666666666666702</c:v>
                </c:pt>
                <c:pt idx="11">
                  <c:v>0.45833333333333298</c:v>
                </c:pt>
                <c:pt idx="12">
                  <c:v>0.5</c:v>
                </c:pt>
                <c:pt idx="13">
                  <c:v>0.54166666666666696</c:v>
                </c:pt>
                <c:pt idx="14">
                  <c:v>0.58333333333333304</c:v>
                </c:pt>
                <c:pt idx="15">
                  <c:v>0.625</c:v>
                </c:pt>
                <c:pt idx="16">
                  <c:v>0.66666666666666696</c:v>
                </c:pt>
                <c:pt idx="17">
                  <c:v>0.70833333333333304</c:v>
                </c:pt>
                <c:pt idx="18">
                  <c:v>0.75</c:v>
                </c:pt>
                <c:pt idx="19">
                  <c:v>0.79166666666666696</c:v>
                </c:pt>
                <c:pt idx="20">
                  <c:v>0.83333333333333304</c:v>
                </c:pt>
                <c:pt idx="21">
                  <c:v>0.875</c:v>
                </c:pt>
                <c:pt idx="22">
                  <c:v>0.91666666666666696</c:v>
                </c:pt>
                <c:pt idx="23">
                  <c:v>0.95833333333333304</c:v>
                </c:pt>
              </c:numCache>
            </c:numRef>
          </c:cat>
          <c:val>
            <c:numRef>
              <c:f>'C:\Users\parker27\Google Drive\Projects\Live\HiveHaus\[DTS analysis.xlsx]Schedules'!$D$2:$D$25</c:f>
              <c:numCache>
                <c:formatCode>General</c:formatCode>
                <c:ptCount val="24"/>
                <c:pt idx="0">
                  <c:v>1</c:v>
                </c:pt>
                <c:pt idx="1">
                  <c:v>1</c:v>
                </c:pt>
                <c:pt idx="2">
                  <c:v>1</c:v>
                </c:pt>
                <c:pt idx="3">
                  <c:v>1</c:v>
                </c:pt>
                <c:pt idx="4">
                  <c:v>1</c:v>
                </c:pt>
                <c:pt idx="5">
                  <c:v>1</c:v>
                </c:pt>
                <c:pt idx="6">
                  <c:v>1</c:v>
                </c:pt>
                <c:pt idx="7">
                  <c:v>0.5</c:v>
                </c:pt>
                <c:pt idx="8">
                  <c:v>0.25</c:v>
                </c:pt>
                <c:pt idx="9">
                  <c:v>0</c:v>
                </c:pt>
                <c:pt idx="10">
                  <c:v>0</c:v>
                </c:pt>
                <c:pt idx="11">
                  <c:v>0</c:v>
                </c:pt>
                <c:pt idx="12">
                  <c:v>0</c:v>
                </c:pt>
                <c:pt idx="13">
                  <c:v>0</c:v>
                </c:pt>
                <c:pt idx="14">
                  <c:v>0</c:v>
                </c:pt>
                <c:pt idx="15">
                  <c:v>0</c:v>
                </c:pt>
                <c:pt idx="16">
                  <c:v>0</c:v>
                </c:pt>
                <c:pt idx="17">
                  <c:v>0</c:v>
                </c:pt>
                <c:pt idx="18">
                  <c:v>0</c:v>
                </c:pt>
                <c:pt idx="19">
                  <c:v>0</c:v>
                </c:pt>
                <c:pt idx="20">
                  <c:v>0</c:v>
                </c:pt>
                <c:pt idx="21">
                  <c:v>0</c:v>
                </c:pt>
                <c:pt idx="22">
                  <c:v>0.25</c:v>
                </c:pt>
                <c:pt idx="23">
                  <c:v>0.5</c:v>
                </c:pt>
              </c:numCache>
            </c:numRef>
          </c:val>
        </c:ser>
        <c:dLbls>
          <c:showLegendKey val="0"/>
          <c:showVal val="0"/>
          <c:showCatName val="0"/>
          <c:showSerName val="0"/>
          <c:showPercent val="0"/>
          <c:showBubbleSize val="0"/>
        </c:dLbls>
        <c:axId val="418026320"/>
        <c:axId val="418026712"/>
      </c:areaChart>
      <c:catAx>
        <c:axId val="418026320"/>
        <c:scaling>
          <c:orientation val="minMax"/>
        </c:scaling>
        <c:delete val="0"/>
        <c:axPos val="b"/>
        <c:numFmt formatCode="h:mm" sourceLinked="0"/>
        <c:majorTickMark val="out"/>
        <c:minorTickMark val="none"/>
        <c:tickLblPos val="nextTo"/>
        <c:crossAx val="418026712"/>
        <c:crosses val="autoZero"/>
        <c:auto val="1"/>
        <c:lblAlgn val="ctr"/>
        <c:lblOffset val="100"/>
        <c:noMultiLvlLbl val="0"/>
      </c:catAx>
      <c:valAx>
        <c:axId val="418026712"/>
        <c:scaling>
          <c:orientation val="minMax"/>
          <c:max val="1"/>
        </c:scaling>
        <c:delete val="0"/>
        <c:axPos val="l"/>
        <c:majorGridlines/>
        <c:numFmt formatCode="0%" sourceLinked="0"/>
        <c:majorTickMark val="out"/>
        <c:minorTickMark val="none"/>
        <c:tickLblPos val="nextTo"/>
        <c:crossAx val="418026320"/>
        <c:crosses val="autoZero"/>
        <c:crossBetween val="midCat"/>
      </c:valAx>
    </c:plotArea>
    <c:legend>
      <c:legendPos val="r"/>
      <c:layout>
        <c:manualLayout>
          <c:xMode val="edge"/>
          <c:yMode val="edge"/>
          <c:x val="0.83427821522309709"/>
          <c:y val="0.33997742648581142"/>
          <c:w val="0.16335583801525141"/>
          <c:h val="0.282102141812426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2266104532208"/>
          <c:y val="4.1740030491319503E-2"/>
          <c:w val="0.670258540517081"/>
          <c:h val="0.77256054333414503"/>
        </c:manualLayout>
      </c:layout>
      <c:barChart>
        <c:barDir val="col"/>
        <c:grouping val="stacked"/>
        <c:varyColors val="0"/>
        <c:ser>
          <c:idx val="2"/>
          <c:order val="0"/>
          <c:tx>
            <c:strRef>
              <c:f>'Energy performance'!$C$89</c:f>
              <c:strCache>
                <c:ptCount val="1"/>
                <c:pt idx="0">
                  <c:v>Space heating</c:v>
                </c:pt>
              </c:strCache>
            </c:strRef>
          </c:tx>
          <c:spPr>
            <a:solidFill>
              <a:srgbClr val="F3696B"/>
            </a:solidFill>
          </c:spPr>
          <c:invertIfNegative val="0"/>
          <c:cat>
            <c:strRef>
              <c:f>'Energy performance'!$A$90:$A$101</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performance'!$C$90:$C$101</c:f>
              <c:numCache>
                <c:formatCode>0.00</c:formatCode>
                <c:ptCount val="12"/>
                <c:pt idx="0">
                  <c:v>685.1</c:v>
                </c:pt>
                <c:pt idx="1">
                  <c:v>689.4</c:v>
                </c:pt>
                <c:pt idx="2">
                  <c:v>694.4</c:v>
                </c:pt>
                <c:pt idx="3">
                  <c:v>696.6</c:v>
                </c:pt>
                <c:pt idx="4">
                  <c:v>705.30000000000007</c:v>
                </c:pt>
                <c:pt idx="5">
                  <c:v>708.4</c:v>
                </c:pt>
                <c:pt idx="6">
                  <c:v>724.5</c:v>
                </c:pt>
                <c:pt idx="7">
                  <c:v>724.9</c:v>
                </c:pt>
                <c:pt idx="8">
                  <c:v>706.7</c:v>
                </c:pt>
                <c:pt idx="9">
                  <c:v>710.30000000000007</c:v>
                </c:pt>
                <c:pt idx="10">
                  <c:v>705.9</c:v>
                </c:pt>
                <c:pt idx="11">
                  <c:v>691.1</c:v>
                </c:pt>
              </c:numCache>
            </c:numRef>
          </c:val>
        </c:ser>
        <c:ser>
          <c:idx val="3"/>
          <c:order val="1"/>
          <c:tx>
            <c:strRef>
              <c:f>'Energy performance'!$D$89</c:f>
              <c:strCache>
                <c:ptCount val="1"/>
                <c:pt idx="0">
                  <c:v>DHW</c:v>
                </c:pt>
              </c:strCache>
            </c:strRef>
          </c:tx>
          <c:spPr>
            <a:solidFill>
              <a:srgbClr val="A03C50"/>
            </a:solidFill>
          </c:spPr>
          <c:invertIfNegative val="0"/>
          <c:cat>
            <c:strRef>
              <c:f>'Energy performance'!$A$90:$A$101</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performance'!$D$90:$D$101</c:f>
              <c:numCache>
                <c:formatCode>0.00</c:formatCode>
                <c:ptCount val="12"/>
                <c:pt idx="0">
                  <c:v>2014.2000000000003</c:v>
                </c:pt>
                <c:pt idx="1">
                  <c:v>2014.2000000000003</c:v>
                </c:pt>
                <c:pt idx="2">
                  <c:v>2014.2000000000003</c:v>
                </c:pt>
                <c:pt idx="3">
                  <c:v>2014.2000000000003</c:v>
                </c:pt>
                <c:pt idx="4">
                  <c:v>2014.2000000000003</c:v>
                </c:pt>
                <c:pt idx="5">
                  <c:v>2014.2000000000003</c:v>
                </c:pt>
                <c:pt idx="6">
                  <c:v>2014.2000000000003</c:v>
                </c:pt>
                <c:pt idx="7">
                  <c:v>2014.2000000000003</c:v>
                </c:pt>
                <c:pt idx="8">
                  <c:v>2014.2000000000003</c:v>
                </c:pt>
                <c:pt idx="9">
                  <c:v>2014.2000000000003</c:v>
                </c:pt>
                <c:pt idx="10">
                  <c:v>2014.2000000000003</c:v>
                </c:pt>
                <c:pt idx="11">
                  <c:v>2014.2000000000003</c:v>
                </c:pt>
              </c:numCache>
            </c:numRef>
          </c:val>
        </c:ser>
        <c:ser>
          <c:idx val="4"/>
          <c:order val="2"/>
          <c:tx>
            <c:strRef>
              <c:f>'Energy performance'!$E$89</c:f>
              <c:strCache>
                <c:ptCount val="1"/>
                <c:pt idx="0">
                  <c:v>Ventilation</c:v>
                </c:pt>
              </c:strCache>
            </c:strRef>
          </c:tx>
          <c:spPr>
            <a:solidFill>
              <a:schemeClr val="accent5">
                <a:lumMod val="60000"/>
                <a:lumOff val="40000"/>
              </a:schemeClr>
            </a:solidFill>
          </c:spPr>
          <c:invertIfNegative val="0"/>
          <c:cat>
            <c:strRef>
              <c:f>'Energy performance'!$A$90:$A$101</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performance'!$E$90:$E$101</c:f>
              <c:numCache>
                <c:formatCode>0.00</c:formatCode>
                <c:ptCount val="12"/>
                <c:pt idx="0">
                  <c:v>461.3</c:v>
                </c:pt>
                <c:pt idx="1">
                  <c:v>461.3</c:v>
                </c:pt>
                <c:pt idx="2">
                  <c:v>461.3</c:v>
                </c:pt>
                <c:pt idx="3">
                  <c:v>461.3</c:v>
                </c:pt>
                <c:pt idx="4">
                  <c:v>461.3</c:v>
                </c:pt>
                <c:pt idx="5">
                  <c:v>461.3</c:v>
                </c:pt>
                <c:pt idx="6">
                  <c:v>461.3</c:v>
                </c:pt>
                <c:pt idx="7">
                  <c:v>461.3</c:v>
                </c:pt>
                <c:pt idx="8">
                  <c:v>461.3</c:v>
                </c:pt>
                <c:pt idx="9">
                  <c:v>461.3</c:v>
                </c:pt>
                <c:pt idx="10">
                  <c:v>461.3</c:v>
                </c:pt>
                <c:pt idx="11">
                  <c:v>461.3</c:v>
                </c:pt>
              </c:numCache>
            </c:numRef>
          </c:val>
        </c:ser>
        <c:ser>
          <c:idx val="5"/>
          <c:order val="3"/>
          <c:tx>
            <c:strRef>
              <c:f>'Energy performance'!$G$89</c:f>
              <c:strCache>
                <c:ptCount val="1"/>
                <c:pt idx="0">
                  <c:v>Lights</c:v>
                </c:pt>
              </c:strCache>
            </c:strRef>
          </c:tx>
          <c:spPr>
            <a:solidFill>
              <a:srgbClr val="FFEB84"/>
            </a:solidFill>
          </c:spPr>
          <c:invertIfNegative val="0"/>
          <c:cat>
            <c:strRef>
              <c:f>'Energy performance'!$A$90:$A$101</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performance'!$G$90:$G$101</c:f>
              <c:numCache>
                <c:formatCode>0.00</c:formatCode>
                <c:ptCount val="12"/>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numCache>
            </c:numRef>
          </c:val>
        </c:ser>
        <c:ser>
          <c:idx val="6"/>
          <c:order val="4"/>
          <c:tx>
            <c:strRef>
              <c:f>'Energy performance'!$H$89</c:f>
              <c:strCache>
                <c:ptCount val="1"/>
                <c:pt idx="0">
                  <c:v>Equipment</c:v>
                </c:pt>
              </c:strCache>
            </c:strRef>
          </c:tx>
          <c:spPr>
            <a:solidFill>
              <a:srgbClr val="909090"/>
            </a:solidFill>
          </c:spPr>
          <c:invertIfNegative val="0"/>
          <c:cat>
            <c:strRef>
              <c:f>'Energy performance'!$A$90:$A$101</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performance'!$H$90:$H$101</c:f>
              <c:numCache>
                <c:formatCode>0.00</c:formatCode>
                <c:ptCount val="12"/>
                <c:pt idx="0">
                  <c:v>2033.9999999999998</c:v>
                </c:pt>
                <c:pt idx="1">
                  <c:v>2033.9999999999998</c:v>
                </c:pt>
                <c:pt idx="2">
                  <c:v>2033.9999999999998</c:v>
                </c:pt>
                <c:pt idx="3">
                  <c:v>2033.9999999999998</c:v>
                </c:pt>
                <c:pt idx="4">
                  <c:v>2033.9999999999998</c:v>
                </c:pt>
                <c:pt idx="5">
                  <c:v>2033.9999999999998</c:v>
                </c:pt>
                <c:pt idx="6">
                  <c:v>2033.9999999999998</c:v>
                </c:pt>
                <c:pt idx="7">
                  <c:v>2033.9999999999998</c:v>
                </c:pt>
                <c:pt idx="8">
                  <c:v>2033.9999999999998</c:v>
                </c:pt>
                <c:pt idx="9">
                  <c:v>2033.9999999999998</c:v>
                </c:pt>
                <c:pt idx="10">
                  <c:v>2033.9999999999998</c:v>
                </c:pt>
                <c:pt idx="11">
                  <c:v>2033.9999999999998</c:v>
                </c:pt>
              </c:numCache>
            </c:numRef>
          </c:val>
        </c:ser>
        <c:dLbls>
          <c:showLegendKey val="0"/>
          <c:showVal val="0"/>
          <c:showCatName val="0"/>
          <c:showSerName val="0"/>
          <c:showPercent val="0"/>
          <c:showBubbleSize val="0"/>
        </c:dLbls>
        <c:gapWidth val="20"/>
        <c:overlap val="100"/>
        <c:axId val="520171896"/>
        <c:axId val="520172288"/>
      </c:barChart>
      <c:catAx>
        <c:axId val="520171896"/>
        <c:scaling>
          <c:orientation val="minMax"/>
        </c:scaling>
        <c:delete val="0"/>
        <c:axPos val="b"/>
        <c:title>
          <c:tx>
            <c:rich>
              <a:bodyPr/>
              <a:lstStyle/>
              <a:p>
                <a:pPr>
                  <a:defRPr b="0"/>
                </a:pPr>
                <a:r>
                  <a:rPr lang="en-US" b="0"/>
                  <a:t>Orientation</a:t>
                </a:r>
              </a:p>
            </c:rich>
          </c:tx>
          <c:overlay val="0"/>
        </c:title>
        <c:numFmt formatCode="General" sourceLinked="0"/>
        <c:majorTickMark val="out"/>
        <c:minorTickMark val="none"/>
        <c:tickLblPos val="nextTo"/>
        <c:crossAx val="520172288"/>
        <c:crosses val="autoZero"/>
        <c:auto val="1"/>
        <c:lblAlgn val="ctr"/>
        <c:lblOffset val="100"/>
        <c:noMultiLvlLbl val="0"/>
      </c:catAx>
      <c:valAx>
        <c:axId val="520172288"/>
        <c:scaling>
          <c:orientation val="minMax"/>
        </c:scaling>
        <c:delete val="0"/>
        <c:axPos val="l"/>
        <c:majorGridlines/>
        <c:title>
          <c:tx>
            <c:rich>
              <a:bodyPr rot="-5400000" vert="horz"/>
              <a:lstStyle/>
              <a:p>
                <a:pPr>
                  <a:defRPr b="0"/>
                </a:pPr>
                <a:r>
                  <a:rPr lang="en-US" b="0"/>
                  <a:t>kWh per annum</a:t>
                </a:r>
              </a:p>
            </c:rich>
          </c:tx>
          <c:layout>
            <c:manualLayout>
              <c:xMode val="edge"/>
              <c:yMode val="edge"/>
              <c:x val="0"/>
              <c:y val="0.1743156009246207"/>
            </c:manualLayout>
          </c:layout>
          <c:overlay val="0"/>
        </c:title>
        <c:numFmt formatCode="0" sourceLinked="0"/>
        <c:majorTickMark val="out"/>
        <c:minorTickMark val="none"/>
        <c:tickLblPos val="nextTo"/>
        <c:crossAx val="520171896"/>
        <c:crosses val="autoZero"/>
        <c:crossBetween val="between"/>
      </c:valAx>
    </c:plotArea>
    <c:legend>
      <c:legendPos val="r"/>
      <c:layout>
        <c:manualLayout>
          <c:xMode val="edge"/>
          <c:yMode val="edge"/>
          <c:x val="0.83066493066319469"/>
          <c:y val="0.19527446569178852"/>
          <c:w val="0.16795271457209582"/>
          <c:h val="0.4062673415823022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4923921415522"/>
          <c:y val="5.064019794988759E-2"/>
          <c:w val="0.87143115300095408"/>
          <c:h val="0.76233680467360931"/>
        </c:manualLayout>
      </c:layout>
      <c:barChart>
        <c:barDir val="col"/>
        <c:grouping val="stacked"/>
        <c:varyColors val="0"/>
        <c:ser>
          <c:idx val="0"/>
          <c:order val="0"/>
          <c:tx>
            <c:strRef>
              <c:f>'Energy performance'!$C$89</c:f>
              <c:strCache>
                <c:ptCount val="1"/>
                <c:pt idx="0">
                  <c:v>Space heating</c:v>
                </c:pt>
              </c:strCache>
            </c:strRef>
          </c:tx>
          <c:spPr>
            <a:solidFill>
              <a:srgbClr val="F8696B"/>
            </a:solidFill>
          </c:spPr>
          <c:invertIfNegative val="0"/>
          <c:cat>
            <c:strRef>
              <c:f>'Energy performance'!$A$90:$A$101</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performance'!$C$90:$C$101</c:f>
              <c:numCache>
                <c:formatCode>0.00</c:formatCode>
                <c:ptCount val="12"/>
                <c:pt idx="0">
                  <c:v>685.1</c:v>
                </c:pt>
                <c:pt idx="1">
                  <c:v>689.4</c:v>
                </c:pt>
                <c:pt idx="2">
                  <c:v>694.4</c:v>
                </c:pt>
                <c:pt idx="3">
                  <c:v>696.6</c:v>
                </c:pt>
                <c:pt idx="4">
                  <c:v>705.30000000000007</c:v>
                </c:pt>
                <c:pt idx="5">
                  <c:v>708.4</c:v>
                </c:pt>
                <c:pt idx="6">
                  <c:v>724.5</c:v>
                </c:pt>
                <c:pt idx="7">
                  <c:v>724.9</c:v>
                </c:pt>
                <c:pt idx="8">
                  <c:v>706.7</c:v>
                </c:pt>
                <c:pt idx="9">
                  <c:v>710.30000000000007</c:v>
                </c:pt>
                <c:pt idx="10">
                  <c:v>705.9</c:v>
                </c:pt>
                <c:pt idx="11">
                  <c:v>691.1</c:v>
                </c:pt>
              </c:numCache>
            </c:numRef>
          </c:val>
        </c:ser>
        <c:dLbls>
          <c:showLegendKey val="0"/>
          <c:showVal val="0"/>
          <c:showCatName val="0"/>
          <c:showSerName val="0"/>
          <c:showPercent val="0"/>
          <c:showBubbleSize val="0"/>
        </c:dLbls>
        <c:gapWidth val="20"/>
        <c:overlap val="100"/>
        <c:axId val="618822776"/>
        <c:axId val="618823168"/>
      </c:barChart>
      <c:catAx>
        <c:axId val="618822776"/>
        <c:scaling>
          <c:orientation val="minMax"/>
        </c:scaling>
        <c:delete val="0"/>
        <c:axPos val="b"/>
        <c:title>
          <c:tx>
            <c:rich>
              <a:bodyPr/>
              <a:lstStyle/>
              <a:p>
                <a:pPr>
                  <a:defRPr b="0"/>
                </a:pPr>
                <a:r>
                  <a:rPr lang="en-US" b="0"/>
                  <a:t>Orientation</a:t>
                </a:r>
              </a:p>
            </c:rich>
          </c:tx>
          <c:layout>
            <c:manualLayout>
              <c:xMode val="edge"/>
              <c:yMode val="edge"/>
              <c:x val="0.4832821654868899"/>
              <c:y val="0.91371728498061155"/>
            </c:manualLayout>
          </c:layout>
          <c:overlay val="0"/>
        </c:title>
        <c:numFmt formatCode="General" sourceLinked="0"/>
        <c:majorTickMark val="out"/>
        <c:minorTickMark val="none"/>
        <c:tickLblPos val="nextTo"/>
        <c:crossAx val="618823168"/>
        <c:crosses val="autoZero"/>
        <c:auto val="1"/>
        <c:lblAlgn val="ctr"/>
        <c:lblOffset val="100"/>
        <c:noMultiLvlLbl val="0"/>
      </c:catAx>
      <c:valAx>
        <c:axId val="618823168"/>
        <c:scaling>
          <c:orientation val="minMax"/>
          <c:max val="900"/>
          <c:min val="400"/>
        </c:scaling>
        <c:delete val="0"/>
        <c:axPos val="l"/>
        <c:majorGridlines/>
        <c:title>
          <c:tx>
            <c:rich>
              <a:bodyPr rot="-5400000" vert="horz"/>
              <a:lstStyle/>
              <a:p>
                <a:pPr>
                  <a:defRPr b="0"/>
                </a:pPr>
                <a:r>
                  <a:rPr lang="en-US" b="0"/>
                  <a:t>kWh per annum</a:t>
                </a:r>
              </a:p>
            </c:rich>
          </c:tx>
          <c:layout>
            <c:manualLayout>
              <c:xMode val="edge"/>
              <c:yMode val="edge"/>
              <c:x val="0"/>
              <c:y val="0.21793360910521778"/>
            </c:manualLayout>
          </c:layout>
          <c:overlay val="0"/>
        </c:title>
        <c:numFmt formatCode="0" sourceLinked="0"/>
        <c:majorTickMark val="out"/>
        <c:minorTickMark val="none"/>
        <c:tickLblPos val="nextTo"/>
        <c:crossAx val="618822776"/>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4321959755031"/>
          <c:y val="5.3921568627450983E-2"/>
          <c:w val="0.87225250689817624"/>
          <c:h val="0.77347151459008801"/>
        </c:manualLayout>
      </c:layout>
      <c:barChart>
        <c:barDir val="col"/>
        <c:grouping val="clustered"/>
        <c:varyColors val="0"/>
        <c:ser>
          <c:idx val="0"/>
          <c:order val="0"/>
          <c:tx>
            <c:strRef>
              <c:f>'Energy performance'!$V$20</c:f>
              <c:strCache>
                <c:ptCount val="1"/>
                <c:pt idx="0">
                  <c:v>Mean energy consumption</c:v>
                </c:pt>
              </c:strCache>
            </c:strRef>
          </c:tx>
          <c:spPr>
            <a:solidFill>
              <a:schemeClr val="accent6"/>
            </a:solidFill>
            <a:ln w="38100">
              <a:noFill/>
            </a:ln>
          </c:spPr>
          <c:invertIfNegative val="0"/>
          <c:cat>
            <c:strRef>
              <c:f>'Energy performance'!$T$21:$T$27</c:f>
              <c:strCache>
                <c:ptCount val="7"/>
                <c:pt idx="0">
                  <c:v>1.1 SAP gas TRY</c:v>
                </c:pt>
                <c:pt idx="1">
                  <c:v>1.2 SAP gas HW TRY</c:v>
                </c:pt>
                <c:pt idx="2">
                  <c:v>2.1 SAP HP TRY</c:v>
                </c:pt>
                <c:pt idx="3">
                  <c:v>2.2 SAP HP HW TRY</c:v>
                </c:pt>
                <c:pt idx="4">
                  <c:v>3.1 SAP HP + MV TRY</c:v>
                </c:pt>
                <c:pt idx="5">
                  <c:v>3.2 SAP HP + AC TRY</c:v>
                </c:pt>
                <c:pt idx="6">
                  <c:v>3.3 SAP HP + NV TRY</c:v>
                </c:pt>
              </c:strCache>
            </c:strRef>
          </c:cat>
          <c:val>
            <c:numRef>
              <c:f>'Energy performance'!$V$21:$V$27</c:f>
              <c:numCache>
                <c:formatCode>0.00</c:formatCode>
                <c:ptCount val="7"/>
                <c:pt idx="0">
                  <c:v>113.96414394651624</c:v>
                </c:pt>
                <c:pt idx="1">
                  <c:v>122.75227201504231</c:v>
                </c:pt>
                <c:pt idx="2">
                  <c:v>59.215436644729976</c:v>
                </c:pt>
                <c:pt idx="3">
                  <c:v>62.225921863574634</c:v>
                </c:pt>
                <c:pt idx="4">
                  <c:v>67.766961767471003</c:v>
                </c:pt>
                <c:pt idx="5">
                  <c:v>67.347291862530042</c:v>
                </c:pt>
                <c:pt idx="6">
                  <c:v>59.413585083046065</c:v>
                </c:pt>
              </c:numCache>
            </c:numRef>
          </c:val>
        </c:ser>
        <c:dLbls>
          <c:showLegendKey val="0"/>
          <c:showVal val="0"/>
          <c:showCatName val="0"/>
          <c:showSerName val="0"/>
          <c:showPercent val="0"/>
          <c:showBubbleSize val="0"/>
        </c:dLbls>
        <c:gapWidth val="10"/>
        <c:axId val="618823952"/>
        <c:axId val="618824344"/>
      </c:barChart>
      <c:catAx>
        <c:axId val="618823952"/>
        <c:scaling>
          <c:orientation val="minMax"/>
        </c:scaling>
        <c:delete val="0"/>
        <c:axPos val="b"/>
        <c:numFmt formatCode="General" sourceLinked="0"/>
        <c:majorTickMark val="out"/>
        <c:minorTickMark val="none"/>
        <c:tickLblPos val="nextTo"/>
        <c:txPr>
          <a:bodyPr rot="0"/>
          <a:lstStyle/>
          <a:p>
            <a:pPr>
              <a:defRPr sz="900"/>
            </a:pPr>
            <a:endParaRPr lang="en-US"/>
          </a:p>
        </c:txPr>
        <c:crossAx val="618824344"/>
        <c:crosses val="autoZero"/>
        <c:auto val="1"/>
        <c:lblAlgn val="ctr"/>
        <c:lblOffset val="100"/>
        <c:noMultiLvlLbl val="0"/>
      </c:catAx>
      <c:valAx>
        <c:axId val="618824344"/>
        <c:scaling>
          <c:orientation val="minMax"/>
        </c:scaling>
        <c:delete val="0"/>
        <c:axPos val="l"/>
        <c:majorGridlines/>
        <c:title>
          <c:tx>
            <c:rich>
              <a:bodyPr rot="-5400000" vert="horz"/>
              <a:lstStyle/>
              <a:p>
                <a:pPr>
                  <a:defRPr b="0"/>
                </a:pPr>
                <a:r>
                  <a:rPr lang="en-GB" b="0"/>
                  <a:t>kWh/m</a:t>
                </a:r>
                <a:r>
                  <a:rPr lang="en-GB" b="0" baseline="30000"/>
                  <a:t>2</a:t>
                </a:r>
                <a:r>
                  <a:rPr lang="en-GB" b="0"/>
                  <a:t>/year</a:t>
                </a:r>
              </a:p>
            </c:rich>
          </c:tx>
          <c:layout>
            <c:manualLayout>
              <c:xMode val="edge"/>
              <c:yMode val="edge"/>
              <c:x val="5.341880341880342E-3"/>
              <c:y val="0.28613517060367455"/>
            </c:manualLayout>
          </c:layout>
          <c:overlay val="0"/>
        </c:title>
        <c:numFmt formatCode="0" sourceLinked="0"/>
        <c:majorTickMark val="out"/>
        <c:minorTickMark val="none"/>
        <c:tickLblPos val="nextTo"/>
        <c:crossAx val="618823952"/>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0964409112142"/>
          <c:y val="5.2009456264775412E-2"/>
          <c:w val="0.87179167507907662"/>
          <c:h val="0.7815044396046239"/>
        </c:manualLayout>
      </c:layout>
      <c:barChart>
        <c:barDir val="col"/>
        <c:grouping val="clustered"/>
        <c:varyColors val="0"/>
        <c:ser>
          <c:idx val="0"/>
          <c:order val="0"/>
          <c:tx>
            <c:strRef>
              <c:f>'Energy performance'!$U$20</c:f>
              <c:strCache>
                <c:ptCount val="1"/>
                <c:pt idx="0">
                  <c:v>Mean CO2 emissions</c:v>
                </c:pt>
              </c:strCache>
            </c:strRef>
          </c:tx>
          <c:spPr>
            <a:ln w="38100">
              <a:noFill/>
            </a:ln>
          </c:spPr>
          <c:invertIfNegative val="0"/>
          <c:cat>
            <c:strRef>
              <c:f>'Energy performance'!$T$21:$T$27</c:f>
              <c:strCache>
                <c:ptCount val="7"/>
                <c:pt idx="0">
                  <c:v>1.1 SAP gas TRY</c:v>
                </c:pt>
                <c:pt idx="1">
                  <c:v>1.2 SAP gas HW TRY</c:v>
                </c:pt>
                <c:pt idx="2">
                  <c:v>2.1 SAP HP TRY</c:v>
                </c:pt>
                <c:pt idx="3">
                  <c:v>2.2 SAP HP HW TRY</c:v>
                </c:pt>
                <c:pt idx="4">
                  <c:v>3.1 SAP HP + MV TRY</c:v>
                </c:pt>
                <c:pt idx="5">
                  <c:v>3.2 SAP HP + AC TRY</c:v>
                </c:pt>
                <c:pt idx="6">
                  <c:v>3.3 SAP HP + NV TRY</c:v>
                </c:pt>
              </c:strCache>
            </c:strRef>
          </c:cat>
          <c:val>
            <c:numRef>
              <c:f>'Energy performance'!$U$21:$U$27</c:f>
              <c:numCache>
                <c:formatCode>0.00</c:formatCode>
                <c:ptCount val="7"/>
                <c:pt idx="0">
                  <c:v>36.167002507051073</c:v>
                </c:pt>
                <c:pt idx="1">
                  <c:v>38.302861955499843</c:v>
                </c:pt>
                <c:pt idx="2">
                  <c:v>30.732811618614857</c:v>
                </c:pt>
                <c:pt idx="3">
                  <c:v>32.295253447195243</c:v>
                </c:pt>
                <c:pt idx="4">
                  <c:v>35.171053157317452</c:v>
                </c:pt>
                <c:pt idx="5">
                  <c:v>34.607319022250074</c:v>
                </c:pt>
                <c:pt idx="6">
                  <c:v>30.835650658100906</c:v>
                </c:pt>
              </c:numCache>
            </c:numRef>
          </c:val>
        </c:ser>
        <c:dLbls>
          <c:showLegendKey val="0"/>
          <c:showVal val="0"/>
          <c:showCatName val="0"/>
          <c:showSerName val="0"/>
          <c:showPercent val="0"/>
          <c:showBubbleSize val="0"/>
        </c:dLbls>
        <c:gapWidth val="10"/>
        <c:axId val="132191592"/>
        <c:axId val="621747056"/>
      </c:barChart>
      <c:catAx>
        <c:axId val="132191592"/>
        <c:scaling>
          <c:orientation val="minMax"/>
        </c:scaling>
        <c:delete val="0"/>
        <c:axPos val="b"/>
        <c:numFmt formatCode="General" sourceLinked="0"/>
        <c:majorTickMark val="out"/>
        <c:minorTickMark val="none"/>
        <c:tickLblPos val="nextTo"/>
        <c:txPr>
          <a:bodyPr rot="0"/>
          <a:lstStyle/>
          <a:p>
            <a:pPr>
              <a:defRPr sz="900"/>
            </a:pPr>
            <a:endParaRPr lang="en-US"/>
          </a:p>
        </c:txPr>
        <c:crossAx val="621747056"/>
        <c:crosses val="autoZero"/>
        <c:auto val="1"/>
        <c:lblAlgn val="ctr"/>
        <c:lblOffset val="100"/>
        <c:noMultiLvlLbl val="0"/>
      </c:catAx>
      <c:valAx>
        <c:axId val="621747056"/>
        <c:scaling>
          <c:orientation val="minMax"/>
        </c:scaling>
        <c:delete val="0"/>
        <c:axPos val="l"/>
        <c:majorGridlines/>
        <c:title>
          <c:tx>
            <c:rich>
              <a:bodyPr rot="-5400000" vert="horz"/>
              <a:lstStyle/>
              <a:p>
                <a:pPr>
                  <a:defRPr b="0"/>
                </a:pPr>
                <a:r>
                  <a:rPr lang="en-GB" b="0"/>
                  <a:t>kgCO</a:t>
                </a:r>
                <a:r>
                  <a:rPr lang="en-GB" b="0" baseline="-25000"/>
                  <a:t>2</a:t>
                </a:r>
                <a:r>
                  <a:rPr lang="en-GB" b="0"/>
                  <a:t>/m</a:t>
                </a:r>
                <a:r>
                  <a:rPr lang="en-GB" b="0" baseline="30000"/>
                  <a:t>2</a:t>
                </a:r>
                <a:r>
                  <a:rPr lang="en-GB" b="0"/>
                  <a:t>/year</a:t>
                </a:r>
              </a:p>
            </c:rich>
          </c:tx>
          <c:layout>
            <c:manualLayout>
              <c:xMode val="edge"/>
              <c:yMode val="edge"/>
              <c:x val="1.0946227875361732E-3"/>
              <c:y val="0.24758765228973245"/>
            </c:manualLayout>
          </c:layout>
          <c:overlay val="0"/>
        </c:title>
        <c:numFmt formatCode="0" sourceLinked="0"/>
        <c:majorTickMark val="out"/>
        <c:minorTickMark val="none"/>
        <c:tickLblPos val="nextTo"/>
        <c:crossAx val="132191592"/>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2266104532208"/>
          <c:y val="4.1740030491319503E-2"/>
          <c:w val="0.670258540517081"/>
          <c:h val="0.65840839895013115"/>
        </c:manualLayout>
      </c:layout>
      <c:barChart>
        <c:barDir val="col"/>
        <c:grouping val="stacked"/>
        <c:varyColors val="0"/>
        <c:ser>
          <c:idx val="2"/>
          <c:order val="0"/>
          <c:tx>
            <c:strRef>
              <c:f>'Energy performance'!$C$103</c:f>
              <c:strCache>
                <c:ptCount val="1"/>
                <c:pt idx="0">
                  <c:v>Space heating</c:v>
                </c:pt>
              </c:strCache>
            </c:strRef>
          </c:tx>
          <c:spPr>
            <a:solidFill>
              <a:srgbClr val="F3696B"/>
            </a:solidFill>
          </c:spPr>
          <c:invertIfNegative val="0"/>
          <c:cat>
            <c:strRef>
              <c:f>'Energy performance'!$B$104:$B$117</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performance'!$C$104:$C$117</c:f>
              <c:numCache>
                <c:formatCode>0.00</c:formatCode>
                <c:ptCount val="14"/>
                <c:pt idx="0">
                  <c:v>477.9</c:v>
                </c:pt>
                <c:pt idx="1">
                  <c:v>569.6</c:v>
                </c:pt>
                <c:pt idx="2">
                  <c:v>556.79999999999995</c:v>
                </c:pt>
                <c:pt idx="3">
                  <c:v>698.1</c:v>
                </c:pt>
                <c:pt idx="4">
                  <c:v>583.20000000000005</c:v>
                </c:pt>
                <c:pt idx="5">
                  <c:v>661.2</c:v>
                </c:pt>
                <c:pt idx="6">
                  <c:v>725.1</c:v>
                </c:pt>
                <c:pt idx="7">
                  <c:v>749.9</c:v>
                </c:pt>
                <c:pt idx="8">
                  <c:v>677.2</c:v>
                </c:pt>
                <c:pt idx="9">
                  <c:v>686.69999999999993</c:v>
                </c:pt>
                <c:pt idx="10">
                  <c:v>715.40000000000009</c:v>
                </c:pt>
                <c:pt idx="11">
                  <c:v>764.5</c:v>
                </c:pt>
                <c:pt idx="12">
                  <c:v>849.8</c:v>
                </c:pt>
                <c:pt idx="13">
                  <c:v>832.9</c:v>
                </c:pt>
              </c:numCache>
            </c:numRef>
          </c:val>
        </c:ser>
        <c:ser>
          <c:idx val="3"/>
          <c:order val="1"/>
          <c:tx>
            <c:strRef>
              <c:f>'Energy performance'!$D$103</c:f>
              <c:strCache>
                <c:ptCount val="1"/>
                <c:pt idx="0">
                  <c:v>DHW</c:v>
                </c:pt>
              </c:strCache>
            </c:strRef>
          </c:tx>
          <c:spPr>
            <a:solidFill>
              <a:srgbClr val="A03C50"/>
            </a:solidFill>
          </c:spPr>
          <c:invertIfNegative val="0"/>
          <c:cat>
            <c:strRef>
              <c:f>'Energy performance'!$B$104:$B$117</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performance'!$D$104:$D$117</c:f>
              <c:numCache>
                <c:formatCode>0.00</c:formatCode>
                <c:ptCount val="14"/>
                <c:pt idx="0">
                  <c:v>2014.2000000000003</c:v>
                </c:pt>
                <c:pt idx="1">
                  <c:v>2014.2000000000003</c:v>
                </c:pt>
                <c:pt idx="2">
                  <c:v>2014.2000000000003</c:v>
                </c:pt>
                <c:pt idx="3">
                  <c:v>2014.2000000000003</c:v>
                </c:pt>
                <c:pt idx="4">
                  <c:v>2014.2000000000003</c:v>
                </c:pt>
                <c:pt idx="5">
                  <c:v>2014.2000000000003</c:v>
                </c:pt>
                <c:pt idx="6">
                  <c:v>2014.2000000000003</c:v>
                </c:pt>
                <c:pt idx="7">
                  <c:v>2014.2000000000003</c:v>
                </c:pt>
                <c:pt idx="8">
                  <c:v>2014.2000000000003</c:v>
                </c:pt>
                <c:pt idx="9">
                  <c:v>2014.2000000000003</c:v>
                </c:pt>
                <c:pt idx="10">
                  <c:v>2014.2000000000003</c:v>
                </c:pt>
                <c:pt idx="11">
                  <c:v>2014.2000000000003</c:v>
                </c:pt>
                <c:pt idx="12">
                  <c:v>2014.2000000000003</c:v>
                </c:pt>
                <c:pt idx="13">
                  <c:v>2014.2000000000003</c:v>
                </c:pt>
              </c:numCache>
            </c:numRef>
          </c:val>
        </c:ser>
        <c:ser>
          <c:idx val="4"/>
          <c:order val="2"/>
          <c:tx>
            <c:strRef>
              <c:f>'Energy performance'!$E$103</c:f>
              <c:strCache>
                <c:ptCount val="1"/>
                <c:pt idx="0">
                  <c:v>Ventilation</c:v>
                </c:pt>
              </c:strCache>
            </c:strRef>
          </c:tx>
          <c:spPr>
            <a:solidFill>
              <a:schemeClr val="accent5">
                <a:lumMod val="60000"/>
                <a:lumOff val="40000"/>
              </a:schemeClr>
            </a:solidFill>
          </c:spPr>
          <c:invertIfNegative val="0"/>
          <c:cat>
            <c:strRef>
              <c:f>'Energy performance'!$B$104:$B$117</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performance'!$E$104:$E$117</c:f>
              <c:numCache>
                <c:formatCode>0.00</c:formatCode>
                <c:ptCount val="14"/>
                <c:pt idx="0">
                  <c:v>461.3</c:v>
                </c:pt>
                <c:pt idx="1">
                  <c:v>461.3</c:v>
                </c:pt>
                <c:pt idx="2">
                  <c:v>461.3</c:v>
                </c:pt>
                <c:pt idx="3">
                  <c:v>461.3</c:v>
                </c:pt>
                <c:pt idx="4">
                  <c:v>461.3</c:v>
                </c:pt>
                <c:pt idx="5">
                  <c:v>461.3</c:v>
                </c:pt>
                <c:pt idx="6">
                  <c:v>461.3</c:v>
                </c:pt>
                <c:pt idx="7">
                  <c:v>461.3</c:v>
                </c:pt>
                <c:pt idx="8">
                  <c:v>461.3</c:v>
                </c:pt>
                <c:pt idx="9">
                  <c:v>461.3</c:v>
                </c:pt>
                <c:pt idx="10">
                  <c:v>461.3</c:v>
                </c:pt>
                <c:pt idx="11">
                  <c:v>461.3</c:v>
                </c:pt>
                <c:pt idx="12">
                  <c:v>461.3</c:v>
                </c:pt>
                <c:pt idx="13">
                  <c:v>461.3</c:v>
                </c:pt>
              </c:numCache>
            </c:numRef>
          </c:val>
        </c:ser>
        <c:ser>
          <c:idx val="0"/>
          <c:order val="3"/>
          <c:tx>
            <c:strRef>
              <c:f>'Energy performance'!$G$103</c:f>
              <c:strCache>
                <c:ptCount val="1"/>
                <c:pt idx="0">
                  <c:v>Lights</c:v>
                </c:pt>
              </c:strCache>
            </c:strRef>
          </c:tx>
          <c:spPr>
            <a:solidFill>
              <a:srgbClr val="FFEB84"/>
            </a:solidFill>
          </c:spPr>
          <c:invertIfNegative val="0"/>
          <c:cat>
            <c:strRef>
              <c:f>'Energy performance'!$B$104:$B$117</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performance'!$G$104:$G$117</c:f>
              <c:numCache>
                <c:formatCode>0.00</c:formatCode>
                <c:ptCount val="14"/>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pt idx="12">
                  <c:v>2370.5</c:v>
                </c:pt>
                <c:pt idx="13">
                  <c:v>2370.5</c:v>
                </c:pt>
              </c:numCache>
            </c:numRef>
          </c:val>
        </c:ser>
        <c:ser>
          <c:idx val="1"/>
          <c:order val="4"/>
          <c:tx>
            <c:strRef>
              <c:f>'Energy performance'!$H$103</c:f>
              <c:strCache>
                <c:ptCount val="1"/>
                <c:pt idx="0">
                  <c:v>Equipment</c:v>
                </c:pt>
              </c:strCache>
            </c:strRef>
          </c:tx>
          <c:spPr>
            <a:solidFill>
              <a:srgbClr val="909090"/>
            </a:solidFill>
          </c:spPr>
          <c:invertIfNegative val="0"/>
          <c:cat>
            <c:strRef>
              <c:f>'Energy performance'!$B$104:$B$117</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performance'!$H$104:$H$117</c:f>
              <c:numCache>
                <c:formatCode>0.00</c:formatCode>
                <c:ptCount val="14"/>
                <c:pt idx="0">
                  <c:v>2033.9999999999998</c:v>
                </c:pt>
                <c:pt idx="1">
                  <c:v>2033.9999999999998</c:v>
                </c:pt>
                <c:pt idx="2">
                  <c:v>2033.9999999999998</c:v>
                </c:pt>
                <c:pt idx="3">
                  <c:v>2033.9999999999998</c:v>
                </c:pt>
                <c:pt idx="4">
                  <c:v>2033.9999999999998</c:v>
                </c:pt>
                <c:pt idx="5">
                  <c:v>2033.9999999999998</c:v>
                </c:pt>
                <c:pt idx="6">
                  <c:v>2033.9999999999998</c:v>
                </c:pt>
                <c:pt idx="7">
                  <c:v>2033.9999999999998</c:v>
                </c:pt>
                <c:pt idx="8">
                  <c:v>2033.9999999999998</c:v>
                </c:pt>
                <c:pt idx="9">
                  <c:v>2033.9999999999998</c:v>
                </c:pt>
                <c:pt idx="10">
                  <c:v>2033.9999999999998</c:v>
                </c:pt>
                <c:pt idx="11">
                  <c:v>2033.9999999999998</c:v>
                </c:pt>
                <c:pt idx="12">
                  <c:v>2033.9999999999998</c:v>
                </c:pt>
                <c:pt idx="13">
                  <c:v>2033.9999999999998</c:v>
                </c:pt>
              </c:numCache>
            </c:numRef>
          </c:val>
        </c:ser>
        <c:dLbls>
          <c:showLegendKey val="0"/>
          <c:showVal val="0"/>
          <c:showCatName val="0"/>
          <c:showSerName val="0"/>
          <c:showPercent val="0"/>
          <c:showBubbleSize val="0"/>
        </c:dLbls>
        <c:gapWidth val="20"/>
        <c:overlap val="100"/>
        <c:axId val="419254440"/>
        <c:axId val="419254832"/>
      </c:barChart>
      <c:catAx>
        <c:axId val="419254440"/>
        <c:scaling>
          <c:orientation val="minMax"/>
        </c:scaling>
        <c:delete val="0"/>
        <c:axPos val="b"/>
        <c:numFmt formatCode="General" sourceLinked="0"/>
        <c:majorTickMark val="out"/>
        <c:minorTickMark val="none"/>
        <c:tickLblPos val="nextTo"/>
        <c:crossAx val="419254832"/>
        <c:crosses val="autoZero"/>
        <c:auto val="1"/>
        <c:lblAlgn val="ctr"/>
        <c:lblOffset val="100"/>
        <c:noMultiLvlLbl val="0"/>
      </c:catAx>
      <c:valAx>
        <c:axId val="419254832"/>
        <c:scaling>
          <c:orientation val="minMax"/>
        </c:scaling>
        <c:delete val="0"/>
        <c:axPos val="l"/>
        <c:majorGridlines/>
        <c:title>
          <c:tx>
            <c:rich>
              <a:bodyPr rot="-5400000" vert="horz"/>
              <a:lstStyle/>
              <a:p>
                <a:pPr>
                  <a:defRPr b="0"/>
                </a:pPr>
                <a:r>
                  <a:rPr lang="en-US" b="0"/>
                  <a:t>kWh per annum</a:t>
                </a:r>
              </a:p>
            </c:rich>
          </c:tx>
          <c:layout>
            <c:manualLayout>
              <c:xMode val="edge"/>
              <c:yMode val="edge"/>
              <c:x val="0"/>
              <c:y val="0.1743156009246207"/>
            </c:manualLayout>
          </c:layout>
          <c:overlay val="0"/>
        </c:title>
        <c:numFmt formatCode="0" sourceLinked="0"/>
        <c:majorTickMark val="out"/>
        <c:minorTickMark val="none"/>
        <c:tickLblPos val="nextTo"/>
        <c:crossAx val="419254440"/>
        <c:crosses val="autoZero"/>
        <c:crossBetween val="between"/>
      </c:valAx>
    </c:plotArea>
    <c:legend>
      <c:legendPos val="r"/>
      <c:layout>
        <c:manualLayout>
          <c:xMode val="edge"/>
          <c:yMode val="edge"/>
          <c:x val="0.83066493066319469"/>
          <c:y val="0.19527446569178852"/>
          <c:w val="0.16795271457209582"/>
          <c:h val="0.34867391507920598"/>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4923921415522"/>
          <c:y val="5.064019794988759E-2"/>
          <c:w val="0.87143115300095408"/>
          <c:h val="0.66191391412654854"/>
        </c:manualLayout>
      </c:layout>
      <c:barChart>
        <c:barDir val="col"/>
        <c:grouping val="stacked"/>
        <c:varyColors val="0"/>
        <c:ser>
          <c:idx val="0"/>
          <c:order val="0"/>
          <c:tx>
            <c:strRef>
              <c:f>'Energy performance'!$C$103</c:f>
              <c:strCache>
                <c:ptCount val="1"/>
                <c:pt idx="0">
                  <c:v>Space heating</c:v>
                </c:pt>
              </c:strCache>
            </c:strRef>
          </c:tx>
          <c:spPr>
            <a:solidFill>
              <a:srgbClr val="F8696B"/>
            </a:solidFill>
          </c:spPr>
          <c:invertIfNegative val="0"/>
          <c:cat>
            <c:strRef>
              <c:f>'Energy performance'!$B$104:$B$117</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performance'!$C$104:$C$117</c:f>
              <c:numCache>
                <c:formatCode>0.00</c:formatCode>
                <c:ptCount val="14"/>
                <c:pt idx="0">
                  <c:v>477.9</c:v>
                </c:pt>
                <c:pt idx="1">
                  <c:v>569.6</c:v>
                </c:pt>
                <c:pt idx="2">
                  <c:v>556.79999999999995</c:v>
                </c:pt>
                <c:pt idx="3">
                  <c:v>698.1</c:v>
                </c:pt>
                <c:pt idx="4">
                  <c:v>583.20000000000005</c:v>
                </c:pt>
                <c:pt idx="5">
                  <c:v>661.2</c:v>
                </c:pt>
                <c:pt idx="6">
                  <c:v>725.1</c:v>
                </c:pt>
                <c:pt idx="7">
                  <c:v>749.9</c:v>
                </c:pt>
                <c:pt idx="8">
                  <c:v>677.2</c:v>
                </c:pt>
                <c:pt idx="9">
                  <c:v>686.69999999999993</c:v>
                </c:pt>
                <c:pt idx="10">
                  <c:v>715.40000000000009</c:v>
                </c:pt>
                <c:pt idx="11">
                  <c:v>764.5</c:v>
                </c:pt>
                <c:pt idx="12">
                  <c:v>849.8</c:v>
                </c:pt>
                <c:pt idx="13">
                  <c:v>832.9</c:v>
                </c:pt>
              </c:numCache>
            </c:numRef>
          </c:val>
        </c:ser>
        <c:dLbls>
          <c:showLegendKey val="0"/>
          <c:showVal val="0"/>
          <c:showCatName val="0"/>
          <c:showSerName val="0"/>
          <c:showPercent val="0"/>
          <c:showBubbleSize val="0"/>
        </c:dLbls>
        <c:gapWidth val="20"/>
        <c:overlap val="100"/>
        <c:axId val="419255616"/>
        <c:axId val="419256008"/>
      </c:barChart>
      <c:catAx>
        <c:axId val="419255616"/>
        <c:scaling>
          <c:orientation val="minMax"/>
        </c:scaling>
        <c:delete val="0"/>
        <c:axPos val="b"/>
        <c:numFmt formatCode="General" sourceLinked="0"/>
        <c:majorTickMark val="out"/>
        <c:minorTickMark val="none"/>
        <c:tickLblPos val="nextTo"/>
        <c:crossAx val="419256008"/>
        <c:crosses val="autoZero"/>
        <c:auto val="1"/>
        <c:lblAlgn val="ctr"/>
        <c:lblOffset val="100"/>
        <c:noMultiLvlLbl val="0"/>
      </c:catAx>
      <c:valAx>
        <c:axId val="419256008"/>
        <c:scaling>
          <c:orientation val="minMax"/>
          <c:max val="900"/>
          <c:min val="400"/>
        </c:scaling>
        <c:delete val="0"/>
        <c:axPos val="l"/>
        <c:majorGridlines/>
        <c:title>
          <c:tx>
            <c:rich>
              <a:bodyPr rot="-5400000" vert="horz"/>
              <a:lstStyle/>
              <a:p>
                <a:pPr>
                  <a:defRPr b="0"/>
                </a:pPr>
                <a:r>
                  <a:rPr lang="en-US" b="0"/>
                  <a:t>kWh per annum</a:t>
                </a:r>
              </a:p>
            </c:rich>
          </c:tx>
          <c:layout>
            <c:manualLayout>
              <c:xMode val="edge"/>
              <c:yMode val="edge"/>
              <c:x val="0"/>
              <c:y val="0.16534265433993678"/>
            </c:manualLayout>
          </c:layout>
          <c:overlay val="0"/>
        </c:title>
        <c:numFmt formatCode="0" sourceLinked="0"/>
        <c:majorTickMark val="out"/>
        <c:minorTickMark val="none"/>
        <c:tickLblPos val="nextTo"/>
        <c:crossAx val="419255616"/>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2266104532208"/>
          <c:y val="4.1740030491319503E-2"/>
          <c:w val="0.670258540517081"/>
          <c:h val="0.66691129056478449"/>
        </c:manualLayout>
      </c:layout>
      <c:barChart>
        <c:barDir val="col"/>
        <c:grouping val="stacked"/>
        <c:varyColors val="0"/>
        <c:ser>
          <c:idx val="2"/>
          <c:order val="0"/>
          <c:tx>
            <c:strRef>
              <c:f>'Energy performance'!$C$119</c:f>
              <c:strCache>
                <c:ptCount val="1"/>
                <c:pt idx="0">
                  <c:v>Space heating</c:v>
                </c:pt>
              </c:strCache>
            </c:strRef>
          </c:tx>
          <c:spPr>
            <a:solidFill>
              <a:srgbClr val="F3696B"/>
            </a:solidFill>
          </c:spPr>
          <c:invertIfNegative val="0"/>
          <c:cat>
            <c:strRef>
              <c:f>'Energy performance'!$B$120:$B$133</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performance'!$C$120:$C$133</c:f>
              <c:numCache>
                <c:formatCode>0.00</c:formatCode>
                <c:ptCount val="14"/>
                <c:pt idx="0">
                  <c:v>559.4</c:v>
                </c:pt>
                <c:pt idx="1">
                  <c:v>550.79999999999995</c:v>
                </c:pt>
                <c:pt idx="2">
                  <c:v>549</c:v>
                </c:pt>
                <c:pt idx="3">
                  <c:v>720.30000000000007</c:v>
                </c:pt>
                <c:pt idx="4">
                  <c:v>655.1</c:v>
                </c:pt>
                <c:pt idx="5">
                  <c:v>671.6</c:v>
                </c:pt>
                <c:pt idx="6">
                  <c:v>723.9</c:v>
                </c:pt>
                <c:pt idx="7">
                  <c:v>741.80000000000007</c:v>
                </c:pt>
                <c:pt idx="8">
                  <c:v>685.6</c:v>
                </c:pt>
                <c:pt idx="9">
                  <c:v>724.5</c:v>
                </c:pt>
                <c:pt idx="10">
                  <c:v>704.30000000000007</c:v>
                </c:pt>
                <c:pt idx="11">
                  <c:v>779.80000000000007</c:v>
                </c:pt>
                <c:pt idx="12">
                  <c:v>853.3</c:v>
                </c:pt>
                <c:pt idx="13">
                  <c:v>823.69999999999993</c:v>
                </c:pt>
              </c:numCache>
            </c:numRef>
          </c:val>
        </c:ser>
        <c:ser>
          <c:idx val="3"/>
          <c:order val="1"/>
          <c:tx>
            <c:strRef>
              <c:f>'Energy performance'!$D$119</c:f>
              <c:strCache>
                <c:ptCount val="1"/>
                <c:pt idx="0">
                  <c:v>DHW</c:v>
                </c:pt>
              </c:strCache>
            </c:strRef>
          </c:tx>
          <c:spPr>
            <a:solidFill>
              <a:srgbClr val="A03C50"/>
            </a:solidFill>
          </c:spPr>
          <c:invertIfNegative val="0"/>
          <c:cat>
            <c:strRef>
              <c:f>'Energy performance'!$B$120:$B$133</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performance'!$D$120:$D$133</c:f>
              <c:numCache>
                <c:formatCode>0.00</c:formatCode>
                <c:ptCount val="14"/>
                <c:pt idx="0">
                  <c:v>2014.2000000000003</c:v>
                </c:pt>
                <c:pt idx="1">
                  <c:v>2014.2000000000003</c:v>
                </c:pt>
                <c:pt idx="2">
                  <c:v>2014.2000000000003</c:v>
                </c:pt>
                <c:pt idx="3">
                  <c:v>2014.2000000000003</c:v>
                </c:pt>
                <c:pt idx="4">
                  <c:v>2014.2000000000003</c:v>
                </c:pt>
                <c:pt idx="5">
                  <c:v>2014.2000000000003</c:v>
                </c:pt>
                <c:pt idx="6">
                  <c:v>2014.2000000000003</c:v>
                </c:pt>
                <c:pt idx="7">
                  <c:v>2014.2000000000003</c:v>
                </c:pt>
                <c:pt idx="8">
                  <c:v>2014.2000000000003</c:v>
                </c:pt>
                <c:pt idx="9">
                  <c:v>2014.2000000000003</c:v>
                </c:pt>
                <c:pt idx="10">
                  <c:v>2014.2000000000003</c:v>
                </c:pt>
                <c:pt idx="11">
                  <c:v>2014.2000000000003</c:v>
                </c:pt>
                <c:pt idx="12">
                  <c:v>2014.2000000000003</c:v>
                </c:pt>
                <c:pt idx="13">
                  <c:v>2014.2000000000003</c:v>
                </c:pt>
              </c:numCache>
            </c:numRef>
          </c:val>
        </c:ser>
        <c:ser>
          <c:idx val="4"/>
          <c:order val="2"/>
          <c:tx>
            <c:strRef>
              <c:f>'Energy performance'!$E$119</c:f>
              <c:strCache>
                <c:ptCount val="1"/>
                <c:pt idx="0">
                  <c:v>Ventilation</c:v>
                </c:pt>
              </c:strCache>
            </c:strRef>
          </c:tx>
          <c:spPr>
            <a:solidFill>
              <a:schemeClr val="accent5">
                <a:lumMod val="60000"/>
                <a:lumOff val="40000"/>
              </a:schemeClr>
            </a:solidFill>
          </c:spPr>
          <c:invertIfNegative val="0"/>
          <c:cat>
            <c:strRef>
              <c:f>'Energy performance'!$B$120:$B$133</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performance'!$E$120:$E$133</c:f>
              <c:numCache>
                <c:formatCode>0.00</c:formatCode>
                <c:ptCount val="14"/>
                <c:pt idx="0">
                  <c:v>461.3</c:v>
                </c:pt>
                <c:pt idx="1">
                  <c:v>461.3</c:v>
                </c:pt>
                <c:pt idx="2">
                  <c:v>461.3</c:v>
                </c:pt>
                <c:pt idx="3">
                  <c:v>461.3</c:v>
                </c:pt>
                <c:pt idx="4">
                  <c:v>461.3</c:v>
                </c:pt>
                <c:pt idx="5">
                  <c:v>461.3</c:v>
                </c:pt>
                <c:pt idx="6">
                  <c:v>461.3</c:v>
                </c:pt>
                <c:pt idx="7">
                  <c:v>461.3</c:v>
                </c:pt>
                <c:pt idx="8">
                  <c:v>461.3</c:v>
                </c:pt>
                <c:pt idx="9">
                  <c:v>461.3</c:v>
                </c:pt>
                <c:pt idx="10">
                  <c:v>461.3</c:v>
                </c:pt>
                <c:pt idx="11">
                  <c:v>461.3</c:v>
                </c:pt>
                <c:pt idx="12">
                  <c:v>461.3</c:v>
                </c:pt>
                <c:pt idx="13">
                  <c:v>461.3</c:v>
                </c:pt>
              </c:numCache>
            </c:numRef>
          </c:val>
        </c:ser>
        <c:ser>
          <c:idx val="0"/>
          <c:order val="3"/>
          <c:tx>
            <c:strRef>
              <c:f>'Energy performance'!$G$119</c:f>
              <c:strCache>
                <c:ptCount val="1"/>
                <c:pt idx="0">
                  <c:v>Lights</c:v>
                </c:pt>
              </c:strCache>
            </c:strRef>
          </c:tx>
          <c:spPr>
            <a:solidFill>
              <a:srgbClr val="FFEB84"/>
            </a:solidFill>
          </c:spPr>
          <c:invertIfNegative val="0"/>
          <c:cat>
            <c:strRef>
              <c:f>'Energy performance'!$B$120:$B$133</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performance'!$G$120:$G$133</c:f>
              <c:numCache>
                <c:formatCode>0.00</c:formatCode>
                <c:ptCount val="14"/>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pt idx="12">
                  <c:v>2370.5</c:v>
                </c:pt>
                <c:pt idx="13">
                  <c:v>2370.5</c:v>
                </c:pt>
              </c:numCache>
            </c:numRef>
          </c:val>
        </c:ser>
        <c:ser>
          <c:idx val="1"/>
          <c:order val="4"/>
          <c:tx>
            <c:strRef>
              <c:f>'Energy performance'!$H$119</c:f>
              <c:strCache>
                <c:ptCount val="1"/>
                <c:pt idx="0">
                  <c:v>Equipment</c:v>
                </c:pt>
              </c:strCache>
            </c:strRef>
          </c:tx>
          <c:spPr>
            <a:solidFill>
              <a:srgbClr val="909090"/>
            </a:solidFill>
          </c:spPr>
          <c:invertIfNegative val="0"/>
          <c:cat>
            <c:strRef>
              <c:f>'Energy performance'!$B$120:$B$133</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performance'!$H$120:$H$133</c:f>
              <c:numCache>
                <c:formatCode>0.00</c:formatCode>
                <c:ptCount val="14"/>
                <c:pt idx="0">
                  <c:v>2033.9999999999998</c:v>
                </c:pt>
                <c:pt idx="1">
                  <c:v>2033.9999999999998</c:v>
                </c:pt>
                <c:pt idx="2">
                  <c:v>2033.9999999999998</c:v>
                </c:pt>
                <c:pt idx="3">
                  <c:v>2033.9999999999998</c:v>
                </c:pt>
                <c:pt idx="4">
                  <c:v>2033.9999999999998</c:v>
                </c:pt>
                <c:pt idx="5">
                  <c:v>2033.9999999999998</c:v>
                </c:pt>
                <c:pt idx="6">
                  <c:v>2033.9999999999998</c:v>
                </c:pt>
                <c:pt idx="7">
                  <c:v>2033.9999999999998</c:v>
                </c:pt>
                <c:pt idx="8">
                  <c:v>2033.9999999999998</c:v>
                </c:pt>
                <c:pt idx="9">
                  <c:v>2033.9999999999998</c:v>
                </c:pt>
                <c:pt idx="10">
                  <c:v>2033.9999999999998</c:v>
                </c:pt>
                <c:pt idx="11">
                  <c:v>2033.9999999999998</c:v>
                </c:pt>
                <c:pt idx="12">
                  <c:v>2033.9999999999998</c:v>
                </c:pt>
                <c:pt idx="13">
                  <c:v>2033.9999999999998</c:v>
                </c:pt>
              </c:numCache>
            </c:numRef>
          </c:val>
        </c:ser>
        <c:dLbls>
          <c:showLegendKey val="0"/>
          <c:showVal val="0"/>
          <c:showCatName val="0"/>
          <c:showSerName val="0"/>
          <c:showPercent val="0"/>
          <c:showBubbleSize val="0"/>
        </c:dLbls>
        <c:gapWidth val="20"/>
        <c:overlap val="100"/>
        <c:axId val="419273264"/>
        <c:axId val="419273656"/>
      </c:barChart>
      <c:catAx>
        <c:axId val="419273264"/>
        <c:scaling>
          <c:orientation val="minMax"/>
        </c:scaling>
        <c:delete val="0"/>
        <c:axPos val="b"/>
        <c:numFmt formatCode="General" sourceLinked="0"/>
        <c:majorTickMark val="out"/>
        <c:minorTickMark val="none"/>
        <c:tickLblPos val="nextTo"/>
        <c:crossAx val="419273656"/>
        <c:crosses val="autoZero"/>
        <c:auto val="1"/>
        <c:lblAlgn val="ctr"/>
        <c:lblOffset val="100"/>
        <c:noMultiLvlLbl val="0"/>
      </c:catAx>
      <c:valAx>
        <c:axId val="419273656"/>
        <c:scaling>
          <c:orientation val="minMax"/>
        </c:scaling>
        <c:delete val="0"/>
        <c:axPos val="l"/>
        <c:majorGridlines/>
        <c:title>
          <c:tx>
            <c:rich>
              <a:bodyPr rot="-5400000" vert="horz"/>
              <a:lstStyle/>
              <a:p>
                <a:pPr>
                  <a:defRPr b="0"/>
                </a:pPr>
                <a:r>
                  <a:rPr lang="en-US" b="0"/>
                  <a:t>kWh per annum</a:t>
                </a:r>
              </a:p>
            </c:rich>
          </c:tx>
          <c:layout>
            <c:manualLayout>
              <c:xMode val="edge"/>
              <c:yMode val="edge"/>
              <c:x val="0"/>
              <c:y val="0.1743156009246207"/>
            </c:manualLayout>
          </c:layout>
          <c:overlay val="0"/>
        </c:title>
        <c:numFmt formatCode="0" sourceLinked="0"/>
        <c:majorTickMark val="out"/>
        <c:minorTickMark val="none"/>
        <c:tickLblPos val="nextTo"/>
        <c:crossAx val="419273264"/>
        <c:crosses val="autoZero"/>
        <c:crossBetween val="between"/>
      </c:valAx>
    </c:plotArea>
    <c:legend>
      <c:legendPos val="r"/>
      <c:layout>
        <c:manualLayout>
          <c:xMode val="edge"/>
          <c:yMode val="edge"/>
          <c:x val="0.83066493066319469"/>
          <c:y val="0.19527446569178852"/>
          <c:w val="0.16795271457209582"/>
          <c:h val="0.34867391507920598"/>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4923921415522"/>
          <c:y val="5.064019794988759E-2"/>
          <c:w val="0.87143115300095408"/>
          <c:h val="0.66191391412654854"/>
        </c:manualLayout>
      </c:layout>
      <c:barChart>
        <c:barDir val="col"/>
        <c:grouping val="stacked"/>
        <c:varyColors val="0"/>
        <c:ser>
          <c:idx val="0"/>
          <c:order val="0"/>
          <c:tx>
            <c:strRef>
              <c:f>'Energy performance'!$C$119</c:f>
              <c:strCache>
                <c:ptCount val="1"/>
                <c:pt idx="0">
                  <c:v>Space heating</c:v>
                </c:pt>
              </c:strCache>
            </c:strRef>
          </c:tx>
          <c:spPr>
            <a:solidFill>
              <a:srgbClr val="F8696B"/>
            </a:solidFill>
          </c:spPr>
          <c:invertIfNegative val="0"/>
          <c:cat>
            <c:strRef>
              <c:f>'Energy performance'!$B$120:$B$133</c:f>
              <c:strCache>
                <c:ptCount val="14"/>
                <c:pt idx="0">
                  <c:v>Plymouth</c:v>
                </c:pt>
                <c:pt idx="1">
                  <c:v>Southampton</c:v>
                </c:pt>
                <c:pt idx="2">
                  <c:v>London</c:v>
                </c:pt>
                <c:pt idx="3">
                  <c:v>Swindon</c:v>
                </c:pt>
                <c:pt idx="4">
                  <c:v>Cardiff</c:v>
                </c:pt>
                <c:pt idx="5">
                  <c:v>Norwich</c:v>
                </c:pt>
                <c:pt idx="6">
                  <c:v>Birmingham</c:v>
                </c:pt>
                <c:pt idx="7">
                  <c:v>Nottingham</c:v>
                </c:pt>
                <c:pt idx="8">
                  <c:v>Manchester</c:v>
                </c:pt>
                <c:pt idx="9">
                  <c:v>Leeds</c:v>
                </c:pt>
                <c:pt idx="10">
                  <c:v>Newcastle</c:v>
                </c:pt>
                <c:pt idx="11">
                  <c:v>Belfast</c:v>
                </c:pt>
                <c:pt idx="12">
                  <c:v>Glasgow</c:v>
                </c:pt>
                <c:pt idx="13">
                  <c:v>Edinburgh</c:v>
                </c:pt>
              </c:strCache>
            </c:strRef>
          </c:cat>
          <c:val>
            <c:numRef>
              <c:f>'Energy performance'!$C$120:$C$133</c:f>
              <c:numCache>
                <c:formatCode>0.00</c:formatCode>
                <c:ptCount val="14"/>
                <c:pt idx="0">
                  <c:v>559.4</c:v>
                </c:pt>
                <c:pt idx="1">
                  <c:v>550.79999999999995</c:v>
                </c:pt>
                <c:pt idx="2">
                  <c:v>549</c:v>
                </c:pt>
                <c:pt idx="3">
                  <c:v>720.30000000000007</c:v>
                </c:pt>
                <c:pt idx="4">
                  <c:v>655.1</c:v>
                </c:pt>
                <c:pt idx="5">
                  <c:v>671.6</c:v>
                </c:pt>
                <c:pt idx="6">
                  <c:v>723.9</c:v>
                </c:pt>
                <c:pt idx="7">
                  <c:v>741.80000000000007</c:v>
                </c:pt>
                <c:pt idx="8">
                  <c:v>685.6</c:v>
                </c:pt>
                <c:pt idx="9">
                  <c:v>724.5</c:v>
                </c:pt>
                <c:pt idx="10">
                  <c:v>704.30000000000007</c:v>
                </c:pt>
                <c:pt idx="11">
                  <c:v>779.80000000000007</c:v>
                </c:pt>
                <c:pt idx="12">
                  <c:v>853.3</c:v>
                </c:pt>
                <c:pt idx="13">
                  <c:v>823.69999999999993</c:v>
                </c:pt>
              </c:numCache>
            </c:numRef>
          </c:val>
        </c:ser>
        <c:dLbls>
          <c:showLegendKey val="0"/>
          <c:showVal val="0"/>
          <c:showCatName val="0"/>
          <c:showSerName val="0"/>
          <c:showPercent val="0"/>
          <c:showBubbleSize val="0"/>
        </c:dLbls>
        <c:gapWidth val="20"/>
        <c:overlap val="100"/>
        <c:axId val="419274440"/>
        <c:axId val="624359424"/>
      </c:barChart>
      <c:catAx>
        <c:axId val="419274440"/>
        <c:scaling>
          <c:orientation val="minMax"/>
        </c:scaling>
        <c:delete val="0"/>
        <c:axPos val="b"/>
        <c:numFmt formatCode="General" sourceLinked="0"/>
        <c:majorTickMark val="out"/>
        <c:minorTickMark val="none"/>
        <c:tickLblPos val="nextTo"/>
        <c:crossAx val="624359424"/>
        <c:crosses val="autoZero"/>
        <c:auto val="1"/>
        <c:lblAlgn val="ctr"/>
        <c:lblOffset val="100"/>
        <c:noMultiLvlLbl val="0"/>
      </c:catAx>
      <c:valAx>
        <c:axId val="624359424"/>
        <c:scaling>
          <c:orientation val="minMax"/>
          <c:max val="1000"/>
          <c:min val="0"/>
        </c:scaling>
        <c:delete val="0"/>
        <c:axPos val="l"/>
        <c:majorGridlines/>
        <c:title>
          <c:tx>
            <c:rich>
              <a:bodyPr rot="-5400000" vert="horz"/>
              <a:lstStyle/>
              <a:p>
                <a:pPr>
                  <a:defRPr b="0"/>
                </a:pPr>
                <a:r>
                  <a:rPr lang="en-US" b="0"/>
                  <a:t>kWh per annum</a:t>
                </a:r>
              </a:p>
            </c:rich>
          </c:tx>
          <c:layout>
            <c:manualLayout>
              <c:xMode val="edge"/>
              <c:yMode val="edge"/>
              <c:x val="0"/>
              <c:y val="0.21793360910521778"/>
            </c:manualLayout>
          </c:layout>
          <c:overlay val="0"/>
        </c:title>
        <c:numFmt formatCode="0" sourceLinked="0"/>
        <c:majorTickMark val="out"/>
        <c:minorTickMark val="none"/>
        <c:tickLblPos val="nextTo"/>
        <c:crossAx val="419274440"/>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2266104532208"/>
          <c:y val="4.1740030491319503E-2"/>
          <c:w val="0.670258540517081"/>
          <c:h val="0.74693566918593002"/>
        </c:manualLayout>
      </c:layout>
      <c:barChart>
        <c:barDir val="col"/>
        <c:grouping val="stacked"/>
        <c:varyColors val="0"/>
        <c:ser>
          <c:idx val="2"/>
          <c:order val="0"/>
          <c:tx>
            <c:strRef>
              <c:f>'Energy performance'!$C$33</c:f>
              <c:strCache>
                <c:ptCount val="1"/>
                <c:pt idx="0">
                  <c:v>Space heating</c:v>
                </c:pt>
              </c:strCache>
            </c:strRef>
          </c:tx>
          <c:spPr>
            <a:solidFill>
              <a:srgbClr val="F3696B"/>
            </a:solidFill>
          </c:spPr>
          <c:invertIfNegative val="0"/>
          <c:cat>
            <c:strRef>
              <c:f>'Energy performance'!$A$34:$A$45</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performance'!$C$34:$C$45</c:f>
              <c:numCache>
                <c:formatCode>0.00</c:formatCode>
                <c:ptCount val="12"/>
                <c:pt idx="0">
                  <c:v>666.8</c:v>
                </c:pt>
                <c:pt idx="1">
                  <c:v>666.90000000000009</c:v>
                </c:pt>
                <c:pt idx="2">
                  <c:v>670.5</c:v>
                </c:pt>
                <c:pt idx="3">
                  <c:v>675.8</c:v>
                </c:pt>
                <c:pt idx="4">
                  <c:v>680.5</c:v>
                </c:pt>
                <c:pt idx="5">
                  <c:v>684.1</c:v>
                </c:pt>
                <c:pt idx="6">
                  <c:v>686.69999999999993</c:v>
                </c:pt>
                <c:pt idx="7">
                  <c:v>687.8</c:v>
                </c:pt>
                <c:pt idx="8">
                  <c:v>687.30000000000007</c:v>
                </c:pt>
                <c:pt idx="9">
                  <c:v>683.9</c:v>
                </c:pt>
                <c:pt idx="10">
                  <c:v>677.8</c:v>
                </c:pt>
                <c:pt idx="11">
                  <c:v>671</c:v>
                </c:pt>
              </c:numCache>
            </c:numRef>
          </c:val>
        </c:ser>
        <c:ser>
          <c:idx val="3"/>
          <c:order val="1"/>
          <c:tx>
            <c:strRef>
              <c:f>'Energy performance'!$D$33</c:f>
              <c:strCache>
                <c:ptCount val="1"/>
                <c:pt idx="0">
                  <c:v>DHW</c:v>
                </c:pt>
              </c:strCache>
            </c:strRef>
          </c:tx>
          <c:spPr>
            <a:solidFill>
              <a:srgbClr val="A03C50"/>
            </a:solidFill>
          </c:spPr>
          <c:invertIfNegative val="0"/>
          <c:cat>
            <c:strRef>
              <c:f>'Energy performance'!$A$34:$A$45</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performance'!$D$34:$D$45</c:f>
              <c:numCache>
                <c:formatCode>0.00</c:formatCode>
                <c:ptCount val="12"/>
                <c:pt idx="0">
                  <c:v>2014.2000000000003</c:v>
                </c:pt>
                <c:pt idx="1">
                  <c:v>2014.2000000000003</c:v>
                </c:pt>
                <c:pt idx="2">
                  <c:v>2014.2000000000003</c:v>
                </c:pt>
                <c:pt idx="3">
                  <c:v>2014.2000000000003</c:v>
                </c:pt>
                <c:pt idx="4">
                  <c:v>2014.2000000000003</c:v>
                </c:pt>
                <c:pt idx="5">
                  <c:v>2014.2000000000003</c:v>
                </c:pt>
                <c:pt idx="6">
                  <c:v>2014.2000000000003</c:v>
                </c:pt>
                <c:pt idx="7">
                  <c:v>2014.2000000000003</c:v>
                </c:pt>
                <c:pt idx="8">
                  <c:v>2014.2000000000003</c:v>
                </c:pt>
                <c:pt idx="9">
                  <c:v>2014.2000000000003</c:v>
                </c:pt>
                <c:pt idx="10">
                  <c:v>2014.2000000000003</c:v>
                </c:pt>
                <c:pt idx="11">
                  <c:v>2014.2000000000003</c:v>
                </c:pt>
              </c:numCache>
            </c:numRef>
          </c:val>
        </c:ser>
        <c:ser>
          <c:idx val="4"/>
          <c:order val="2"/>
          <c:tx>
            <c:strRef>
              <c:f>'Energy performance'!$E$33</c:f>
              <c:strCache>
                <c:ptCount val="1"/>
                <c:pt idx="0">
                  <c:v>Ventilation</c:v>
                </c:pt>
              </c:strCache>
            </c:strRef>
          </c:tx>
          <c:spPr>
            <a:solidFill>
              <a:schemeClr val="accent5">
                <a:lumMod val="60000"/>
                <a:lumOff val="40000"/>
              </a:schemeClr>
            </a:solidFill>
          </c:spPr>
          <c:invertIfNegative val="0"/>
          <c:cat>
            <c:strRef>
              <c:f>'Energy performance'!$A$34:$A$45</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performance'!$E$34:$E$45</c:f>
              <c:numCache>
                <c:formatCode>0.00</c:formatCode>
                <c:ptCount val="12"/>
                <c:pt idx="0">
                  <c:v>461.3</c:v>
                </c:pt>
                <c:pt idx="1">
                  <c:v>461.3</c:v>
                </c:pt>
                <c:pt idx="2">
                  <c:v>461.3</c:v>
                </c:pt>
                <c:pt idx="3">
                  <c:v>461.3</c:v>
                </c:pt>
                <c:pt idx="4">
                  <c:v>461.3</c:v>
                </c:pt>
                <c:pt idx="5">
                  <c:v>461.3</c:v>
                </c:pt>
                <c:pt idx="6">
                  <c:v>461.3</c:v>
                </c:pt>
                <c:pt idx="7">
                  <c:v>461.3</c:v>
                </c:pt>
                <c:pt idx="8">
                  <c:v>461.3</c:v>
                </c:pt>
                <c:pt idx="9">
                  <c:v>461.3</c:v>
                </c:pt>
                <c:pt idx="10">
                  <c:v>461.3</c:v>
                </c:pt>
                <c:pt idx="11">
                  <c:v>461.3</c:v>
                </c:pt>
              </c:numCache>
            </c:numRef>
          </c:val>
        </c:ser>
        <c:ser>
          <c:idx val="5"/>
          <c:order val="3"/>
          <c:tx>
            <c:strRef>
              <c:f>'Energy performance'!$G$33</c:f>
              <c:strCache>
                <c:ptCount val="1"/>
                <c:pt idx="0">
                  <c:v>Lights</c:v>
                </c:pt>
              </c:strCache>
            </c:strRef>
          </c:tx>
          <c:spPr>
            <a:solidFill>
              <a:srgbClr val="FFEB84"/>
            </a:solidFill>
          </c:spPr>
          <c:invertIfNegative val="0"/>
          <c:cat>
            <c:strRef>
              <c:f>'Energy performance'!$A$34:$A$45</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performance'!$G$34:$G$45</c:f>
              <c:numCache>
                <c:formatCode>0.00</c:formatCode>
                <c:ptCount val="12"/>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numCache>
            </c:numRef>
          </c:val>
        </c:ser>
        <c:ser>
          <c:idx val="6"/>
          <c:order val="4"/>
          <c:tx>
            <c:strRef>
              <c:f>'Energy performance'!$H$33</c:f>
              <c:strCache>
                <c:ptCount val="1"/>
                <c:pt idx="0">
                  <c:v>Equipment</c:v>
                </c:pt>
              </c:strCache>
            </c:strRef>
          </c:tx>
          <c:spPr>
            <a:solidFill>
              <a:srgbClr val="909090"/>
            </a:solidFill>
          </c:spPr>
          <c:invertIfNegative val="0"/>
          <c:cat>
            <c:strRef>
              <c:f>'Energy performance'!$A$34:$A$45</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performance'!$H$34:$H$45</c:f>
              <c:numCache>
                <c:formatCode>0.00</c:formatCode>
                <c:ptCount val="12"/>
                <c:pt idx="0">
                  <c:v>2033.9999999999998</c:v>
                </c:pt>
                <c:pt idx="1">
                  <c:v>2033.9999999999998</c:v>
                </c:pt>
                <c:pt idx="2">
                  <c:v>2033.9999999999998</c:v>
                </c:pt>
                <c:pt idx="3">
                  <c:v>2033.9999999999998</c:v>
                </c:pt>
                <c:pt idx="4">
                  <c:v>2033.9999999999998</c:v>
                </c:pt>
                <c:pt idx="5">
                  <c:v>2033.9999999999998</c:v>
                </c:pt>
                <c:pt idx="6">
                  <c:v>2033.9999999999998</c:v>
                </c:pt>
                <c:pt idx="7">
                  <c:v>2033.9999999999998</c:v>
                </c:pt>
                <c:pt idx="8">
                  <c:v>2033.9999999999998</c:v>
                </c:pt>
                <c:pt idx="9">
                  <c:v>2033.9999999999998</c:v>
                </c:pt>
                <c:pt idx="10">
                  <c:v>2033.9999999999998</c:v>
                </c:pt>
                <c:pt idx="11">
                  <c:v>2033.9999999999998</c:v>
                </c:pt>
              </c:numCache>
            </c:numRef>
          </c:val>
        </c:ser>
        <c:dLbls>
          <c:showLegendKey val="0"/>
          <c:showVal val="0"/>
          <c:showCatName val="0"/>
          <c:showSerName val="0"/>
          <c:showPercent val="0"/>
          <c:showBubbleSize val="0"/>
        </c:dLbls>
        <c:gapWidth val="20"/>
        <c:overlap val="100"/>
        <c:axId val="418027104"/>
        <c:axId val="418027496"/>
      </c:barChart>
      <c:catAx>
        <c:axId val="418027104"/>
        <c:scaling>
          <c:orientation val="minMax"/>
        </c:scaling>
        <c:delete val="0"/>
        <c:axPos val="b"/>
        <c:title>
          <c:tx>
            <c:rich>
              <a:bodyPr/>
              <a:lstStyle/>
              <a:p>
                <a:pPr>
                  <a:defRPr b="0"/>
                </a:pPr>
                <a:r>
                  <a:rPr lang="en-US" b="0"/>
                  <a:t>Orientation</a:t>
                </a:r>
              </a:p>
            </c:rich>
          </c:tx>
          <c:overlay val="0"/>
        </c:title>
        <c:numFmt formatCode="General" sourceLinked="0"/>
        <c:majorTickMark val="out"/>
        <c:minorTickMark val="none"/>
        <c:tickLblPos val="nextTo"/>
        <c:crossAx val="418027496"/>
        <c:crosses val="autoZero"/>
        <c:auto val="1"/>
        <c:lblAlgn val="ctr"/>
        <c:lblOffset val="100"/>
        <c:noMultiLvlLbl val="0"/>
      </c:catAx>
      <c:valAx>
        <c:axId val="418027496"/>
        <c:scaling>
          <c:orientation val="minMax"/>
          <c:max val="9000"/>
        </c:scaling>
        <c:delete val="0"/>
        <c:axPos val="l"/>
        <c:majorGridlines/>
        <c:title>
          <c:tx>
            <c:rich>
              <a:bodyPr rot="-5400000" vert="horz"/>
              <a:lstStyle/>
              <a:p>
                <a:pPr>
                  <a:defRPr b="0"/>
                </a:pPr>
                <a:r>
                  <a:rPr lang="en-US" b="0"/>
                  <a:t>kWh per annum</a:t>
                </a:r>
              </a:p>
            </c:rich>
          </c:tx>
          <c:layout>
            <c:manualLayout>
              <c:xMode val="edge"/>
              <c:yMode val="edge"/>
              <c:x val="0"/>
              <c:y val="0.1743156009246207"/>
            </c:manualLayout>
          </c:layout>
          <c:overlay val="0"/>
        </c:title>
        <c:numFmt formatCode="0" sourceLinked="0"/>
        <c:majorTickMark val="out"/>
        <c:minorTickMark val="none"/>
        <c:tickLblPos val="nextTo"/>
        <c:crossAx val="418027104"/>
        <c:crosses val="autoZero"/>
        <c:crossBetween val="between"/>
      </c:valAx>
    </c:plotArea>
    <c:legend>
      <c:legendPos val="r"/>
      <c:layout>
        <c:manualLayout>
          <c:xMode val="edge"/>
          <c:yMode val="edge"/>
          <c:x val="0.83066493066319469"/>
          <c:y val="0.19527446569178852"/>
          <c:w val="0.16795271457209582"/>
          <c:h val="0.4062673415823022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4923921415522"/>
          <c:y val="5.064019794988759E-2"/>
          <c:w val="0.87143115300095408"/>
          <c:h val="0.73013943569553807"/>
        </c:manualLayout>
      </c:layout>
      <c:barChart>
        <c:barDir val="col"/>
        <c:grouping val="stacked"/>
        <c:varyColors val="0"/>
        <c:ser>
          <c:idx val="0"/>
          <c:order val="0"/>
          <c:tx>
            <c:strRef>
              <c:f>'Energy performance'!$C$33</c:f>
              <c:strCache>
                <c:ptCount val="1"/>
                <c:pt idx="0">
                  <c:v>Space heating</c:v>
                </c:pt>
              </c:strCache>
            </c:strRef>
          </c:tx>
          <c:spPr>
            <a:solidFill>
              <a:srgbClr val="F8696B"/>
            </a:solidFill>
          </c:spPr>
          <c:invertIfNegative val="0"/>
          <c:cat>
            <c:strRef>
              <c:f>'Energy performance'!$A$34:$A$45</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performance'!$C$34:$C$45</c:f>
              <c:numCache>
                <c:formatCode>0.00</c:formatCode>
                <c:ptCount val="12"/>
                <c:pt idx="0">
                  <c:v>666.8</c:v>
                </c:pt>
                <c:pt idx="1">
                  <c:v>666.90000000000009</c:v>
                </c:pt>
                <c:pt idx="2">
                  <c:v>670.5</c:v>
                </c:pt>
                <c:pt idx="3">
                  <c:v>675.8</c:v>
                </c:pt>
                <c:pt idx="4">
                  <c:v>680.5</c:v>
                </c:pt>
                <c:pt idx="5">
                  <c:v>684.1</c:v>
                </c:pt>
                <c:pt idx="6">
                  <c:v>686.69999999999993</c:v>
                </c:pt>
                <c:pt idx="7">
                  <c:v>687.8</c:v>
                </c:pt>
                <c:pt idx="8">
                  <c:v>687.30000000000007</c:v>
                </c:pt>
                <c:pt idx="9">
                  <c:v>683.9</c:v>
                </c:pt>
                <c:pt idx="10">
                  <c:v>677.8</c:v>
                </c:pt>
                <c:pt idx="11">
                  <c:v>671</c:v>
                </c:pt>
              </c:numCache>
            </c:numRef>
          </c:val>
        </c:ser>
        <c:dLbls>
          <c:showLegendKey val="0"/>
          <c:showVal val="0"/>
          <c:showCatName val="0"/>
          <c:showSerName val="0"/>
          <c:showPercent val="0"/>
          <c:showBubbleSize val="0"/>
        </c:dLbls>
        <c:gapWidth val="20"/>
        <c:overlap val="100"/>
        <c:axId val="628463888"/>
        <c:axId val="628464280"/>
      </c:barChart>
      <c:catAx>
        <c:axId val="628463888"/>
        <c:scaling>
          <c:orientation val="minMax"/>
        </c:scaling>
        <c:delete val="0"/>
        <c:axPos val="b"/>
        <c:title>
          <c:tx>
            <c:rich>
              <a:bodyPr/>
              <a:lstStyle/>
              <a:p>
                <a:pPr>
                  <a:defRPr b="0"/>
                </a:pPr>
                <a:r>
                  <a:rPr lang="en-US" b="0"/>
                  <a:t>Orientation</a:t>
                </a:r>
              </a:p>
            </c:rich>
          </c:tx>
          <c:layout>
            <c:manualLayout>
              <c:xMode val="edge"/>
              <c:yMode val="edge"/>
              <c:x val="0.47654815875288314"/>
              <c:y val="0.89596743766404197"/>
            </c:manualLayout>
          </c:layout>
          <c:overlay val="0"/>
        </c:title>
        <c:numFmt formatCode="General" sourceLinked="0"/>
        <c:majorTickMark val="out"/>
        <c:minorTickMark val="none"/>
        <c:tickLblPos val="nextTo"/>
        <c:crossAx val="628464280"/>
        <c:crosses val="autoZero"/>
        <c:auto val="1"/>
        <c:lblAlgn val="ctr"/>
        <c:lblOffset val="100"/>
        <c:noMultiLvlLbl val="0"/>
      </c:catAx>
      <c:valAx>
        <c:axId val="628464280"/>
        <c:scaling>
          <c:orientation val="minMax"/>
          <c:max val="900"/>
          <c:min val="400"/>
        </c:scaling>
        <c:delete val="0"/>
        <c:axPos val="l"/>
        <c:majorGridlines/>
        <c:title>
          <c:tx>
            <c:rich>
              <a:bodyPr rot="-5400000" vert="horz"/>
              <a:lstStyle/>
              <a:p>
                <a:pPr>
                  <a:defRPr b="0"/>
                </a:pPr>
                <a:r>
                  <a:rPr lang="en-US" b="0"/>
                  <a:t>kWh per annum</a:t>
                </a:r>
              </a:p>
            </c:rich>
          </c:tx>
          <c:layout>
            <c:manualLayout>
              <c:xMode val="edge"/>
              <c:yMode val="edge"/>
              <c:x val="0"/>
              <c:y val="0.15582227060172846"/>
            </c:manualLayout>
          </c:layout>
          <c:overlay val="0"/>
        </c:title>
        <c:numFmt formatCode="0" sourceLinked="0"/>
        <c:majorTickMark val="out"/>
        <c:minorTickMark val="none"/>
        <c:tickLblPos val="nextTo"/>
        <c:crossAx val="628463888"/>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2266104532208"/>
          <c:y val="4.1740030491319503E-2"/>
          <c:w val="0.670258540517081"/>
          <c:h val="0.75973021814896091"/>
        </c:manualLayout>
      </c:layout>
      <c:barChart>
        <c:barDir val="col"/>
        <c:grouping val="stacked"/>
        <c:varyColors val="0"/>
        <c:ser>
          <c:idx val="2"/>
          <c:order val="0"/>
          <c:tx>
            <c:strRef>
              <c:f>'Energy performance'!$C$47</c:f>
              <c:strCache>
                <c:ptCount val="1"/>
                <c:pt idx="0">
                  <c:v>Space heating</c:v>
                </c:pt>
              </c:strCache>
            </c:strRef>
          </c:tx>
          <c:spPr>
            <a:solidFill>
              <a:srgbClr val="F3696B"/>
            </a:solidFill>
          </c:spPr>
          <c:invertIfNegative val="0"/>
          <c:cat>
            <c:strRef>
              <c:f>'Energy performance'!$A$48:$A$59</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performance'!$C$48:$C$59</c:f>
              <c:numCache>
                <c:formatCode>0.00</c:formatCode>
                <c:ptCount val="12"/>
                <c:pt idx="0">
                  <c:v>651.59999999999991</c:v>
                </c:pt>
                <c:pt idx="1">
                  <c:v>653</c:v>
                </c:pt>
                <c:pt idx="2">
                  <c:v>657.59999999999991</c:v>
                </c:pt>
                <c:pt idx="3">
                  <c:v>663.3</c:v>
                </c:pt>
                <c:pt idx="4">
                  <c:v>668.1</c:v>
                </c:pt>
                <c:pt idx="5">
                  <c:v>671.5</c:v>
                </c:pt>
                <c:pt idx="6">
                  <c:v>673.8</c:v>
                </c:pt>
                <c:pt idx="7">
                  <c:v>674.2</c:v>
                </c:pt>
                <c:pt idx="8">
                  <c:v>672.69999999999993</c:v>
                </c:pt>
                <c:pt idx="9">
                  <c:v>668</c:v>
                </c:pt>
                <c:pt idx="10">
                  <c:v>661.1</c:v>
                </c:pt>
                <c:pt idx="11">
                  <c:v>654.5</c:v>
                </c:pt>
              </c:numCache>
            </c:numRef>
          </c:val>
        </c:ser>
        <c:ser>
          <c:idx val="3"/>
          <c:order val="1"/>
          <c:tx>
            <c:strRef>
              <c:f>'Energy performance'!$D$47</c:f>
              <c:strCache>
                <c:ptCount val="1"/>
                <c:pt idx="0">
                  <c:v>DHW</c:v>
                </c:pt>
              </c:strCache>
            </c:strRef>
          </c:tx>
          <c:spPr>
            <a:solidFill>
              <a:srgbClr val="A03C50"/>
            </a:solidFill>
          </c:spPr>
          <c:invertIfNegative val="0"/>
          <c:cat>
            <c:strRef>
              <c:f>'Energy performance'!$A$48:$A$59</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performance'!$D$48:$D$59</c:f>
              <c:numCache>
                <c:formatCode>0.00</c:formatCode>
                <c:ptCount val="12"/>
                <c:pt idx="0">
                  <c:v>2312.5</c:v>
                </c:pt>
                <c:pt idx="1">
                  <c:v>2312.5</c:v>
                </c:pt>
                <c:pt idx="2">
                  <c:v>2312.5</c:v>
                </c:pt>
                <c:pt idx="3">
                  <c:v>2312.5</c:v>
                </c:pt>
                <c:pt idx="4">
                  <c:v>2312.5</c:v>
                </c:pt>
                <c:pt idx="5">
                  <c:v>2312.5</c:v>
                </c:pt>
                <c:pt idx="6">
                  <c:v>2312.5</c:v>
                </c:pt>
                <c:pt idx="7">
                  <c:v>2312.5</c:v>
                </c:pt>
                <c:pt idx="8">
                  <c:v>2312.5</c:v>
                </c:pt>
                <c:pt idx="9">
                  <c:v>2312.5</c:v>
                </c:pt>
                <c:pt idx="10">
                  <c:v>2312.5</c:v>
                </c:pt>
                <c:pt idx="11">
                  <c:v>2312.5</c:v>
                </c:pt>
              </c:numCache>
            </c:numRef>
          </c:val>
        </c:ser>
        <c:ser>
          <c:idx val="4"/>
          <c:order val="2"/>
          <c:tx>
            <c:strRef>
              <c:f>'Energy performance'!$E$47</c:f>
              <c:strCache>
                <c:ptCount val="1"/>
                <c:pt idx="0">
                  <c:v>Ventilation</c:v>
                </c:pt>
              </c:strCache>
            </c:strRef>
          </c:tx>
          <c:spPr>
            <a:solidFill>
              <a:schemeClr val="accent5">
                <a:lumMod val="60000"/>
                <a:lumOff val="40000"/>
              </a:schemeClr>
            </a:solidFill>
          </c:spPr>
          <c:invertIfNegative val="0"/>
          <c:cat>
            <c:strRef>
              <c:f>'Energy performance'!$A$48:$A$59</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performance'!$E$48:$E$59</c:f>
              <c:numCache>
                <c:formatCode>0.00</c:formatCode>
                <c:ptCount val="12"/>
                <c:pt idx="0">
                  <c:v>461.3</c:v>
                </c:pt>
                <c:pt idx="1">
                  <c:v>461.3</c:v>
                </c:pt>
                <c:pt idx="2">
                  <c:v>461.3</c:v>
                </c:pt>
                <c:pt idx="3">
                  <c:v>461.3</c:v>
                </c:pt>
                <c:pt idx="4">
                  <c:v>461.3</c:v>
                </c:pt>
                <c:pt idx="5">
                  <c:v>461.3</c:v>
                </c:pt>
                <c:pt idx="6">
                  <c:v>461.3</c:v>
                </c:pt>
                <c:pt idx="7">
                  <c:v>461.3</c:v>
                </c:pt>
                <c:pt idx="8">
                  <c:v>461.3</c:v>
                </c:pt>
                <c:pt idx="9">
                  <c:v>461.3</c:v>
                </c:pt>
                <c:pt idx="10">
                  <c:v>461.3</c:v>
                </c:pt>
                <c:pt idx="11">
                  <c:v>461.3</c:v>
                </c:pt>
              </c:numCache>
            </c:numRef>
          </c:val>
        </c:ser>
        <c:ser>
          <c:idx val="5"/>
          <c:order val="3"/>
          <c:tx>
            <c:strRef>
              <c:f>'Energy performance'!$G$47</c:f>
              <c:strCache>
                <c:ptCount val="1"/>
                <c:pt idx="0">
                  <c:v>Lights</c:v>
                </c:pt>
              </c:strCache>
            </c:strRef>
          </c:tx>
          <c:spPr>
            <a:solidFill>
              <a:srgbClr val="FFEB84"/>
            </a:solidFill>
          </c:spPr>
          <c:invertIfNegative val="0"/>
          <c:cat>
            <c:strRef>
              <c:f>'Energy performance'!$A$48:$A$59</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performance'!$G$48:$G$59</c:f>
              <c:numCache>
                <c:formatCode>0.00</c:formatCode>
                <c:ptCount val="12"/>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numCache>
            </c:numRef>
          </c:val>
        </c:ser>
        <c:ser>
          <c:idx val="6"/>
          <c:order val="4"/>
          <c:tx>
            <c:strRef>
              <c:f>'Energy performance'!$H$47</c:f>
              <c:strCache>
                <c:ptCount val="1"/>
                <c:pt idx="0">
                  <c:v>Equipment</c:v>
                </c:pt>
              </c:strCache>
            </c:strRef>
          </c:tx>
          <c:spPr>
            <a:solidFill>
              <a:srgbClr val="909090"/>
            </a:solidFill>
          </c:spPr>
          <c:invertIfNegative val="0"/>
          <c:cat>
            <c:strRef>
              <c:f>'Energy performance'!$A$48:$A$59</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performance'!$H$48:$H$59</c:f>
              <c:numCache>
                <c:formatCode>0.00</c:formatCode>
                <c:ptCount val="12"/>
                <c:pt idx="0">
                  <c:v>2134.1</c:v>
                </c:pt>
                <c:pt idx="1">
                  <c:v>2134.1</c:v>
                </c:pt>
                <c:pt idx="2">
                  <c:v>2134.1</c:v>
                </c:pt>
                <c:pt idx="3">
                  <c:v>2134.1</c:v>
                </c:pt>
                <c:pt idx="4">
                  <c:v>2134.1</c:v>
                </c:pt>
                <c:pt idx="5">
                  <c:v>2134.1</c:v>
                </c:pt>
                <c:pt idx="6">
                  <c:v>2134.1</c:v>
                </c:pt>
                <c:pt idx="7">
                  <c:v>2134.1</c:v>
                </c:pt>
                <c:pt idx="8">
                  <c:v>2134.1</c:v>
                </c:pt>
                <c:pt idx="9">
                  <c:v>2134.1</c:v>
                </c:pt>
                <c:pt idx="10">
                  <c:v>2134.1</c:v>
                </c:pt>
                <c:pt idx="11">
                  <c:v>2134.1</c:v>
                </c:pt>
              </c:numCache>
            </c:numRef>
          </c:val>
        </c:ser>
        <c:dLbls>
          <c:showLegendKey val="0"/>
          <c:showVal val="0"/>
          <c:showCatName val="0"/>
          <c:showSerName val="0"/>
          <c:showPercent val="0"/>
          <c:showBubbleSize val="0"/>
        </c:dLbls>
        <c:gapWidth val="20"/>
        <c:overlap val="100"/>
        <c:axId val="628465064"/>
        <c:axId val="626559464"/>
      </c:barChart>
      <c:catAx>
        <c:axId val="628465064"/>
        <c:scaling>
          <c:orientation val="minMax"/>
        </c:scaling>
        <c:delete val="0"/>
        <c:axPos val="b"/>
        <c:title>
          <c:tx>
            <c:rich>
              <a:bodyPr/>
              <a:lstStyle/>
              <a:p>
                <a:pPr>
                  <a:defRPr b="0"/>
                </a:pPr>
                <a:r>
                  <a:rPr lang="en-US" b="0"/>
                  <a:t>Orientation</a:t>
                </a:r>
              </a:p>
            </c:rich>
          </c:tx>
          <c:layout>
            <c:manualLayout>
              <c:xMode val="edge"/>
              <c:yMode val="edge"/>
              <c:x val="0.40112423447069118"/>
              <c:y val="0.91986226387093584"/>
            </c:manualLayout>
          </c:layout>
          <c:overlay val="0"/>
        </c:title>
        <c:numFmt formatCode="General" sourceLinked="0"/>
        <c:majorTickMark val="out"/>
        <c:minorTickMark val="none"/>
        <c:tickLblPos val="nextTo"/>
        <c:crossAx val="626559464"/>
        <c:crosses val="autoZero"/>
        <c:auto val="1"/>
        <c:lblAlgn val="ctr"/>
        <c:lblOffset val="100"/>
        <c:noMultiLvlLbl val="0"/>
      </c:catAx>
      <c:valAx>
        <c:axId val="626559464"/>
        <c:scaling>
          <c:orientation val="minMax"/>
        </c:scaling>
        <c:delete val="0"/>
        <c:axPos val="l"/>
        <c:majorGridlines/>
        <c:title>
          <c:tx>
            <c:rich>
              <a:bodyPr rot="-5400000" vert="horz"/>
              <a:lstStyle/>
              <a:p>
                <a:pPr>
                  <a:defRPr b="0"/>
                </a:pPr>
                <a:r>
                  <a:rPr lang="en-US" b="0"/>
                  <a:t>kWh per annum</a:t>
                </a:r>
              </a:p>
            </c:rich>
          </c:tx>
          <c:layout>
            <c:manualLayout>
              <c:xMode val="edge"/>
              <c:yMode val="edge"/>
              <c:x val="0"/>
              <c:y val="0.1743156009246207"/>
            </c:manualLayout>
          </c:layout>
          <c:overlay val="0"/>
        </c:title>
        <c:numFmt formatCode="0" sourceLinked="0"/>
        <c:majorTickMark val="out"/>
        <c:minorTickMark val="none"/>
        <c:tickLblPos val="nextTo"/>
        <c:crossAx val="628465064"/>
        <c:crosses val="autoZero"/>
        <c:crossBetween val="between"/>
      </c:valAx>
    </c:plotArea>
    <c:legend>
      <c:legendPos val="r"/>
      <c:layout>
        <c:manualLayout>
          <c:xMode val="edge"/>
          <c:yMode val="edge"/>
          <c:x val="0.83066493066319469"/>
          <c:y val="0.19527446569178852"/>
          <c:w val="0.16795271457209582"/>
          <c:h val="0.4062673415823022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4923921415522"/>
          <c:y val="5.064019794988759E-2"/>
          <c:w val="0.87143115300095408"/>
          <c:h val="0.76224235411433783"/>
        </c:manualLayout>
      </c:layout>
      <c:barChart>
        <c:barDir val="col"/>
        <c:grouping val="stacked"/>
        <c:varyColors val="0"/>
        <c:ser>
          <c:idx val="0"/>
          <c:order val="0"/>
          <c:tx>
            <c:strRef>
              <c:f>'Energy performance'!$C$47</c:f>
              <c:strCache>
                <c:ptCount val="1"/>
                <c:pt idx="0">
                  <c:v>Space heating</c:v>
                </c:pt>
              </c:strCache>
            </c:strRef>
          </c:tx>
          <c:spPr>
            <a:solidFill>
              <a:srgbClr val="F8696B"/>
            </a:solidFill>
          </c:spPr>
          <c:invertIfNegative val="0"/>
          <c:cat>
            <c:strRef>
              <c:f>'Energy performance'!$A$48:$A$59</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performance'!$C$48:$C$59</c:f>
              <c:numCache>
                <c:formatCode>0.00</c:formatCode>
                <c:ptCount val="12"/>
                <c:pt idx="0">
                  <c:v>651.59999999999991</c:v>
                </c:pt>
                <c:pt idx="1">
                  <c:v>653</c:v>
                </c:pt>
                <c:pt idx="2">
                  <c:v>657.59999999999991</c:v>
                </c:pt>
                <c:pt idx="3">
                  <c:v>663.3</c:v>
                </c:pt>
                <c:pt idx="4">
                  <c:v>668.1</c:v>
                </c:pt>
                <c:pt idx="5">
                  <c:v>671.5</c:v>
                </c:pt>
                <c:pt idx="6">
                  <c:v>673.8</c:v>
                </c:pt>
                <c:pt idx="7">
                  <c:v>674.2</c:v>
                </c:pt>
                <c:pt idx="8">
                  <c:v>672.69999999999993</c:v>
                </c:pt>
                <c:pt idx="9">
                  <c:v>668</c:v>
                </c:pt>
                <c:pt idx="10">
                  <c:v>661.1</c:v>
                </c:pt>
                <c:pt idx="11">
                  <c:v>654.5</c:v>
                </c:pt>
              </c:numCache>
            </c:numRef>
          </c:val>
        </c:ser>
        <c:dLbls>
          <c:showLegendKey val="0"/>
          <c:showVal val="0"/>
          <c:showCatName val="0"/>
          <c:showSerName val="0"/>
          <c:showPercent val="0"/>
          <c:showBubbleSize val="0"/>
        </c:dLbls>
        <c:gapWidth val="20"/>
        <c:overlap val="100"/>
        <c:axId val="626560248"/>
        <c:axId val="626560640"/>
      </c:barChart>
      <c:catAx>
        <c:axId val="626560248"/>
        <c:scaling>
          <c:orientation val="minMax"/>
        </c:scaling>
        <c:delete val="0"/>
        <c:axPos val="b"/>
        <c:title>
          <c:tx>
            <c:rich>
              <a:bodyPr/>
              <a:lstStyle/>
              <a:p>
                <a:pPr>
                  <a:defRPr b="0"/>
                </a:pPr>
                <a:r>
                  <a:rPr lang="en-US" b="0"/>
                  <a:t>Orientation</a:t>
                </a:r>
              </a:p>
            </c:rich>
          </c:tx>
          <c:overlay val="0"/>
        </c:title>
        <c:numFmt formatCode="General" sourceLinked="0"/>
        <c:majorTickMark val="out"/>
        <c:minorTickMark val="none"/>
        <c:tickLblPos val="nextTo"/>
        <c:crossAx val="626560640"/>
        <c:crosses val="autoZero"/>
        <c:auto val="1"/>
        <c:lblAlgn val="ctr"/>
        <c:lblOffset val="100"/>
        <c:noMultiLvlLbl val="0"/>
      </c:catAx>
      <c:valAx>
        <c:axId val="626560640"/>
        <c:scaling>
          <c:orientation val="minMax"/>
          <c:max val="900"/>
          <c:min val="400"/>
        </c:scaling>
        <c:delete val="0"/>
        <c:axPos val="l"/>
        <c:majorGridlines/>
        <c:title>
          <c:tx>
            <c:rich>
              <a:bodyPr rot="-5400000" vert="horz"/>
              <a:lstStyle/>
              <a:p>
                <a:pPr>
                  <a:defRPr b="0"/>
                </a:pPr>
                <a:r>
                  <a:rPr lang="en-US" b="0"/>
                  <a:t>kWh per annum</a:t>
                </a:r>
              </a:p>
            </c:rich>
          </c:tx>
          <c:layout>
            <c:manualLayout>
              <c:xMode val="edge"/>
              <c:yMode val="edge"/>
              <c:x val="0"/>
              <c:y val="0.29446568247544658"/>
            </c:manualLayout>
          </c:layout>
          <c:overlay val="0"/>
        </c:title>
        <c:numFmt formatCode="0" sourceLinked="0"/>
        <c:majorTickMark val="out"/>
        <c:minorTickMark val="none"/>
        <c:tickLblPos val="nextTo"/>
        <c:crossAx val="626560248"/>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2266104532208"/>
          <c:y val="4.1740030491319503E-2"/>
          <c:w val="0.6792523447216654"/>
          <c:h val="0.75595524243680079"/>
        </c:manualLayout>
      </c:layout>
      <c:barChart>
        <c:barDir val="col"/>
        <c:grouping val="stacked"/>
        <c:varyColors val="0"/>
        <c:ser>
          <c:idx val="2"/>
          <c:order val="0"/>
          <c:tx>
            <c:strRef>
              <c:f>'Energy performance'!$C$61</c:f>
              <c:strCache>
                <c:ptCount val="1"/>
                <c:pt idx="0">
                  <c:v>Space heating</c:v>
                </c:pt>
              </c:strCache>
            </c:strRef>
          </c:tx>
          <c:spPr>
            <a:solidFill>
              <a:srgbClr val="F3696B"/>
            </a:solidFill>
          </c:spPr>
          <c:invertIfNegative val="0"/>
          <c:cat>
            <c:strRef>
              <c:f>'Energy performance'!$A$62:$A$73</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performance'!$C$62:$C$73</c:f>
              <c:numCache>
                <c:formatCode>0.00</c:formatCode>
                <c:ptCount val="12"/>
                <c:pt idx="0">
                  <c:v>697.30000000000007</c:v>
                </c:pt>
                <c:pt idx="1">
                  <c:v>697.30000000000007</c:v>
                </c:pt>
                <c:pt idx="2">
                  <c:v>701.09999999999991</c:v>
                </c:pt>
                <c:pt idx="3">
                  <c:v>706.7</c:v>
                </c:pt>
                <c:pt idx="4">
                  <c:v>712</c:v>
                </c:pt>
                <c:pt idx="5">
                  <c:v>716.09999999999991</c:v>
                </c:pt>
                <c:pt idx="6">
                  <c:v>719</c:v>
                </c:pt>
                <c:pt idx="7">
                  <c:v>720</c:v>
                </c:pt>
                <c:pt idx="8">
                  <c:v>719</c:v>
                </c:pt>
                <c:pt idx="9">
                  <c:v>715.09999999999991</c:v>
                </c:pt>
                <c:pt idx="10">
                  <c:v>708.6</c:v>
                </c:pt>
                <c:pt idx="11">
                  <c:v>701.5</c:v>
                </c:pt>
              </c:numCache>
            </c:numRef>
          </c:val>
        </c:ser>
        <c:ser>
          <c:idx val="3"/>
          <c:order val="1"/>
          <c:tx>
            <c:strRef>
              <c:f>'Energy performance'!$D$61</c:f>
              <c:strCache>
                <c:ptCount val="1"/>
                <c:pt idx="0">
                  <c:v>DHW</c:v>
                </c:pt>
              </c:strCache>
            </c:strRef>
          </c:tx>
          <c:spPr>
            <a:solidFill>
              <a:srgbClr val="A03C50"/>
            </a:solidFill>
          </c:spPr>
          <c:invertIfNegative val="0"/>
          <c:cat>
            <c:strRef>
              <c:f>'Energy performance'!$A$62:$A$73</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performance'!$D$62:$D$73</c:f>
              <c:numCache>
                <c:formatCode>0.00</c:formatCode>
                <c:ptCount val="12"/>
                <c:pt idx="0">
                  <c:v>2014.2000000000003</c:v>
                </c:pt>
                <c:pt idx="1">
                  <c:v>2014.2000000000003</c:v>
                </c:pt>
                <c:pt idx="2">
                  <c:v>2014.2000000000003</c:v>
                </c:pt>
                <c:pt idx="3">
                  <c:v>2014.2000000000003</c:v>
                </c:pt>
                <c:pt idx="4">
                  <c:v>2014.2000000000003</c:v>
                </c:pt>
                <c:pt idx="5">
                  <c:v>2014.2000000000003</c:v>
                </c:pt>
                <c:pt idx="6">
                  <c:v>2014.2000000000003</c:v>
                </c:pt>
                <c:pt idx="7">
                  <c:v>2014.2000000000003</c:v>
                </c:pt>
                <c:pt idx="8">
                  <c:v>2014.2000000000003</c:v>
                </c:pt>
                <c:pt idx="9">
                  <c:v>2014.2000000000003</c:v>
                </c:pt>
                <c:pt idx="10">
                  <c:v>2014.2000000000003</c:v>
                </c:pt>
                <c:pt idx="11">
                  <c:v>2014.2000000000003</c:v>
                </c:pt>
              </c:numCache>
            </c:numRef>
          </c:val>
        </c:ser>
        <c:ser>
          <c:idx val="4"/>
          <c:order val="2"/>
          <c:tx>
            <c:strRef>
              <c:f>'Energy performance'!$E$61</c:f>
              <c:strCache>
                <c:ptCount val="1"/>
                <c:pt idx="0">
                  <c:v>Ventilation</c:v>
                </c:pt>
              </c:strCache>
            </c:strRef>
          </c:tx>
          <c:spPr>
            <a:solidFill>
              <a:schemeClr val="accent5">
                <a:lumMod val="60000"/>
                <a:lumOff val="40000"/>
              </a:schemeClr>
            </a:solidFill>
          </c:spPr>
          <c:invertIfNegative val="0"/>
          <c:cat>
            <c:strRef>
              <c:f>'Energy performance'!$A$62:$A$73</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performance'!$E$62:$E$73</c:f>
              <c:numCache>
                <c:formatCode>0.00</c:formatCode>
                <c:ptCount val="12"/>
                <c:pt idx="0">
                  <c:v>1521.6000000000001</c:v>
                </c:pt>
                <c:pt idx="1">
                  <c:v>1521.6000000000001</c:v>
                </c:pt>
                <c:pt idx="2">
                  <c:v>1521.6000000000001</c:v>
                </c:pt>
                <c:pt idx="3">
                  <c:v>1521.6000000000001</c:v>
                </c:pt>
                <c:pt idx="4">
                  <c:v>1521.6000000000001</c:v>
                </c:pt>
                <c:pt idx="5">
                  <c:v>1521.6000000000001</c:v>
                </c:pt>
                <c:pt idx="6">
                  <c:v>1521.6000000000001</c:v>
                </c:pt>
                <c:pt idx="7">
                  <c:v>1521.6000000000001</c:v>
                </c:pt>
                <c:pt idx="8">
                  <c:v>1521.6000000000001</c:v>
                </c:pt>
                <c:pt idx="9">
                  <c:v>1521.6000000000001</c:v>
                </c:pt>
                <c:pt idx="10">
                  <c:v>1521.6000000000001</c:v>
                </c:pt>
                <c:pt idx="11">
                  <c:v>1521.6000000000001</c:v>
                </c:pt>
              </c:numCache>
            </c:numRef>
          </c:val>
        </c:ser>
        <c:ser>
          <c:idx val="5"/>
          <c:order val="3"/>
          <c:tx>
            <c:strRef>
              <c:f>'Energy performance'!$G$61</c:f>
              <c:strCache>
                <c:ptCount val="1"/>
                <c:pt idx="0">
                  <c:v>Lights</c:v>
                </c:pt>
              </c:strCache>
            </c:strRef>
          </c:tx>
          <c:spPr>
            <a:solidFill>
              <a:srgbClr val="FFEB84"/>
            </a:solidFill>
          </c:spPr>
          <c:invertIfNegative val="0"/>
          <c:cat>
            <c:strRef>
              <c:f>'Energy performance'!$A$62:$A$73</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performance'!$G$62:$G$73</c:f>
              <c:numCache>
                <c:formatCode>0.00</c:formatCode>
                <c:ptCount val="12"/>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numCache>
            </c:numRef>
          </c:val>
        </c:ser>
        <c:ser>
          <c:idx val="6"/>
          <c:order val="4"/>
          <c:tx>
            <c:strRef>
              <c:f>'Energy performance'!$H$61</c:f>
              <c:strCache>
                <c:ptCount val="1"/>
                <c:pt idx="0">
                  <c:v>Equipment</c:v>
                </c:pt>
              </c:strCache>
            </c:strRef>
          </c:tx>
          <c:spPr>
            <a:solidFill>
              <a:srgbClr val="909090"/>
            </a:solidFill>
          </c:spPr>
          <c:invertIfNegative val="0"/>
          <c:cat>
            <c:strRef>
              <c:f>'Energy performance'!$A$62:$A$73</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performance'!$H$62:$H$73</c:f>
              <c:numCache>
                <c:formatCode>0.00</c:formatCode>
                <c:ptCount val="12"/>
                <c:pt idx="0">
                  <c:v>2033.9999999999998</c:v>
                </c:pt>
                <c:pt idx="1">
                  <c:v>2033.9999999999998</c:v>
                </c:pt>
                <c:pt idx="2">
                  <c:v>2033.9999999999998</c:v>
                </c:pt>
                <c:pt idx="3">
                  <c:v>2033.9999999999998</c:v>
                </c:pt>
                <c:pt idx="4">
                  <c:v>2033.9999999999998</c:v>
                </c:pt>
                <c:pt idx="5">
                  <c:v>2033.9999999999998</c:v>
                </c:pt>
                <c:pt idx="6">
                  <c:v>2033.9999999999998</c:v>
                </c:pt>
                <c:pt idx="7">
                  <c:v>2033.9999999999998</c:v>
                </c:pt>
                <c:pt idx="8">
                  <c:v>2033.9999999999998</c:v>
                </c:pt>
                <c:pt idx="9">
                  <c:v>2033.9999999999998</c:v>
                </c:pt>
                <c:pt idx="10">
                  <c:v>2033.9999999999998</c:v>
                </c:pt>
                <c:pt idx="11">
                  <c:v>2033.9999999999998</c:v>
                </c:pt>
              </c:numCache>
            </c:numRef>
          </c:val>
        </c:ser>
        <c:dLbls>
          <c:showLegendKey val="0"/>
          <c:showVal val="0"/>
          <c:showCatName val="0"/>
          <c:showSerName val="0"/>
          <c:showPercent val="0"/>
          <c:showBubbleSize val="0"/>
        </c:dLbls>
        <c:gapWidth val="20"/>
        <c:overlap val="100"/>
        <c:axId val="618599704"/>
        <c:axId val="618600096"/>
      </c:barChart>
      <c:catAx>
        <c:axId val="618599704"/>
        <c:scaling>
          <c:orientation val="minMax"/>
        </c:scaling>
        <c:delete val="0"/>
        <c:axPos val="b"/>
        <c:title>
          <c:tx>
            <c:rich>
              <a:bodyPr/>
              <a:lstStyle/>
              <a:p>
                <a:pPr>
                  <a:defRPr b="0"/>
                </a:pPr>
                <a:r>
                  <a:rPr lang="en-US" b="0"/>
                  <a:t>Orientation</a:t>
                </a:r>
              </a:p>
            </c:rich>
          </c:tx>
          <c:overlay val="0"/>
        </c:title>
        <c:numFmt formatCode="General" sourceLinked="0"/>
        <c:majorTickMark val="out"/>
        <c:minorTickMark val="none"/>
        <c:tickLblPos val="nextTo"/>
        <c:crossAx val="618600096"/>
        <c:crosses val="autoZero"/>
        <c:auto val="1"/>
        <c:lblAlgn val="ctr"/>
        <c:lblOffset val="100"/>
        <c:noMultiLvlLbl val="0"/>
      </c:catAx>
      <c:valAx>
        <c:axId val="618600096"/>
        <c:scaling>
          <c:orientation val="minMax"/>
        </c:scaling>
        <c:delete val="0"/>
        <c:axPos val="l"/>
        <c:majorGridlines/>
        <c:title>
          <c:tx>
            <c:rich>
              <a:bodyPr rot="-5400000" vert="horz"/>
              <a:lstStyle/>
              <a:p>
                <a:pPr>
                  <a:defRPr b="0"/>
                </a:pPr>
                <a:r>
                  <a:rPr lang="en-US" b="0"/>
                  <a:t>kWh per annum</a:t>
                </a:r>
              </a:p>
            </c:rich>
          </c:tx>
          <c:layout>
            <c:manualLayout>
              <c:xMode val="edge"/>
              <c:yMode val="edge"/>
              <c:x val="0"/>
              <c:y val="0.1743156009246207"/>
            </c:manualLayout>
          </c:layout>
          <c:overlay val="0"/>
        </c:title>
        <c:numFmt formatCode="0" sourceLinked="0"/>
        <c:majorTickMark val="out"/>
        <c:minorTickMark val="none"/>
        <c:tickLblPos val="nextTo"/>
        <c:crossAx val="618599704"/>
        <c:crosses val="autoZero"/>
        <c:crossBetween val="between"/>
      </c:valAx>
    </c:plotArea>
    <c:legend>
      <c:legendPos val="r"/>
      <c:layout>
        <c:manualLayout>
          <c:xMode val="edge"/>
          <c:yMode val="edge"/>
          <c:x val="0.81717411799073181"/>
          <c:y val="0.19527446569178852"/>
          <c:w val="0.18144352529289659"/>
          <c:h val="0.40626734158230221"/>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4923921415522"/>
          <c:y val="5.064019794988759E-2"/>
          <c:w val="0.87143115300095408"/>
          <c:h val="0.76810297236830638"/>
        </c:manualLayout>
      </c:layout>
      <c:barChart>
        <c:barDir val="col"/>
        <c:grouping val="stacked"/>
        <c:varyColors val="0"/>
        <c:ser>
          <c:idx val="0"/>
          <c:order val="0"/>
          <c:tx>
            <c:strRef>
              <c:f>'Energy performance'!$C$61</c:f>
              <c:strCache>
                <c:ptCount val="1"/>
                <c:pt idx="0">
                  <c:v>Space heating</c:v>
                </c:pt>
              </c:strCache>
            </c:strRef>
          </c:tx>
          <c:spPr>
            <a:solidFill>
              <a:srgbClr val="F8696B"/>
            </a:solidFill>
          </c:spPr>
          <c:invertIfNegative val="0"/>
          <c:cat>
            <c:strRef>
              <c:f>'Energy performance'!$A$62:$A$73</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performance'!$C$62:$C$73</c:f>
              <c:numCache>
                <c:formatCode>0.00</c:formatCode>
                <c:ptCount val="12"/>
                <c:pt idx="0">
                  <c:v>697.30000000000007</c:v>
                </c:pt>
                <c:pt idx="1">
                  <c:v>697.30000000000007</c:v>
                </c:pt>
                <c:pt idx="2">
                  <c:v>701.09999999999991</c:v>
                </c:pt>
                <c:pt idx="3">
                  <c:v>706.7</c:v>
                </c:pt>
                <c:pt idx="4">
                  <c:v>712</c:v>
                </c:pt>
                <c:pt idx="5">
                  <c:v>716.09999999999991</c:v>
                </c:pt>
                <c:pt idx="6">
                  <c:v>719</c:v>
                </c:pt>
                <c:pt idx="7">
                  <c:v>720</c:v>
                </c:pt>
                <c:pt idx="8">
                  <c:v>719</c:v>
                </c:pt>
                <c:pt idx="9">
                  <c:v>715.09999999999991</c:v>
                </c:pt>
                <c:pt idx="10">
                  <c:v>708.6</c:v>
                </c:pt>
                <c:pt idx="11">
                  <c:v>701.5</c:v>
                </c:pt>
              </c:numCache>
            </c:numRef>
          </c:val>
        </c:ser>
        <c:dLbls>
          <c:showLegendKey val="0"/>
          <c:showVal val="0"/>
          <c:showCatName val="0"/>
          <c:showSerName val="0"/>
          <c:showPercent val="0"/>
          <c:showBubbleSize val="0"/>
        </c:dLbls>
        <c:gapWidth val="20"/>
        <c:overlap val="100"/>
        <c:axId val="618600880"/>
        <c:axId val="618601272"/>
      </c:barChart>
      <c:catAx>
        <c:axId val="618600880"/>
        <c:scaling>
          <c:orientation val="minMax"/>
        </c:scaling>
        <c:delete val="0"/>
        <c:axPos val="b"/>
        <c:title>
          <c:tx>
            <c:rich>
              <a:bodyPr/>
              <a:lstStyle/>
              <a:p>
                <a:pPr>
                  <a:defRPr b="0"/>
                </a:pPr>
                <a:r>
                  <a:rPr lang="en-US" b="0"/>
                  <a:t>Orientation</a:t>
                </a:r>
              </a:p>
            </c:rich>
          </c:tx>
          <c:overlay val="0"/>
        </c:title>
        <c:numFmt formatCode="General" sourceLinked="0"/>
        <c:majorTickMark val="out"/>
        <c:minorTickMark val="none"/>
        <c:tickLblPos val="nextTo"/>
        <c:crossAx val="618601272"/>
        <c:crosses val="autoZero"/>
        <c:auto val="1"/>
        <c:lblAlgn val="ctr"/>
        <c:lblOffset val="100"/>
        <c:noMultiLvlLbl val="0"/>
      </c:catAx>
      <c:valAx>
        <c:axId val="618601272"/>
        <c:scaling>
          <c:orientation val="minMax"/>
          <c:max val="900"/>
          <c:min val="400"/>
        </c:scaling>
        <c:delete val="0"/>
        <c:axPos val="l"/>
        <c:majorGridlines/>
        <c:title>
          <c:tx>
            <c:rich>
              <a:bodyPr rot="-5400000" vert="horz"/>
              <a:lstStyle/>
              <a:p>
                <a:pPr>
                  <a:defRPr b="0"/>
                </a:pPr>
                <a:r>
                  <a:rPr lang="en-US" b="0"/>
                  <a:t>kWh per annum</a:t>
                </a:r>
              </a:p>
            </c:rich>
          </c:tx>
          <c:layout>
            <c:manualLayout>
              <c:xMode val="edge"/>
              <c:yMode val="edge"/>
              <c:x val="0"/>
              <c:y val="0.21793360910521778"/>
            </c:manualLayout>
          </c:layout>
          <c:overlay val="0"/>
        </c:title>
        <c:numFmt formatCode="0" sourceLinked="0"/>
        <c:majorTickMark val="out"/>
        <c:minorTickMark val="none"/>
        <c:tickLblPos val="nextTo"/>
        <c:crossAx val="618600880"/>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52266104532208"/>
          <c:y val="4.1740030491319503E-2"/>
          <c:w val="0.670258540517081"/>
          <c:h val="0.76609399296786018"/>
        </c:manualLayout>
      </c:layout>
      <c:barChart>
        <c:barDir val="col"/>
        <c:grouping val="stacked"/>
        <c:varyColors val="0"/>
        <c:ser>
          <c:idx val="2"/>
          <c:order val="0"/>
          <c:tx>
            <c:strRef>
              <c:f>'Energy performance'!$C$75</c:f>
              <c:strCache>
                <c:ptCount val="1"/>
                <c:pt idx="0">
                  <c:v>Space heating</c:v>
                </c:pt>
              </c:strCache>
            </c:strRef>
          </c:tx>
          <c:spPr>
            <a:solidFill>
              <a:srgbClr val="F3696B"/>
            </a:solidFill>
          </c:spPr>
          <c:invertIfNegative val="0"/>
          <c:cat>
            <c:strRef>
              <c:f>'Energy performance'!$A$76:$A$87</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performance'!$C$76:$C$87</c:f>
              <c:numCache>
                <c:formatCode>0.00</c:formatCode>
                <c:ptCount val="12"/>
                <c:pt idx="0">
                  <c:v>821.9</c:v>
                </c:pt>
                <c:pt idx="1">
                  <c:v>823.69999999999993</c:v>
                </c:pt>
                <c:pt idx="2">
                  <c:v>827.2</c:v>
                </c:pt>
                <c:pt idx="3">
                  <c:v>831.2</c:v>
                </c:pt>
                <c:pt idx="4">
                  <c:v>834.5</c:v>
                </c:pt>
                <c:pt idx="5">
                  <c:v>836.4</c:v>
                </c:pt>
                <c:pt idx="6">
                  <c:v>836.7</c:v>
                </c:pt>
                <c:pt idx="7">
                  <c:v>835.09999999999991</c:v>
                </c:pt>
                <c:pt idx="8">
                  <c:v>832.4</c:v>
                </c:pt>
                <c:pt idx="9">
                  <c:v>828.9</c:v>
                </c:pt>
                <c:pt idx="10">
                  <c:v>825.09999999999991</c:v>
                </c:pt>
                <c:pt idx="11">
                  <c:v>822.5</c:v>
                </c:pt>
              </c:numCache>
            </c:numRef>
          </c:val>
        </c:ser>
        <c:ser>
          <c:idx val="3"/>
          <c:order val="1"/>
          <c:tx>
            <c:strRef>
              <c:f>'Energy performance'!$D$75</c:f>
              <c:strCache>
                <c:ptCount val="1"/>
                <c:pt idx="0">
                  <c:v>DHW</c:v>
                </c:pt>
              </c:strCache>
            </c:strRef>
          </c:tx>
          <c:spPr>
            <a:solidFill>
              <a:srgbClr val="A03C50"/>
            </a:solidFill>
          </c:spPr>
          <c:invertIfNegative val="0"/>
          <c:cat>
            <c:strRef>
              <c:f>'Energy performance'!$A$76:$A$87</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performance'!$D$76:$D$87</c:f>
              <c:numCache>
                <c:formatCode>0.00</c:formatCode>
                <c:ptCount val="12"/>
                <c:pt idx="0">
                  <c:v>2014.2000000000003</c:v>
                </c:pt>
                <c:pt idx="1">
                  <c:v>2014.2000000000003</c:v>
                </c:pt>
                <c:pt idx="2">
                  <c:v>2014.2000000000003</c:v>
                </c:pt>
                <c:pt idx="3">
                  <c:v>2014.2000000000003</c:v>
                </c:pt>
                <c:pt idx="4">
                  <c:v>2014.2000000000003</c:v>
                </c:pt>
                <c:pt idx="5">
                  <c:v>2014.2000000000003</c:v>
                </c:pt>
                <c:pt idx="6">
                  <c:v>2014.2000000000003</c:v>
                </c:pt>
                <c:pt idx="7">
                  <c:v>2014.2000000000003</c:v>
                </c:pt>
                <c:pt idx="8">
                  <c:v>2014.2000000000003</c:v>
                </c:pt>
                <c:pt idx="9">
                  <c:v>2014.2000000000003</c:v>
                </c:pt>
                <c:pt idx="10">
                  <c:v>2014.2000000000003</c:v>
                </c:pt>
                <c:pt idx="11">
                  <c:v>2014.2000000000003</c:v>
                </c:pt>
              </c:numCache>
            </c:numRef>
          </c:val>
        </c:ser>
        <c:ser>
          <c:idx val="4"/>
          <c:order val="2"/>
          <c:tx>
            <c:strRef>
              <c:f>'Energy performance'!$E$75</c:f>
              <c:strCache>
                <c:ptCount val="1"/>
                <c:pt idx="0">
                  <c:v>Ventilation</c:v>
                </c:pt>
              </c:strCache>
            </c:strRef>
          </c:tx>
          <c:spPr>
            <a:solidFill>
              <a:schemeClr val="accent5">
                <a:lumMod val="60000"/>
                <a:lumOff val="40000"/>
              </a:schemeClr>
            </a:solidFill>
          </c:spPr>
          <c:invertIfNegative val="0"/>
          <c:cat>
            <c:strRef>
              <c:f>'Energy performance'!$A$76:$A$87</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performance'!$E$76:$E$87</c:f>
              <c:numCache>
                <c:formatCode>0.00</c:formatCode>
                <c:ptCount val="12"/>
                <c:pt idx="0">
                  <c:v>1262.8</c:v>
                </c:pt>
                <c:pt idx="1">
                  <c:v>1262.8</c:v>
                </c:pt>
                <c:pt idx="2">
                  <c:v>1262.8</c:v>
                </c:pt>
                <c:pt idx="3">
                  <c:v>1262.8</c:v>
                </c:pt>
                <c:pt idx="4">
                  <c:v>1262.8</c:v>
                </c:pt>
                <c:pt idx="5">
                  <c:v>1262.8</c:v>
                </c:pt>
                <c:pt idx="6">
                  <c:v>1262.8</c:v>
                </c:pt>
                <c:pt idx="7">
                  <c:v>1262.8</c:v>
                </c:pt>
                <c:pt idx="8">
                  <c:v>1262.8</c:v>
                </c:pt>
                <c:pt idx="9">
                  <c:v>1262.8</c:v>
                </c:pt>
                <c:pt idx="10">
                  <c:v>1262.8</c:v>
                </c:pt>
                <c:pt idx="11">
                  <c:v>1262.8</c:v>
                </c:pt>
              </c:numCache>
            </c:numRef>
          </c:val>
        </c:ser>
        <c:ser>
          <c:idx val="5"/>
          <c:order val="3"/>
          <c:tx>
            <c:strRef>
              <c:f>'Energy performance'!$F$75</c:f>
              <c:strCache>
                <c:ptCount val="1"/>
                <c:pt idx="0">
                  <c:v>Chiller</c:v>
                </c:pt>
              </c:strCache>
            </c:strRef>
          </c:tx>
          <c:spPr>
            <a:solidFill>
              <a:schemeClr val="accent1">
                <a:lumMod val="75000"/>
              </a:schemeClr>
            </a:solidFill>
          </c:spPr>
          <c:invertIfNegative val="0"/>
          <c:cat>
            <c:strRef>
              <c:f>'Energy performance'!$A$76:$A$87</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performance'!$F$76:$F$87</c:f>
              <c:numCache>
                <c:formatCode>0.00</c:formatCode>
                <c:ptCount val="12"/>
                <c:pt idx="0">
                  <c:v>84.5</c:v>
                </c:pt>
                <c:pt idx="1">
                  <c:v>86.9</c:v>
                </c:pt>
                <c:pt idx="2">
                  <c:v>89.9</c:v>
                </c:pt>
                <c:pt idx="3">
                  <c:v>90</c:v>
                </c:pt>
                <c:pt idx="4">
                  <c:v>87.2</c:v>
                </c:pt>
                <c:pt idx="5">
                  <c:v>82.8</c:v>
                </c:pt>
                <c:pt idx="6">
                  <c:v>79.8</c:v>
                </c:pt>
                <c:pt idx="7">
                  <c:v>80.900000000000006</c:v>
                </c:pt>
                <c:pt idx="8">
                  <c:v>83.4</c:v>
                </c:pt>
                <c:pt idx="9">
                  <c:v>85.4</c:v>
                </c:pt>
                <c:pt idx="10">
                  <c:v>85.6</c:v>
                </c:pt>
                <c:pt idx="11">
                  <c:v>84.5</c:v>
                </c:pt>
              </c:numCache>
            </c:numRef>
          </c:val>
        </c:ser>
        <c:ser>
          <c:idx val="6"/>
          <c:order val="4"/>
          <c:tx>
            <c:strRef>
              <c:f>'Energy performance'!$G$75</c:f>
              <c:strCache>
                <c:ptCount val="1"/>
                <c:pt idx="0">
                  <c:v>Lights</c:v>
                </c:pt>
              </c:strCache>
            </c:strRef>
          </c:tx>
          <c:spPr>
            <a:solidFill>
              <a:srgbClr val="FFEB84"/>
            </a:solidFill>
          </c:spPr>
          <c:invertIfNegative val="0"/>
          <c:cat>
            <c:strRef>
              <c:f>'Energy performance'!$A$76:$A$87</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performance'!$G$76:$G$87</c:f>
              <c:numCache>
                <c:formatCode>0.00</c:formatCode>
                <c:ptCount val="12"/>
                <c:pt idx="0">
                  <c:v>2370.5</c:v>
                </c:pt>
                <c:pt idx="1">
                  <c:v>2370.5</c:v>
                </c:pt>
                <c:pt idx="2">
                  <c:v>2370.5</c:v>
                </c:pt>
                <c:pt idx="3">
                  <c:v>2370.5</c:v>
                </c:pt>
                <c:pt idx="4">
                  <c:v>2370.5</c:v>
                </c:pt>
                <c:pt idx="5">
                  <c:v>2370.5</c:v>
                </c:pt>
                <c:pt idx="6">
                  <c:v>2370.5</c:v>
                </c:pt>
                <c:pt idx="7">
                  <c:v>2370.5</c:v>
                </c:pt>
                <c:pt idx="8">
                  <c:v>2370.5</c:v>
                </c:pt>
                <c:pt idx="9">
                  <c:v>2370.5</c:v>
                </c:pt>
                <c:pt idx="10">
                  <c:v>2370.5</c:v>
                </c:pt>
                <c:pt idx="11">
                  <c:v>2370.5</c:v>
                </c:pt>
              </c:numCache>
            </c:numRef>
          </c:val>
        </c:ser>
        <c:ser>
          <c:idx val="0"/>
          <c:order val="5"/>
          <c:tx>
            <c:strRef>
              <c:f>'Energy performance'!$H$75</c:f>
              <c:strCache>
                <c:ptCount val="1"/>
                <c:pt idx="0">
                  <c:v>Equipment</c:v>
                </c:pt>
              </c:strCache>
            </c:strRef>
          </c:tx>
          <c:spPr>
            <a:solidFill>
              <a:srgbClr val="909090"/>
            </a:solidFill>
          </c:spPr>
          <c:invertIfNegative val="0"/>
          <c:cat>
            <c:strRef>
              <c:f>'Energy performance'!$A$76:$A$87</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performance'!$H$76:$H$87</c:f>
              <c:numCache>
                <c:formatCode>0.00</c:formatCode>
                <c:ptCount val="12"/>
                <c:pt idx="0">
                  <c:v>2033.9999999999998</c:v>
                </c:pt>
                <c:pt idx="1">
                  <c:v>2033.9999999999998</c:v>
                </c:pt>
                <c:pt idx="2">
                  <c:v>2033.9999999999998</c:v>
                </c:pt>
                <c:pt idx="3">
                  <c:v>2033.9999999999998</c:v>
                </c:pt>
                <c:pt idx="4">
                  <c:v>2033.9999999999998</c:v>
                </c:pt>
                <c:pt idx="5">
                  <c:v>2033.9999999999998</c:v>
                </c:pt>
                <c:pt idx="6">
                  <c:v>2033.9999999999998</c:v>
                </c:pt>
                <c:pt idx="7">
                  <c:v>2033.9999999999998</c:v>
                </c:pt>
                <c:pt idx="8">
                  <c:v>2033.9999999999998</c:v>
                </c:pt>
                <c:pt idx="9">
                  <c:v>2033.9999999999998</c:v>
                </c:pt>
                <c:pt idx="10">
                  <c:v>2033.9999999999998</c:v>
                </c:pt>
                <c:pt idx="11">
                  <c:v>2033.9999999999998</c:v>
                </c:pt>
              </c:numCache>
            </c:numRef>
          </c:val>
        </c:ser>
        <c:dLbls>
          <c:showLegendKey val="0"/>
          <c:showVal val="0"/>
          <c:showCatName val="0"/>
          <c:showSerName val="0"/>
          <c:showPercent val="0"/>
          <c:showBubbleSize val="0"/>
        </c:dLbls>
        <c:gapWidth val="20"/>
        <c:overlap val="100"/>
        <c:axId val="520177656"/>
        <c:axId val="520178048"/>
      </c:barChart>
      <c:catAx>
        <c:axId val="520177656"/>
        <c:scaling>
          <c:orientation val="minMax"/>
        </c:scaling>
        <c:delete val="0"/>
        <c:axPos val="b"/>
        <c:title>
          <c:tx>
            <c:rich>
              <a:bodyPr/>
              <a:lstStyle/>
              <a:p>
                <a:pPr>
                  <a:defRPr b="0"/>
                </a:pPr>
                <a:r>
                  <a:rPr lang="en-US" b="0"/>
                  <a:t>Orientation</a:t>
                </a:r>
              </a:p>
            </c:rich>
          </c:tx>
          <c:overlay val="0"/>
        </c:title>
        <c:numFmt formatCode="General" sourceLinked="0"/>
        <c:majorTickMark val="out"/>
        <c:minorTickMark val="none"/>
        <c:tickLblPos val="nextTo"/>
        <c:crossAx val="520178048"/>
        <c:crosses val="autoZero"/>
        <c:auto val="1"/>
        <c:lblAlgn val="ctr"/>
        <c:lblOffset val="100"/>
        <c:noMultiLvlLbl val="0"/>
      </c:catAx>
      <c:valAx>
        <c:axId val="520178048"/>
        <c:scaling>
          <c:orientation val="minMax"/>
        </c:scaling>
        <c:delete val="0"/>
        <c:axPos val="l"/>
        <c:majorGridlines/>
        <c:title>
          <c:tx>
            <c:rich>
              <a:bodyPr rot="-5400000" vert="horz"/>
              <a:lstStyle/>
              <a:p>
                <a:pPr>
                  <a:defRPr b="0"/>
                </a:pPr>
                <a:r>
                  <a:rPr lang="en-US" b="0"/>
                  <a:t>kWh per annum</a:t>
                </a:r>
              </a:p>
            </c:rich>
          </c:tx>
          <c:layout>
            <c:manualLayout>
              <c:xMode val="edge"/>
              <c:yMode val="edge"/>
              <c:x val="0"/>
              <c:y val="0.1743156009246207"/>
            </c:manualLayout>
          </c:layout>
          <c:overlay val="0"/>
        </c:title>
        <c:numFmt formatCode="0" sourceLinked="0"/>
        <c:majorTickMark val="out"/>
        <c:minorTickMark val="none"/>
        <c:tickLblPos val="nextTo"/>
        <c:crossAx val="520177656"/>
        <c:crosses val="autoZero"/>
        <c:crossBetween val="between"/>
      </c:valAx>
    </c:plotArea>
    <c:legend>
      <c:legendPos val="r"/>
      <c:layout>
        <c:manualLayout>
          <c:xMode val="edge"/>
          <c:yMode val="edge"/>
          <c:x val="0.83066493066319469"/>
          <c:y val="0.19527446569178852"/>
          <c:w val="0.16795271457209582"/>
          <c:h val="0.45501942257217848"/>
        </c:manualLayout>
      </c:layout>
      <c:overlay val="0"/>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94923921415522"/>
          <c:y val="5.064019794988759E-2"/>
          <c:w val="0.87143115300095408"/>
          <c:h val="0.73366281331765026"/>
        </c:manualLayout>
      </c:layout>
      <c:barChart>
        <c:barDir val="col"/>
        <c:grouping val="stacked"/>
        <c:varyColors val="0"/>
        <c:ser>
          <c:idx val="0"/>
          <c:order val="0"/>
          <c:tx>
            <c:strRef>
              <c:f>'Energy performance'!$C$75</c:f>
              <c:strCache>
                <c:ptCount val="1"/>
                <c:pt idx="0">
                  <c:v>Space heating</c:v>
                </c:pt>
              </c:strCache>
            </c:strRef>
          </c:tx>
          <c:spPr>
            <a:solidFill>
              <a:srgbClr val="F8696B"/>
            </a:solidFill>
          </c:spPr>
          <c:invertIfNegative val="0"/>
          <c:cat>
            <c:strRef>
              <c:f>'Energy performance'!$A$76:$A$87</c:f>
              <c:strCache>
                <c:ptCount val="12"/>
                <c:pt idx="0">
                  <c:v>0°</c:v>
                </c:pt>
                <c:pt idx="1">
                  <c:v>30°</c:v>
                </c:pt>
                <c:pt idx="2">
                  <c:v>60°</c:v>
                </c:pt>
                <c:pt idx="3">
                  <c:v>90°</c:v>
                </c:pt>
                <c:pt idx="4">
                  <c:v>120°</c:v>
                </c:pt>
                <c:pt idx="5">
                  <c:v>150°</c:v>
                </c:pt>
                <c:pt idx="6">
                  <c:v>180°</c:v>
                </c:pt>
                <c:pt idx="7">
                  <c:v>210°</c:v>
                </c:pt>
                <c:pt idx="8">
                  <c:v>240°</c:v>
                </c:pt>
                <c:pt idx="9">
                  <c:v>270°</c:v>
                </c:pt>
                <c:pt idx="10">
                  <c:v>300°</c:v>
                </c:pt>
                <c:pt idx="11">
                  <c:v>330°</c:v>
                </c:pt>
              </c:strCache>
            </c:strRef>
          </c:cat>
          <c:val>
            <c:numRef>
              <c:f>'Energy performance'!$C$76:$C$87</c:f>
              <c:numCache>
                <c:formatCode>0.00</c:formatCode>
                <c:ptCount val="12"/>
                <c:pt idx="0">
                  <c:v>821.9</c:v>
                </c:pt>
                <c:pt idx="1">
                  <c:v>823.69999999999993</c:v>
                </c:pt>
                <c:pt idx="2">
                  <c:v>827.2</c:v>
                </c:pt>
                <c:pt idx="3">
                  <c:v>831.2</c:v>
                </c:pt>
                <c:pt idx="4">
                  <c:v>834.5</c:v>
                </c:pt>
                <c:pt idx="5">
                  <c:v>836.4</c:v>
                </c:pt>
                <c:pt idx="6">
                  <c:v>836.7</c:v>
                </c:pt>
                <c:pt idx="7">
                  <c:v>835.09999999999991</c:v>
                </c:pt>
                <c:pt idx="8">
                  <c:v>832.4</c:v>
                </c:pt>
                <c:pt idx="9">
                  <c:v>828.9</c:v>
                </c:pt>
                <c:pt idx="10">
                  <c:v>825.09999999999991</c:v>
                </c:pt>
                <c:pt idx="11">
                  <c:v>822.5</c:v>
                </c:pt>
              </c:numCache>
            </c:numRef>
          </c:val>
        </c:ser>
        <c:dLbls>
          <c:showLegendKey val="0"/>
          <c:showVal val="0"/>
          <c:showCatName val="0"/>
          <c:showSerName val="0"/>
          <c:showPercent val="0"/>
          <c:showBubbleSize val="0"/>
        </c:dLbls>
        <c:gapWidth val="20"/>
        <c:overlap val="100"/>
        <c:axId val="520178832"/>
        <c:axId val="520171112"/>
      </c:barChart>
      <c:catAx>
        <c:axId val="520178832"/>
        <c:scaling>
          <c:orientation val="minMax"/>
        </c:scaling>
        <c:delete val="0"/>
        <c:axPos val="b"/>
        <c:title>
          <c:tx>
            <c:rich>
              <a:bodyPr/>
              <a:lstStyle/>
              <a:p>
                <a:pPr>
                  <a:defRPr b="0"/>
                </a:pPr>
                <a:r>
                  <a:rPr lang="en-US" b="0"/>
                  <a:t>Orientation</a:t>
                </a:r>
              </a:p>
            </c:rich>
          </c:tx>
          <c:overlay val="0"/>
        </c:title>
        <c:numFmt formatCode="General" sourceLinked="0"/>
        <c:majorTickMark val="out"/>
        <c:minorTickMark val="none"/>
        <c:tickLblPos val="nextTo"/>
        <c:crossAx val="520171112"/>
        <c:crosses val="autoZero"/>
        <c:auto val="1"/>
        <c:lblAlgn val="ctr"/>
        <c:lblOffset val="100"/>
        <c:noMultiLvlLbl val="0"/>
      </c:catAx>
      <c:valAx>
        <c:axId val="520171112"/>
        <c:scaling>
          <c:orientation val="minMax"/>
          <c:max val="900"/>
          <c:min val="400"/>
        </c:scaling>
        <c:delete val="0"/>
        <c:axPos val="l"/>
        <c:majorGridlines/>
        <c:title>
          <c:tx>
            <c:rich>
              <a:bodyPr rot="-5400000" vert="horz"/>
              <a:lstStyle/>
              <a:p>
                <a:pPr>
                  <a:defRPr b="0"/>
                </a:pPr>
                <a:r>
                  <a:rPr lang="en-US" b="0"/>
                  <a:t>kWh per annum</a:t>
                </a:r>
              </a:p>
            </c:rich>
          </c:tx>
          <c:layout>
            <c:manualLayout>
              <c:xMode val="edge"/>
              <c:yMode val="edge"/>
              <c:x val="0"/>
              <c:y val="0.21793360910521778"/>
            </c:manualLayout>
          </c:layout>
          <c:overlay val="0"/>
        </c:title>
        <c:numFmt formatCode="0" sourceLinked="0"/>
        <c:majorTickMark val="out"/>
        <c:minorTickMark val="none"/>
        <c:tickLblPos val="nextTo"/>
        <c:crossAx val="520178832"/>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480E1-0B26-4C12-927B-75599333E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Num Para.dot</Template>
  <TotalTime>2</TotalTime>
  <Pages>35</Pages>
  <Words>10452</Words>
  <Characters>59578</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TAP Prototypes</vt:lpstr>
    </vt:vector>
  </TitlesOfParts>
  <Company>Leeds Metropolitan University</Company>
  <LinksUpToDate>false</LinksUpToDate>
  <CharactersWithSpaces>69891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TAP Prototypes</dc:title>
  <dc:creator>Dominic Miles-Shenton</dc:creator>
  <cp:lastModifiedBy>Johnston, David</cp:lastModifiedBy>
  <cp:revision>2</cp:revision>
  <cp:lastPrinted>2015-06-08T08:10:00Z</cp:lastPrinted>
  <dcterms:created xsi:type="dcterms:W3CDTF">2015-06-19T15:02:00Z</dcterms:created>
  <dcterms:modified xsi:type="dcterms:W3CDTF">2015-06-19T15:02:00Z</dcterms:modified>
</cp:coreProperties>
</file>