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10E5F" w14:textId="77777777" w:rsidR="00515093" w:rsidRPr="00515093" w:rsidRDefault="0078702A" w:rsidP="0078702A">
      <w:pPr>
        <w:keepNext/>
        <w:spacing w:before="0" w:after="60"/>
        <w:jc w:val="right"/>
        <w:outlineLvl w:val="0"/>
        <w:rPr>
          <w:rFonts w:cs="Arial"/>
          <w:b/>
          <w:bCs/>
          <w:kern w:val="32"/>
          <w:sz w:val="28"/>
          <w:szCs w:val="32"/>
        </w:rPr>
      </w:pPr>
      <w:bookmarkStart w:id="0" w:name="_Toc244313353"/>
      <w:bookmarkStart w:id="1" w:name="_GoBack"/>
      <w:bookmarkEnd w:id="1"/>
      <w:r w:rsidRPr="0078702A">
        <w:rPr>
          <w:rFonts w:cs="Arial"/>
          <w:b/>
          <w:bCs/>
          <w:noProof/>
          <w:kern w:val="32"/>
          <w:sz w:val="28"/>
          <w:szCs w:val="32"/>
          <w:lang w:eastAsia="en-GB"/>
        </w:rPr>
        <w:drawing>
          <wp:inline distT="0" distB="0" distL="0" distR="0" wp14:anchorId="3A0CB91A" wp14:editId="1525F33D">
            <wp:extent cx="1762125" cy="2371725"/>
            <wp:effectExtent l="0" t="0" r="9525" b="9525"/>
            <wp:docPr id="6" name="Picture 6" descr="C:\Users\johnst04\Google Drive\CeBE\General\Logos\L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t04\Google Drive\CeBE\General\Logos\LSi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2371725"/>
                    </a:xfrm>
                    <a:prstGeom prst="rect">
                      <a:avLst/>
                    </a:prstGeom>
                    <a:noFill/>
                    <a:ln>
                      <a:noFill/>
                    </a:ln>
                  </pic:spPr>
                </pic:pic>
              </a:graphicData>
            </a:graphic>
          </wp:inline>
        </w:drawing>
      </w:r>
    </w:p>
    <w:p w14:paraId="7A8137BD" w14:textId="77777777" w:rsidR="00515093" w:rsidRPr="00515093" w:rsidRDefault="00515093" w:rsidP="00515093">
      <w:pPr>
        <w:keepNext/>
        <w:spacing w:before="0" w:after="60"/>
        <w:outlineLvl w:val="0"/>
        <w:rPr>
          <w:rFonts w:cs="Arial"/>
          <w:b/>
          <w:bCs/>
          <w:kern w:val="32"/>
          <w:sz w:val="28"/>
          <w:szCs w:val="32"/>
        </w:rPr>
      </w:pPr>
    </w:p>
    <w:p w14:paraId="4A4436B6" w14:textId="44CEFF10" w:rsidR="00515093" w:rsidRPr="00EA0C0C" w:rsidRDefault="00EA0C0C" w:rsidP="00515093">
      <w:pPr>
        <w:keepNext/>
        <w:spacing w:before="0" w:after="60"/>
        <w:outlineLvl w:val="0"/>
        <w:rPr>
          <w:rFonts w:cs="Arial"/>
          <w:b/>
          <w:bCs/>
          <w:kern w:val="32"/>
          <w:sz w:val="28"/>
          <w:szCs w:val="32"/>
        </w:rPr>
      </w:pPr>
      <w:r>
        <w:rPr>
          <w:rFonts w:cs="Arial"/>
          <w:b/>
          <w:bCs/>
          <w:kern w:val="32"/>
          <w:sz w:val="28"/>
          <w:szCs w:val="32"/>
        </w:rPr>
        <w:t>Innovat</w:t>
      </w:r>
      <w:r w:rsidR="00D00D66">
        <w:rPr>
          <w:rFonts w:cs="Arial"/>
          <w:b/>
          <w:bCs/>
          <w:kern w:val="32"/>
          <w:sz w:val="28"/>
          <w:szCs w:val="32"/>
        </w:rPr>
        <w:t xml:space="preserve">e UK Innovation Voucher </w:t>
      </w:r>
      <w:r>
        <w:rPr>
          <w:rFonts w:cs="Arial"/>
          <w:b/>
          <w:bCs/>
          <w:kern w:val="32"/>
          <w:sz w:val="28"/>
          <w:szCs w:val="32"/>
        </w:rPr>
        <w:t xml:space="preserve">project – </w:t>
      </w:r>
      <w:r w:rsidR="005D4C95">
        <w:rPr>
          <w:rFonts w:cs="Arial"/>
          <w:b/>
          <w:bCs/>
          <w:kern w:val="32"/>
          <w:sz w:val="28"/>
          <w:szCs w:val="32"/>
        </w:rPr>
        <w:t>Development of a Low Energy 3 Bedroom Prototype Dwelling</w:t>
      </w:r>
    </w:p>
    <w:p w14:paraId="35F3B112" w14:textId="77777777" w:rsidR="00515093" w:rsidRPr="00515093" w:rsidRDefault="00515093" w:rsidP="00515093">
      <w:pPr>
        <w:keepNext/>
        <w:spacing w:before="0" w:after="60"/>
        <w:outlineLvl w:val="0"/>
        <w:rPr>
          <w:rFonts w:cs="Arial"/>
          <w:b/>
          <w:bCs/>
          <w:kern w:val="32"/>
          <w:sz w:val="28"/>
          <w:szCs w:val="32"/>
        </w:rPr>
      </w:pPr>
    </w:p>
    <w:p w14:paraId="60DCC7EB" w14:textId="77777777" w:rsidR="00263A3F" w:rsidRDefault="00263A3F" w:rsidP="00263A3F">
      <w:pPr>
        <w:keepNext/>
        <w:spacing w:after="60"/>
        <w:outlineLvl w:val="0"/>
        <w:rPr>
          <w:rFonts w:cs="Arial"/>
          <w:bCs/>
          <w:kern w:val="32"/>
          <w:sz w:val="24"/>
          <w:szCs w:val="32"/>
        </w:rPr>
      </w:pPr>
      <w:r>
        <w:rPr>
          <w:rFonts w:cs="Arial"/>
          <w:bCs/>
          <w:kern w:val="32"/>
          <w:sz w:val="24"/>
          <w:szCs w:val="32"/>
        </w:rPr>
        <w:t>Professor</w:t>
      </w:r>
      <w:r w:rsidRPr="00515093">
        <w:rPr>
          <w:rFonts w:cs="Arial"/>
          <w:bCs/>
          <w:kern w:val="32"/>
          <w:sz w:val="24"/>
          <w:szCs w:val="32"/>
        </w:rPr>
        <w:t xml:space="preserve"> David Johnston, Centre for the Built Environment</w:t>
      </w:r>
      <w:r>
        <w:rPr>
          <w:rFonts w:cs="Arial"/>
          <w:bCs/>
          <w:kern w:val="32"/>
          <w:sz w:val="24"/>
          <w:szCs w:val="32"/>
        </w:rPr>
        <w:t xml:space="preserve"> (</w:t>
      </w:r>
      <w:proofErr w:type="spellStart"/>
      <w:r>
        <w:rPr>
          <w:rFonts w:cs="Arial"/>
          <w:bCs/>
          <w:kern w:val="32"/>
          <w:sz w:val="24"/>
          <w:szCs w:val="32"/>
        </w:rPr>
        <w:t>CeBE</w:t>
      </w:r>
      <w:proofErr w:type="spellEnd"/>
      <w:r>
        <w:rPr>
          <w:rFonts w:cs="Arial"/>
          <w:bCs/>
          <w:kern w:val="32"/>
          <w:sz w:val="24"/>
          <w:szCs w:val="32"/>
        </w:rPr>
        <w:t>) Group</w:t>
      </w:r>
      <w:r w:rsidRPr="00515093">
        <w:rPr>
          <w:rFonts w:cs="Arial"/>
          <w:bCs/>
          <w:kern w:val="32"/>
          <w:sz w:val="24"/>
          <w:szCs w:val="32"/>
        </w:rPr>
        <w:t xml:space="preserve">, Leeds </w:t>
      </w:r>
      <w:r>
        <w:rPr>
          <w:rFonts w:cs="Arial"/>
          <w:bCs/>
          <w:kern w:val="32"/>
          <w:sz w:val="24"/>
          <w:szCs w:val="32"/>
        </w:rPr>
        <w:t>Beckett</w:t>
      </w:r>
      <w:r w:rsidRPr="00515093">
        <w:rPr>
          <w:rFonts w:cs="Arial"/>
          <w:bCs/>
          <w:kern w:val="32"/>
          <w:sz w:val="24"/>
          <w:szCs w:val="32"/>
        </w:rPr>
        <w:t xml:space="preserve"> University</w:t>
      </w:r>
    </w:p>
    <w:p w14:paraId="10EE6E0C" w14:textId="77777777" w:rsidR="008F7338" w:rsidRPr="00515093" w:rsidRDefault="008F7338" w:rsidP="008F7338">
      <w:pPr>
        <w:keepNext/>
        <w:spacing w:after="60"/>
        <w:outlineLvl w:val="0"/>
        <w:rPr>
          <w:rFonts w:cs="Arial"/>
          <w:bCs/>
          <w:kern w:val="32"/>
          <w:sz w:val="24"/>
          <w:szCs w:val="32"/>
        </w:rPr>
      </w:pPr>
      <w:r>
        <w:rPr>
          <w:rFonts w:cs="Arial"/>
          <w:bCs/>
          <w:kern w:val="32"/>
          <w:sz w:val="24"/>
          <w:szCs w:val="32"/>
        </w:rPr>
        <w:t>Matthew Brooke-Peat</w:t>
      </w:r>
      <w:r w:rsidRPr="00EA0C0C">
        <w:rPr>
          <w:rFonts w:cs="Arial"/>
          <w:bCs/>
          <w:kern w:val="32"/>
          <w:sz w:val="24"/>
          <w:szCs w:val="32"/>
        </w:rPr>
        <w:t xml:space="preserve">, Centre for the Built Environment </w:t>
      </w:r>
      <w:r w:rsidRPr="00E23785">
        <w:rPr>
          <w:rFonts w:cs="Arial"/>
          <w:bCs/>
          <w:kern w:val="32"/>
          <w:sz w:val="24"/>
          <w:szCs w:val="32"/>
        </w:rPr>
        <w:t>(</w:t>
      </w:r>
      <w:proofErr w:type="spellStart"/>
      <w:r w:rsidRPr="00E23785">
        <w:rPr>
          <w:rFonts w:cs="Arial"/>
          <w:bCs/>
          <w:kern w:val="32"/>
          <w:sz w:val="24"/>
          <w:szCs w:val="32"/>
        </w:rPr>
        <w:t>CeBE</w:t>
      </w:r>
      <w:proofErr w:type="spellEnd"/>
      <w:r w:rsidRPr="00E23785">
        <w:rPr>
          <w:rFonts w:cs="Arial"/>
          <w:bCs/>
          <w:kern w:val="32"/>
          <w:sz w:val="24"/>
          <w:szCs w:val="32"/>
        </w:rPr>
        <w:t xml:space="preserve">) </w:t>
      </w:r>
      <w:r w:rsidRPr="00EA0C0C">
        <w:rPr>
          <w:rFonts w:cs="Arial"/>
          <w:bCs/>
          <w:kern w:val="32"/>
          <w:sz w:val="24"/>
          <w:szCs w:val="32"/>
        </w:rPr>
        <w:t>Group, Leeds Beckett University</w:t>
      </w:r>
    </w:p>
    <w:p w14:paraId="26007683" w14:textId="77777777" w:rsidR="00D00D66" w:rsidRDefault="00D00D66" w:rsidP="00D00D66">
      <w:pPr>
        <w:keepNext/>
        <w:spacing w:after="60"/>
        <w:outlineLvl w:val="0"/>
        <w:rPr>
          <w:rFonts w:cs="Arial"/>
          <w:bCs/>
          <w:kern w:val="32"/>
          <w:sz w:val="24"/>
          <w:szCs w:val="32"/>
        </w:rPr>
      </w:pPr>
      <w:r>
        <w:rPr>
          <w:rFonts w:cs="Arial"/>
          <w:bCs/>
          <w:kern w:val="32"/>
          <w:sz w:val="24"/>
          <w:szCs w:val="32"/>
        </w:rPr>
        <w:t>Dr Jim Parker</w:t>
      </w:r>
      <w:r w:rsidRPr="00515093">
        <w:rPr>
          <w:rFonts w:cs="Arial"/>
          <w:bCs/>
          <w:kern w:val="32"/>
          <w:sz w:val="24"/>
          <w:szCs w:val="32"/>
        </w:rPr>
        <w:t>, Centre for the Built</w:t>
      </w:r>
      <w:r>
        <w:rPr>
          <w:rFonts w:cs="Arial"/>
          <w:bCs/>
          <w:kern w:val="32"/>
          <w:sz w:val="24"/>
          <w:szCs w:val="32"/>
        </w:rPr>
        <w:t xml:space="preserve"> Environment </w:t>
      </w:r>
      <w:r w:rsidRPr="00E23785">
        <w:rPr>
          <w:rFonts w:cs="Arial"/>
          <w:bCs/>
          <w:kern w:val="32"/>
          <w:sz w:val="24"/>
          <w:szCs w:val="32"/>
        </w:rPr>
        <w:t>(</w:t>
      </w:r>
      <w:proofErr w:type="spellStart"/>
      <w:r w:rsidRPr="00E23785">
        <w:rPr>
          <w:rFonts w:cs="Arial"/>
          <w:bCs/>
          <w:kern w:val="32"/>
          <w:sz w:val="24"/>
          <w:szCs w:val="32"/>
        </w:rPr>
        <w:t>CeBE</w:t>
      </w:r>
      <w:proofErr w:type="spellEnd"/>
      <w:r w:rsidRPr="00E23785">
        <w:rPr>
          <w:rFonts w:cs="Arial"/>
          <w:bCs/>
          <w:kern w:val="32"/>
          <w:sz w:val="24"/>
          <w:szCs w:val="32"/>
        </w:rPr>
        <w:t xml:space="preserve">) </w:t>
      </w:r>
      <w:r>
        <w:rPr>
          <w:rFonts w:cs="Arial"/>
          <w:bCs/>
          <w:kern w:val="32"/>
          <w:sz w:val="24"/>
          <w:szCs w:val="32"/>
        </w:rPr>
        <w:t>Group, Leeds Beckett</w:t>
      </w:r>
      <w:r w:rsidRPr="00515093">
        <w:rPr>
          <w:rFonts w:cs="Arial"/>
          <w:bCs/>
          <w:kern w:val="32"/>
          <w:sz w:val="24"/>
          <w:szCs w:val="32"/>
        </w:rPr>
        <w:t xml:space="preserve"> University</w:t>
      </w:r>
    </w:p>
    <w:p w14:paraId="7ACF433F" w14:textId="77777777" w:rsidR="008F7338" w:rsidRPr="008F7338" w:rsidRDefault="008F7338" w:rsidP="008F7338">
      <w:pPr>
        <w:keepNext/>
        <w:spacing w:after="60"/>
        <w:outlineLvl w:val="0"/>
        <w:rPr>
          <w:rFonts w:cs="Arial"/>
          <w:bCs/>
          <w:kern w:val="32"/>
          <w:sz w:val="24"/>
          <w:szCs w:val="32"/>
        </w:rPr>
      </w:pPr>
    </w:p>
    <w:p w14:paraId="7C53C8E9" w14:textId="77777777" w:rsidR="00515093" w:rsidRDefault="0004763F" w:rsidP="00515093">
      <w:pPr>
        <w:keepNext/>
        <w:spacing w:after="60"/>
        <w:outlineLvl w:val="0"/>
        <w:rPr>
          <w:rFonts w:cs="Arial"/>
          <w:bCs/>
          <w:kern w:val="32"/>
          <w:sz w:val="24"/>
          <w:szCs w:val="32"/>
        </w:rPr>
      </w:pPr>
      <w:r>
        <w:rPr>
          <w:rFonts w:cs="Arial"/>
          <w:bCs/>
          <w:kern w:val="32"/>
          <w:sz w:val="24"/>
          <w:szCs w:val="32"/>
        </w:rPr>
        <w:t>June</w:t>
      </w:r>
      <w:r w:rsidR="0078702A">
        <w:rPr>
          <w:rFonts w:cs="Arial"/>
          <w:bCs/>
          <w:kern w:val="32"/>
          <w:sz w:val="24"/>
          <w:szCs w:val="32"/>
        </w:rPr>
        <w:t xml:space="preserve"> 2015</w:t>
      </w:r>
    </w:p>
    <w:p w14:paraId="354F8AC1" w14:textId="77777777" w:rsidR="00D00D66" w:rsidRPr="00515093" w:rsidRDefault="00D00D66" w:rsidP="00515093">
      <w:pPr>
        <w:keepNext/>
        <w:spacing w:after="60"/>
        <w:outlineLvl w:val="0"/>
        <w:rPr>
          <w:rFonts w:cs="Arial"/>
          <w:bCs/>
          <w:kern w:val="32"/>
          <w:sz w:val="24"/>
          <w:szCs w:val="32"/>
        </w:rPr>
      </w:pPr>
    </w:p>
    <w:p w14:paraId="478AEE8C" w14:textId="77777777" w:rsidR="00515093" w:rsidRPr="00515093" w:rsidRDefault="00D00D66" w:rsidP="00515093">
      <w:r w:rsidRPr="00D00D66">
        <w:rPr>
          <w:noProof/>
          <w:lang w:eastAsia="en-GB"/>
        </w:rPr>
        <w:drawing>
          <wp:inline distT="0" distB="0" distL="0" distR="0" wp14:anchorId="6BF12800" wp14:editId="1D9874B9">
            <wp:extent cx="5940425" cy="3343405"/>
            <wp:effectExtent l="0" t="0" r="3175" b="9525"/>
            <wp:docPr id="41" name="Picture 41" descr="C:\Users\johnst04\AppData\Local\Microsoft\Windows\Temporary Internet Files\Content.Outlook\8L2M13H2\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st04\AppData\Local\Microsoft\Windows\Temporary Internet Files\Content.Outlook\8L2M13H2\side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3405"/>
                    </a:xfrm>
                    <a:prstGeom prst="rect">
                      <a:avLst/>
                    </a:prstGeom>
                    <a:noFill/>
                    <a:ln>
                      <a:noFill/>
                    </a:ln>
                  </pic:spPr>
                </pic:pic>
              </a:graphicData>
            </a:graphic>
          </wp:inline>
        </w:drawing>
      </w:r>
    </w:p>
    <w:p w14:paraId="37EE41EF" w14:textId="77777777" w:rsidR="00EA0C0C" w:rsidRDefault="00EA0C0C" w:rsidP="00E23785">
      <w:pPr>
        <w:jc w:val="center"/>
      </w:pPr>
    </w:p>
    <w:p w14:paraId="4A6435D4" w14:textId="77777777" w:rsidR="00D91379" w:rsidRPr="00317CE8" w:rsidRDefault="00D91379" w:rsidP="00D91379">
      <w:pPr>
        <w:pStyle w:val="TOC1"/>
        <w:tabs>
          <w:tab w:val="right" w:leader="dot" w:pos="9345"/>
        </w:tabs>
        <w:rPr>
          <w:b/>
        </w:rPr>
      </w:pPr>
      <w:r w:rsidRPr="00317CE8">
        <w:rPr>
          <w:b/>
        </w:rPr>
        <w:lastRenderedPageBreak/>
        <w:t>TABLE OF CONTENTS</w:t>
      </w:r>
    </w:p>
    <w:p w14:paraId="07B051BB" w14:textId="77777777" w:rsidR="00DE073A" w:rsidRDefault="00D91379">
      <w:pPr>
        <w:pStyle w:val="TOC1"/>
        <w:tabs>
          <w:tab w:val="right" w:leader="dot" w:pos="9345"/>
        </w:tabs>
        <w:rPr>
          <w:rFonts w:asciiTheme="minorHAnsi" w:eastAsiaTheme="minorEastAsia" w:hAnsiTheme="minorHAnsi" w:cstheme="minorBidi"/>
          <w:noProof/>
          <w:sz w:val="22"/>
          <w:szCs w:val="22"/>
          <w:lang w:eastAsia="en-GB"/>
        </w:rPr>
      </w:pPr>
      <w:r w:rsidRPr="00317CE8">
        <w:fldChar w:fldCharType="begin"/>
      </w:r>
      <w:r w:rsidRPr="00317CE8">
        <w:instrText xml:space="preserve"> TOC \o "2-2" \t "Heading 1,1" </w:instrText>
      </w:r>
      <w:r w:rsidRPr="00317CE8">
        <w:fldChar w:fldCharType="separate"/>
      </w:r>
      <w:r w:rsidR="00DE073A">
        <w:rPr>
          <w:noProof/>
        </w:rPr>
        <w:t>Introduction</w:t>
      </w:r>
      <w:r w:rsidR="00DE073A">
        <w:rPr>
          <w:noProof/>
        </w:rPr>
        <w:tab/>
      </w:r>
      <w:r w:rsidR="00DE073A">
        <w:rPr>
          <w:noProof/>
        </w:rPr>
        <w:fldChar w:fldCharType="begin"/>
      </w:r>
      <w:r w:rsidR="00DE073A">
        <w:rPr>
          <w:noProof/>
        </w:rPr>
        <w:instrText xml:space="preserve"> PAGEREF _Toc422233798 \h </w:instrText>
      </w:r>
      <w:r w:rsidR="00DE073A">
        <w:rPr>
          <w:noProof/>
        </w:rPr>
      </w:r>
      <w:r w:rsidR="00DE073A">
        <w:rPr>
          <w:noProof/>
        </w:rPr>
        <w:fldChar w:fldCharType="separate"/>
      </w:r>
      <w:r w:rsidR="00DE073A">
        <w:rPr>
          <w:noProof/>
        </w:rPr>
        <w:t>3</w:t>
      </w:r>
      <w:r w:rsidR="00DE073A">
        <w:rPr>
          <w:noProof/>
        </w:rPr>
        <w:fldChar w:fldCharType="end"/>
      </w:r>
    </w:p>
    <w:p w14:paraId="123C19AD"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lang w:eastAsia="en-GB"/>
        </w:rPr>
        <w:t>The low energy prototype dwelling</w:t>
      </w:r>
      <w:r>
        <w:rPr>
          <w:noProof/>
        </w:rPr>
        <w:tab/>
      </w:r>
      <w:r>
        <w:rPr>
          <w:noProof/>
        </w:rPr>
        <w:fldChar w:fldCharType="begin"/>
      </w:r>
      <w:r>
        <w:rPr>
          <w:noProof/>
        </w:rPr>
        <w:instrText xml:space="preserve"> PAGEREF _Toc422233799 \h </w:instrText>
      </w:r>
      <w:r>
        <w:rPr>
          <w:noProof/>
        </w:rPr>
      </w:r>
      <w:r>
        <w:rPr>
          <w:noProof/>
        </w:rPr>
        <w:fldChar w:fldCharType="separate"/>
      </w:r>
      <w:r>
        <w:rPr>
          <w:noProof/>
        </w:rPr>
        <w:t>3</w:t>
      </w:r>
      <w:r>
        <w:rPr>
          <w:noProof/>
        </w:rPr>
        <w:fldChar w:fldCharType="end"/>
      </w:r>
    </w:p>
    <w:p w14:paraId="26B1B1CE" w14:textId="77777777" w:rsidR="00DE073A" w:rsidRDefault="00DE073A">
      <w:pPr>
        <w:pStyle w:val="TOC1"/>
        <w:tabs>
          <w:tab w:val="right" w:leader="dot" w:pos="9345"/>
        </w:tabs>
        <w:rPr>
          <w:rFonts w:asciiTheme="minorHAnsi" w:eastAsiaTheme="minorEastAsia" w:hAnsiTheme="minorHAnsi" w:cstheme="minorBidi"/>
          <w:noProof/>
          <w:sz w:val="22"/>
          <w:szCs w:val="22"/>
          <w:lang w:eastAsia="en-GB"/>
        </w:rPr>
      </w:pPr>
      <w:r>
        <w:rPr>
          <w:noProof/>
          <w:lang w:eastAsia="en-GB"/>
        </w:rPr>
        <w:t>Thermal bridging calculations</w:t>
      </w:r>
      <w:r>
        <w:rPr>
          <w:noProof/>
        </w:rPr>
        <w:tab/>
      </w:r>
      <w:r>
        <w:rPr>
          <w:noProof/>
        </w:rPr>
        <w:fldChar w:fldCharType="begin"/>
      </w:r>
      <w:r>
        <w:rPr>
          <w:noProof/>
        </w:rPr>
        <w:instrText xml:space="preserve"> PAGEREF _Toc422233800 \h </w:instrText>
      </w:r>
      <w:r>
        <w:rPr>
          <w:noProof/>
        </w:rPr>
      </w:r>
      <w:r>
        <w:rPr>
          <w:noProof/>
        </w:rPr>
        <w:fldChar w:fldCharType="separate"/>
      </w:r>
      <w:r>
        <w:rPr>
          <w:noProof/>
        </w:rPr>
        <w:t>5</w:t>
      </w:r>
      <w:r>
        <w:rPr>
          <w:noProof/>
        </w:rPr>
        <w:fldChar w:fldCharType="end"/>
      </w:r>
    </w:p>
    <w:p w14:paraId="09FEE8E8"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rPr>
        <w:t>Test method</w:t>
      </w:r>
      <w:r>
        <w:rPr>
          <w:noProof/>
        </w:rPr>
        <w:tab/>
      </w:r>
      <w:r>
        <w:rPr>
          <w:noProof/>
        </w:rPr>
        <w:fldChar w:fldCharType="begin"/>
      </w:r>
      <w:r>
        <w:rPr>
          <w:noProof/>
        </w:rPr>
        <w:instrText xml:space="preserve"> PAGEREF _Toc422233801 \h </w:instrText>
      </w:r>
      <w:r>
        <w:rPr>
          <w:noProof/>
        </w:rPr>
      </w:r>
      <w:r>
        <w:rPr>
          <w:noProof/>
        </w:rPr>
        <w:fldChar w:fldCharType="separate"/>
      </w:r>
      <w:r>
        <w:rPr>
          <w:noProof/>
        </w:rPr>
        <w:t>5</w:t>
      </w:r>
      <w:r>
        <w:rPr>
          <w:noProof/>
        </w:rPr>
        <w:fldChar w:fldCharType="end"/>
      </w:r>
    </w:p>
    <w:p w14:paraId="1339C12F"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rPr>
        <w:t>Limitations</w:t>
      </w:r>
      <w:r>
        <w:rPr>
          <w:noProof/>
        </w:rPr>
        <w:tab/>
      </w:r>
      <w:r>
        <w:rPr>
          <w:noProof/>
        </w:rPr>
        <w:fldChar w:fldCharType="begin"/>
      </w:r>
      <w:r>
        <w:rPr>
          <w:noProof/>
        </w:rPr>
        <w:instrText xml:space="preserve"> PAGEREF _Toc422233802 \h </w:instrText>
      </w:r>
      <w:r>
        <w:rPr>
          <w:noProof/>
        </w:rPr>
      </w:r>
      <w:r>
        <w:rPr>
          <w:noProof/>
        </w:rPr>
        <w:fldChar w:fldCharType="separate"/>
      </w:r>
      <w:r>
        <w:rPr>
          <w:noProof/>
        </w:rPr>
        <w:t>6</w:t>
      </w:r>
      <w:r>
        <w:rPr>
          <w:noProof/>
        </w:rPr>
        <w:fldChar w:fldCharType="end"/>
      </w:r>
    </w:p>
    <w:p w14:paraId="29B4E4B1"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rPr>
        <w:t>Results</w:t>
      </w:r>
      <w:r>
        <w:rPr>
          <w:noProof/>
        </w:rPr>
        <w:tab/>
      </w:r>
      <w:r>
        <w:rPr>
          <w:noProof/>
        </w:rPr>
        <w:fldChar w:fldCharType="begin"/>
      </w:r>
      <w:r>
        <w:rPr>
          <w:noProof/>
        </w:rPr>
        <w:instrText xml:space="preserve"> PAGEREF _Toc422233803 \h </w:instrText>
      </w:r>
      <w:r>
        <w:rPr>
          <w:noProof/>
        </w:rPr>
      </w:r>
      <w:r>
        <w:rPr>
          <w:noProof/>
        </w:rPr>
        <w:fldChar w:fldCharType="separate"/>
      </w:r>
      <w:r>
        <w:rPr>
          <w:noProof/>
        </w:rPr>
        <w:t>6</w:t>
      </w:r>
      <w:r>
        <w:rPr>
          <w:noProof/>
        </w:rPr>
        <w:fldChar w:fldCharType="end"/>
      </w:r>
    </w:p>
    <w:p w14:paraId="1BB6321F" w14:textId="77777777" w:rsidR="00DE073A" w:rsidRDefault="00DE073A">
      <w:pPr>
        <w:pStyle w:val="TOC1"/>
        <w:tabs>
          <w:tab w:val="right" w:leader="dot" w:pos="9345"/>
        </w:tabs>
        <w:rPr>
          <w:rFonts w:asciiTheme="minorHAnsi" w:eastAsiaTheme="minorEastAsia" w:hAnsiTheme="minorHAnsi" w:cstheme="minorBidi"/>
          <w:noProof/>
          <w:sz w:val="22"/>
          <w:szCs w:val="22"/>
          <w:lang w:eastAsia="en-GB"/>
        </w:rPr>
      </w:pPr>
      <w:r>
        <w:rPr>
          <w:noProof/>
          <w:lang w:eastAsia="en-GB"/>
        </w:rPr>
        <w:t>Dynamic thermal simulations</w:t>
      </w:r>
      <w:r>
        <w:rPr>
          <w:noProof/>
        </w:rPr>
        <w:tab/>
      </w:r>
      <w:r>
        <w:rPr>
          <w:noProof/>
        </w:rPr>
        <w:fldChar w:fldCharType="begin"/>
      </w:r>
      <w:r>
        <w:rPr>
          <w:noProof/>
        </w:rPr>
        <w:instrText xml:space="preserve"> PAGEREF _Toc422233804 \h </w:instrText>
      </w:r>
      <w:r>
        <w:rPr>
          <w:noProof/>
        </w:rPr>
      </w:r>
      <w:r>
        <w:rPr>
          <w:noProof/>
        </w:rPr>
        <w:fldChar w:fldCharType="separate"/>
      </w:r>
      <w:r>
        <w:rPr>
          <w:noProof/>
        </w:rPr>
        <w:t>7</w:t>
      </w:r>
      <w:r>
        <w:rPr>
          <w:noProof/>
        </w:rPr>
        <w:fldChar w:fldCharType="end"/>
      </w:r>
    </w:p>
    <w:p w14:paraId="37AD7E3E"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rPr>
        <w:t>Test method</w:t>
      </w:r>
      <w:r>
        <w:rPr>
          <w:noProof/>
        </w:rPr>
        <w:tab/>
      </w:r>
      <w:r>
        <w:rPr>
          <w:noProof/>
        </w:rPr>
        <w:fldChar w:fldCharType="begin"/>
      </w:r>
      <w:r>
        <w:rPr>
          <w:noProof/>
        </w:rPr>
        <w:instrText xml:space="preserve"> PAGEREF _Toc422233805 \h </w:instrText>
      </w:r>
      <w:r>
        <w:rPr>
          <w:noProof/>
        </w:rPr>
      </w:r>
      <w:r>
        <w:rPr>
          <w:noProof/>
        </w:rPr>
        <w:fldChar w:fldCharType="separate"/>
      </w:r>
      <w:r>
        <w:rPr>
          <w:noProof/>
        </w:rPr>
        <w:t>7</w:t>
      </w:r>
      <w:r>
        <w:rPr>
          <w:noProof/>
        </w:rPr>
        <w:fldChar w:fldCharType="end"/>
      </w:r>
    </w:p>
    <w:p w14:paraId="15D0E618"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rPr>
        <w:t>Limitations</w:t>
      </w:r>
      <w:r>
        <w:rPr>
          <w:noProof/>
        </w:rPr>
        <w:tab/>
      </w:r>
      <w:r>
        <w:rPr>
          <w:noProof/>
        </w:rPr>
        <w:fldChar w:fldCharType="begin"/>
      </w:r>
      <w:r>
        <w:rPr>
          <w:noProof/>
        </w:rPr>
        <w:instrText xml:space="preserve"> PAGEREF _Toc422233806 \h </w:instrText>
      </w:r>
      <w:r>
        <w:rPr>
          <w:noProof/>
        </w:rPr>
      </w:r>
      <w:r>
        <w:rPr>
          <w:noProof/>
        </w:rPr>
        <w:fldChar w:fldCharType="separate"/>
      </w:r>
      <w:r>
        <w:rPr>
          <w:noProof/>
        </w:rPr>
        <w:t>10</w:t>
      </w:r>
      <w:r>
        <w:rPr>
          <w:noProof/>
        </w:rPr>
        <w:fldChar w:fldCharType="end"/>
      </w:r>
    </w:p>
    <w:p w14:paraId="0A17EAD5" w14:textId="77777777" w:rsidR="00DE073A" w:rsidRDefault="00DE073A">
      <w:pPr>
        <w:pStyle w:val="TOC2"/>
        <w:tabs>
          <w:tab w:val="right" w:leader="dot" w:pos="9345"/>
        </w:tabs>
        <w:rPr>
          <w:rFonts w:asciiTheme="minorHAnsi" w:eastAsiaTheme="minorEastAsia" w:hAnsiTheme="minorHAnsi" w:cstheme="minorBidi"/>
          <w:noProof/>
          <w:sz w:val="22"/>
          <w:szCs w:val="22"/>
          <w:lang w:eastAsia="en-GB"/>
        </w:rPr>
      </w:pPr>
      <w:r>
        <w:rPr>
          <w:noProof/>
        </w:rPr>
        <w:t>Results</w:t>
      </w:r>
      <w:r>
        <w:rPr>
          <w:noProof/>
        </w:rPr>
        <w:tab/>
      </w:r>
      <w:r>
        <w:rPr>
          <w:noProof/>
        </w:rPr>
        <w:fldChar w:fldCharType="begin"/>
      </w:r>
      <w:r>
        <w:rPr>
          <w:noProof/>
        </w:rPr>
        <w:instrText xml:space="preserve"> PAGEREF _Toc422233807 \h </w:instrText>
      </w:r>
      <w:r>
        <w:rPr>
          <w:noProof/>
        </w:rPr>
      </w:r>
      <w:r>
        <w:rPr>
          <w:noProof/>
        </w:rPr>
        <w:fldChar w:fldCharType="separate"/>
      </w:r>
      <w:r>
        <w:rPr>
          <w:noProof/>
        </w:rPr>
        <w:t>11</w:t>
      </w:r>
      <w:r>
        <w:rPr>
          <w:noProof/>
        </w:rPr>
        <w:fldChar w:fldCharType="end"/>
      </w:r>
    </w:p>
    <w:p w14:paraId="5298A520" w14:textId="77777777" w:rsidR="00DE073A" w:rsidRDefault="00DE073A">
      <w:pPr>
        <w:pStyle w:val="TOC1"/>
        <w:tabs>
          <w:tab w:val="right" w:leader="dot" w:pos="9345"/>
        </w:tabs>
        <w:rPr>
          <w:rFonts w:asciiTheme="minorHAnsi" w:eastAsiaTheme="minorEastAsia" w:hAnsiTheme="minorHAnsi" w:cstheme="minorBidi"/>
          <w:noProof/>
          <w:sz w:val="22"/>
          <w:szCs w:val="22"/>
          <w:lang w:eastAsia="en-GB"/>
        </w:rPr>
      </w:pPr>
      <w:r>
        <w:rPr>
          <w:noProof/>
        </w:rPr>
        <w:t>Conclusions and recommendations</w:t>
      </w:r>
      <w:r>
        <w:rPr>
          <w:noProof/>
        </w:rPr>
        <w:tab/>
      </w:r>
      <w:r>
        <w:rPr>
          <w:noProof/>
        </w:rPr>
        <w:fldChar w:fldCharType="begin"/>
      </w:r>
      <w:r>
        <w:rPr>
          <w:noProof/>
        </w:rPr>
        <w:instrText xml:space="preserve"> PAGEREF _Toc422233808 \h </w:instrText>
      </w:r>
      <w:r>
        <w:rPr>
          <w:noProof/>
        </w:rPr>
      </w:r>
      <w:r>
        <w:rPr>
          <w:noProof/>
        </w:rPr>
        <w:fldChar w:fldCharType="separate"/>
      </w:r>
      <w:r>
        <w:rPr>
          <w:noProof/>
        </w:rPr>
        <w:t>16</w:t>
      </w:r>
      <w:r>
        <w:rPr>
          <w:noProof/>
        </w:rPr>
        <w:fldChar w:fldCharType="end"/>
      </w:r>
    </w:p>
    <w:p w14:paraId="45039BDC" w14:textId="77777777" w:rsidR="00DE073A" w:rsidRDefault="00DE073A">
      <w:pPr>
        <w:pStyle w:val="TOC1"/>
        <w:tabs>
          <w:tab w:val="right" w:leader="dot" w:pos="9345"/>
        </w:tabs>
        <w:rPr>
          <w:rFonts w:asciiTheme="minorHAnsi" w:eastAsiaTheme="minorEastAsia" w:hAnsiTheme="minorHAnsi" w:cstheme="minorBidi"/>
          <w:noProof/>
          <w:sz w:val="22"/>
          <w:szCs w:val="22"/>
          <w:lang w:eastAsia="en-GB"/>
        </w:rPr>
      </w:pPr>
      <w:r>
        <w:rPr>
          <w:noProof/>
        </w:rPr>
        <w:t>References</w:t>
      </w:r>
      <w:r>
        <w:rPr>
          <w:noProof/>
        </w:rPr>
        <w:tab/>
      </w:r>
      <w:r>
        <w:rPr>
          <w:noProof/>
        </w:rPr>
        <w:fldChar w:fldCharType="begin"/>
      </w:r>
      <w:r>
        <w:rPr>
          <w:noProof/>
        </w:rPr>
        <w:instrText xml:space="preserve"> PAGEREF _Toc422233809 \h </w:instrText>
      </w:r>
      <w:r>
        <w:rPr>
          <w:noProof/>
        </w:rPr>
      </w:r>
      <w:r>
        <w:rPr>
          <w:noProof/>
        </w:rPr>
        <w:fldChar w:fldCharType="separate"/>
      </w:r>
      <w:r>
        <w:rPr>
          <w:noProof/>
        </w:rPr>
        <w:t>17</w:t>
      </w:r>
      <w:r>
        <w:rPr>
          <w:noProof/>
        </w:rPr>
        <w:fldChar w:fldCharType="end"/>
      </w:r>
    </w:p>
    <w:p w14:paraId="1CC165A5" w14:textId="77777777" w:rsidR="00D91379" w:rsidRDefault="00D91379" w:rsidP="0098024F">
      <w:pPr>
        <w:pStyle w:val="Heading1"/>
      </w:pPr>
      <w:r w:rsidRPr="00317CE8">
        <w:rPr>
          <w:rFonts w:cs="Times New Roman"/>
          <w:b w:val="0"/>
          <w:bCs w:val="0"/>
          <w:kern w:val="0"/>
          <w:sz w:val="20"/>
          <w:szCs w:val="20"/>
        </w:rPr>
        <w:fldChar w:fldCharType="end"/>
      </w:r>
    </w:p>
    <w:p w14:paraId="42651BDF" w14:textId="77777777" w:rsidR="00D91379" w:rsidRDefault="001D2872" w:rsidP="001D2872">
      <w:pPr>
        <w:tabs>
          <w:tab w:val="center" w:pos="4677"/>
        </w:tabs>
        <w:spacing w:before="0" w:line="240" w:lineRule="auto"/>
        <w:rPr>
          <w:rFonts w:cs="Arial"/>
          <w:b/>
          <w:bCs/>
          <w:kern w:val="32"/>
          <w:sz w:val="28"/>
          <w:szCs w:val="32"/>
        </w:rPr>
      </w:pPr>
      <w:r>
        <w:tab/>
      </w:r>
    </w:p>
    <w:p w14:paraId="3BEB04F1" w14:textId="77777777" w:rsidR="001D2872" w:rsidRDefault="001D2872">
      <w:pPr>
        <w:spacing w:before="0" w:line="240" w:lineRule="auto"/>
        <w:rPr>
          <w:rFonts w:cs="Arial"/>
          <w:b/>
          <w:bCs/>
          <w:kern w:val="32"/>
          <w:sz w:val="28"/>
          <w:szCs w:val="32"/>
        </w:rPr>
      </w:pPr>
      <w:r>
        <w:br w:type="page"/>
      </w:r>
    </w:p>
    <w:p w14:paraId="42295D9A" w14:textId="77777777" w:rsidR="009128BA" w:rsidRPr="009128BA" w:rsidRDefault="002C5AEE" w:rsidP="004D227C">
      <w:pPr>
        <w:pStyle w:val="Heading1"/>
      </w:pPr>
      <w:bookmarkStart w:id="2" w:name="_Toc422233798"/>
      <w:r>
        <w:lastRenderedPageBreak/>
        <w:t>Introduction</w:t>
      </w:r>
      <w:bookmarkEnd w:id="0"/>
      <w:bookmarkEnd w:id="2"/>
      <w:r w:rsidR="000C5134" w:rsidRPr="000C5134">
        <w:t xml:space="preserve"> </w:t>
      </w:r>
    </w:p>
    <w:p w14:paraId="47F8C4CC" w14:textId="098FFA73" w:rsidR="00F417E3" w:rsidRDefault="00EA0C0C" w:rsidP="009A0856">
      <w:pPr>
        <w:pStyle w:val="NumPara"/>
        <w:rPr>
          <w:lang w:eastAsia="en-GB"/>
        </w:rPr>
      </w:pPr>
      <w:r w:rsidRPr="00EA0C0C">
        <w:rPr>
          <w:lang w:eastAsia="en-GB"/>
        </w:rPr>
        <w:t>This report presents the results of the thermal bridging calculations and dynamic thermal simulations that were undertaken to</w:t>
      </w:r>
      <w:r w:rsidR="00E23785">
        <w:rPr>
          <w:lang w:eastAsia="en-GB"/>
        </w:rPr>
        <w:t xml:space="preserve"> </w:t>
      </w:r>
      <w:r w:rsidRPr="00E23785">
        <w:rPr>
          <w:lang w:eastAsia="en-GB"/>
        </w:rPr>
        <w:t xml:space="preserve">assess the thermal performance of a prototype </w:t>
      </w:r>
      <w:r w:rsidR="00F417E3">
        <w:rPr>
          <w:lang w:eastAsia="en-GB"/>
        </w:rPr>
        <w:t xml:space="preserve">Code for Sustainable Homes </w:t>
      </w:r>
      <w:r w:rsidR="009A0856">
        <w:rPr>
          <w:lang w:eastAsia="en-GB"/>
        </w:rPr>
        <w:t>(CSH) Level</w:t>
      </w:r>
      <w:r w:rsidR="00F417E3">
        <w:rPr>
          <w:lang w:eastAsia="en-GB"/>
        </w:rPr>
        <w:t xml:space="preserve"> 6 </w:t>
      </w:r>
      <w:r w:rsidR="00AE6EBF">
        <w:rPr>
          <w:lang w:eastAsia="en-GB"/>
        </w:rPr>
        <w:t>low energy</w:t>
      </w:r>
      <w:r w:rsidR="00F44C9C">
        <w:rPr>
          <w:lang w:eastAsia="en-GB"/>
        </w:rPr>
        <w:t xml:space="preserve"> dwelling</w:t>
      </w:r>
      <w:r w:rsidR="000A755F">
        <w:rPr>
          <w:lang w:eastAsia="en-GB"/>
        </w:rPr>
        <w:t xml:space="preserve"> t</w:t>
      </w:r>
      <w:r w:rsidR="000A755F">
        <w:rPr>
          <w:rFonts w:cs="Arial"/>
          <w:lang w:eastAsia="en-GB"/>
        </w:rPr>
        <w:t xml:space="preserve">hat has been designed to have </w:t>
      </w:r>
      <w:r w:rsidR="00F44C9C">
        <w:rPr>
          <w:rFonts w:cs="Arial"/>
          <w:lang w:eastAsia="en-GB"/>
        </w:rPr>
        <w:t xml:space="preserve">very </w:t>
      </w:r>
      <w:r w:rsidR="000A755F" w:rsidRPr="000A755F">
        <w:rPr>
          <w:rFonts w:cs="Arial"/>
          <w:lang w:eastAsia="en-GB"/>
        </w:rPr>
        <w:t>high</w:t>
      </w:r>
      <w:r w:rsidR="00F44C9C">
        <w:rPr>
          <w:rFonts w:cs="Arial"/>
          <w:lang w:eastAsia="en-GB"/>
        </w:rPr>
        <w:t xml:space="preserve"> levels of building fabric</w:t>
      </w:r>
      <w:r w:rsidR="000A755F" w:rsidRPr="000A755F">
        <w:rPr>
          <w:rFonts w:cs="Arial"/>
          <w:lang w:eastAsia="en-GB"/>
        </w:rPr>
        <w:t xml:space="preserve"> thermal performance and </w:t>
      </w:r>
      <w:r w:rsidR="00F44C9C">
        <w:rPr>
          <w:rFonts w:cs="Arial"/>
          <w:lang w:eastAsia="en-GB"/>
        </w:rPr>
        <w:t xml:space="preserve">very </w:t>
      </w:r>
      <w:r w:rsidR="000A755F" w:rsidRPr="000A755F">
        <w:rPr>
          <w:rFonts w:cs="Arial"/>
          <w:lang w:eastAsia="en-GB"/>
        </w:rPr>
        <w:t>low energy demand.</w:t>
      </w:r>
      <w:r w:rsidR="000A755F">
        <w:rPr>
          <w:rFonts w:cs="Arial"/>
          <w:lang w:eastAsia="en-GB"/>
        </w:rPr>
        <w:t xml:space="preserve"> </w:t>
      </w:r>
      <w:r w:rsidRPr="00347E7D">
        <w:rPr>
          <w:lang w:eastAsia="en-GB"/>
        </w:rPr>
        <w:t>The calculations were</w:t>
      </w:r>
      <w:r w:rsidR="00E23785" w:rsidRPr="00347E7D">
        <w:rPr>
          <w:lang w:eastAsia="en-GB"/>
        </w:rPr>
        <w:t xml:space="preserve"> </w:t>
      </w:r>
      <w:r w:rsidRPr="00347E7D">
        <w:rPr>
          <w:lang w:eastAsia="en-GB"/>
        </w:rPr>
        <w:t>undertaken by the Centre for the Built Environment (</w:t>
      </w:r>
      <w:proofErr w:type="spellStart"/>
      <w:r w:rsidRPr="00347E7D">
        <w:rPr>
          <w:lang w:eastAsia="en-GB"/>
        </w:rPr>
        <w:t>CeBE</w:t>
      </w:r>
      <w:proofErr w:type="spellEnd"/>
      <w:r w:rsidRPr="00347E7D">
        <w:rPr>
          <w:lang w:eastAsia="en-GB"/>
        </w:rPr>
        <w:t>) Group within the Leeds Sustainability Institute</w:t>
      </w:r>
      <w:r w:rsidR="00347E7D">
        <w:rPr>
          <w:lang w:eastAsia="en-GB"/>
        </w:rPr>
        <w:t xml:space="preserve"> </w:t>
      </w:r>
      <w:r w:rsidRPr="00347E7D">
        <w:rPr>
          <w:lang w:eastAsia="en-GB"/>
        </w:rPr>
        <w:t xml:space="preserve">at Leeds </w:t>
      </w:r>
      <w:r w:rsidR="00424462">
        <w:rPr>
          <w:lang w:eastAsia="en-GB"/>
        </w:rPr>
        <w:t>Beckett</w:t>
      </w:r>
      <w:r w:rsidR="00424462" w:rsidRPr="00347E7D">
        <w:rPr>
          <w:lang w:eastAsia="en-GB"/>
        </w:rPr>
        <w:t xml:space="preserve"> </w:t>
      </w:r>
      <w:r w:rsidRPr="00347E7D">
        <w:rPr>
          <w:lang w:eastAsia="en-GB"/>
        </w:rPr>
        <w:t xml:space="preserve">University as part of a collaborative project with the dwellings designer Walker Associates. The project was supported by </w:t>
      </w:r>
      <w:r w:rsidR="00D00D66">
        <w:rPr>
          <w:lang w:eastAsia="en-GB"/>
        </w:rPr>
        <w:t>an Innovate UK Innovation Voucher.</w:t>
      </w:r>
    </w:p>
    <w:p w14:paraId="2DA29682" w14:textId="77777777" w:rsidR="00F417E3" w:rsidRDefault="00F44C9C" w:rsidP="009A0856">
      <w:pPr>
        <w:pStyle w:val="NumPara"/>
        <w:rPr>
          <w:lang w:eastAsia="en-GB"/>
        </w:rPr>
      </w:pPr>
      <w:r>
        <w:rPr>
          <w:lang w:eastAsia="en-GB"/>
        </w:rPr>
        <w:t xml:space="preserve">The calculations </w:t>
      </w:r>
      <w:r w:rsidR="001A6C74">
        <w:rPr>
          <w:lang w:eastAsia="en-GB"/>
        </w:rPr>
        <w:t xml:space="preserve">and simulations </w:t>
      </w:r>
      <w:r>
        <w:rPr>
          <w:lang w:eastAsia="en-GB"/>
        </w:rPr>
        <w:t>were performed</w:t>
      </w:r>
      <w:r w:rsidR="009A0856">
        <w:rPr>
          <w:lang w:eastAsia="en-GB"/>
        </w:rPr>
        <w:t xml:space="preserve"> </w:t>
      </w:r>
      <w:r>
        <w:rPr>
          <w:lang w:eastAsia="en-GB"/>
        </w:rPr>
        <w:t xml:space="preserve">on the prototype dwelling </w:t>
      </w:r>
      <w:r w:rsidR="009A0856">
        <w:rPr>
          <w:lang w:eastAsia="en-GB"/>
        </w:rPr>
        <w:t xml:space="preserve">for Walker Associates </w:t>
      </w:r>
      <w:r w:rsidR="001A6C74">
        <w:rPr>
          <w:lang w:eastAsia="en-GB"/>
        </w:rPr>
        <w:t xml:space="preserve">in order to test the initial design concept for the prototype dwelling prior </w:t>
      </w:r>
      <w:r>
        <w:rPr>
          <w:lang w:eastAsia="en-GB"/>
        </w:rPr>
        <w:t>to</w:t>
      </w:r>
      <w:r w:rsidR="00F417E3">
        <w:rPr>
          <w:lang w:eastAsia="en-GB"/>
        </w:rPr>
        <w:t xml:space="preserve"> the development and cons</w:t>
      </w:r>
      <w:r>
        <w:rPr>
          <w:lang w:eastAsia="en-GB"/>
        </w:rPr>
        <w:t>truction of a prototype dwelling</w:t>
      </w:r>
      <w:r w:rsidR="00F417E3">
        <w:rPr>
          <w:lang w:eastAsia="en-GB"/>
        </w:rPr>
        <w:t xml:space="preserve"> which could </w:t>
      </w:r>
      <w:r w:rsidR="001A6C74">
        <w:rPr>
          <w:lang w:eastAsia="en-GB"/>
        </w:rPr>
        <w:t xml:space="preserve">subsequently </w:t>
      </w:r>
      <w:r w:rsidR="00F417E3">
        <w:rPr>
          <w:lang w:eastAsia="en-GB"/>
        </w:rPr>
        <w:t>be tested and verified prior to marketing within</w:t>
      </w:r>
      <w:r w:rsidR="009A0856">
        <w:rPr>
          <w:lang w:eastAsia="en-GB"/>
        </w:rPr>
        <w:t xml:space="preserve"> </w:t>
      </w:r>
      <w:r w:rsidR="00F417E3">
        <w:rPr>
          <w:lang w:eastAsia="en-GB"/>
        </w:rPr>
        <w:t>the UK residential market.</w:t>
      </w:r>
    </w:p>
    <w:p w14:paraId="5174CF3E" w14:textId="48D3B113" w:rsidR="00EB0DF4" w:rsidRDefault="00EB0DF4" w:rsidP="00EB0DF4">
      <w:pPr>
        <w:pStyle w:val="Heading2"/>
        <w:rPr>
          <w:lang w:eastAsia="en-GB"/>
        </w:rPr>
      </w:pPr>
      <w:bookmarkStart w:id="3" w:name="_Toc422233799"/>
      <w:r>
        <w:rPr>
          <w:lang w:eastAsia="en-GB"/>
        </w:rPr>
        <w:t xml:space="preserve">The </w:t>
      </w:r>
      <w:r w:rsidR="00AE6EBF">
        <w:rPr>
          <w:lang w:eastAsia="en-GB"/>
        </w:rPr>
        <w:t>low energy prototype dwelling</w:t>
      </w:r>
      <w:bookmarkEnd w:id="3"/>
    </w:p>
    <w:p w14:paraId="093F6B72" w14:textId="4552536F" w:rsidR="00A92CF8" w:rsidRDefault="00A92CF8" w:rsidP="00195968">
      <w:pPr>
        <w:pStyle w:val="NumPara"/>
        <w:rPr>
          <w:lang w:eastAsia="en-GB"/>
        </w:rPr>
      </w:pPr>
      <w:r>
        <w:rPr>
          <w:lang w:eastAsia="en-GB"/>
        </w:rPr>
        <w:t xml:space="preserve">The study dwelling is a </w:t>
      </w:r>
      <w:r w:rsidR="00CB403A">
        <w:rPr>
          <w:lang w:eastAsia="en-GB"/>
        </w:rPr>
        <w:t>118.5m</w:t>
      </w:r>
      <w:r w:rsidR="00CB403A" w:rsidRPr="00CB403A">
        <w:rPr>
          <w:vertAlign w:val="superscript"/>
          <w:lang w:eastAsia="en-GB"/>
        </w:rPr>
        <w:t>2</w:t>
      </w:r>
      <w:r w:rsidR="00CB403A">
        <w:rPr>
          <w:lang w:eastAsia="en-GB"/>
        </w:rPr>
        <w:t xml:space="preserve"> </w:t>
      </w:r>
      <w:r>
        <w:rPr>
          <w:lang w:eastAsia="en-GB"/>
        </w:rPr>
        <w:t>3 storey</w:t>
      </w:r>
      <w:r w:rsidR="002500DB">
        <w:rPr>
          <w:lang w:eastAsia="en-GB"/>
        </w:rPr>
        <w:t xml:space="preserve"> two/</w:t>
      </w:r>
      <w:r>
        <w:rPr>
          <w:lang w:eastAsia="en-GB"/>
        </w:rPr>
        <w:t xml:space="preserve"> three bedroom detached property which has a novel spherical </w:t>
      </w:r>
      <w:r w:rsidR="00CB403A">
        <w:rPr>
          <w:lang w:eastAsia="en-GB"/>
        </w:rPr>
        <w:t xml:space="preserve">architectural </w:t>
      </w:r>
      <w:r>
        <w:rPr>
          <w:lang w:eastAsia="en-GB"/>
        </w:rPr>
        <w:t xml:space="preserve">form </w:t>
      </w:r>
      <w:r w:rsidR="00DE073A">
        <w:rPr>
          <w:lang w:eastAsia="en-GB"/>
        </w:rPr>
        <w:t xml:space="preserve">and is elevated above </w:t>
      </w:r>
      <w:r w:rsidR="00C637C0">
        <w:rPr>
          <w:lang w:eastAsia="en-GB"/>
        </w:rPr>
        <w:t xml:space="preserve">the surrounding ground level </w:t>
      </w:r>
      <w:r>
        <w:rPr>
          <w:lang w:eastAsia="en-GB"/>
        </w:rPr>
        <w:t xml:space="preserve">(see </w:t>
      </w:r>
      <w:r w:rsidR="00FB534D">
        <w:rPr>
          <w:lang w:eastAsia="en-GB"/>
        </w:rPr>
        <w:fldChar w:fldCharType="begin"/>
      </w:r>
      <w:r w:rsidR="00FB534D">
        <w:rPr>
          <w:lang w:eastAsia="en-GB"/>
        </w:rPr>
        <w:instrText xml:space="preserve"> REF _Ref421545092 \h </w:instrText>
      </w:r>
      <w:r w:rsidR="00FB534D">
        <w:rPr>
          <w:lang w:eastAsia="en-GB"/>
        </w:rPr>
      </w:r>
      <w:r w:rsidR="00FB534D">
        <w:rPr>
          <w:lang w:eastAsia="en-GB"/>
        </w:rPr>
        <w:fldChar w:fldCharType="separate"/>
      </w:r>
      <w:r w:rsidR="00FB534D">
        <w:t xml:space="preserve">Figure </w:t>
      </w:r>
      <w:r w:rsidR="00FB534D">
        <w:rPr>
          <w:noProof/>
        </w:rPr>
        <w:t>1</w:t>
      </w:r>
      <w:r w:rsidR="00FB534D">
        <w:rPr>
          <w:lang w:eastAsia="en-GB"/>
        </w:rPr>
        <w:fldChar w:fldCharType="end"/>
      </w:r>
      <w:r>
        <w:rPr>
          <w:lang w:eastAsia="en-GB"/>
        </w:rPr>
        <w:t xml:space="preserve">). </w:t>
      </w:r>
      <w:r w:rsidR="0098743B">
        <w:rPr>
          <w:lang w:eastAsia="en-GB"/>
        </w:rPr>
        <w:t xml:space="preserve">Consequently access to the dwelling is gained via an elevated decking area that surrounds half of the floor plan of the dwelling. </w:t>
      </w:r>
      <w:r w:rsidR="00F44C9C">
        <w:rPr>
          <w:lang w:eastAsia="en-GB"/>
        </w:rPr>
        <w:t>A</w:t>
      </w:r>
      <w:r w:rsidR="00CB403A">
        <w:rPr>
          <w:lang w:eastAsia="en-GB"/>
        </w:rPr>
        <w:t xml:space="preserve"> spherical form was chosen </w:t>
      </w:r>
      <w:r w:rsidR="00F44C9C">
        <w:rPr>
          <w:lang w:eastAsia="en-GB"/>
        </w:rPr>
        <w:t>for the dwelling</w:t>
      </w:r>
      <w:r w:rsidR="00FB534D">
        <w:rPr>
          <w:lang w:eastAsia="en-GB"/>
        </w:rPr>
        <w:t xml:space="preserve"> </w:t>
      </w:r>
      <w:r w:rsidR="009308F8">
        <w:rPr>
          <w:lang w:eastAsia="en-GB"/>
        </w:rPr>
        <w:t xml:space="preserve">by the designer </w:t>
      </w:r>
      <w:r w:rsidR="00CB403A">
        <w:rPr>
          <w:lang w:eastAsia="en-GB"/>
        </w:rPr>
        <w:t xml:space="preserve">as a </w:t>
      </w:r>
      <w:r w:rsidR="00FB534D">
        <w:rPr>
          <w:lang w:eastAsia="en-GB"/>
        </w:rPr>
        <w:t>sph</w:t>
      </w:r>
      <w:r w:rsidR="009308F8">
        <w:rPr>
          <w:lang w:eastAsia="en-GB"/>
        </w:rPr>
        <w:t>ere has a smaller surface area-to-</w:t>
      </w:r>
      <w:r w:rsidR="00FB534D">
        <w:rPr>
          <w:lang w:eastAsia="en-GB"/>
        </w:rPr>
        <w:t xml:space="preserve">volume ratio than any other shape for a given volume. </w:t>
      </w:r>
      <w:r w:rsidR="00F44C9C">
        <w:rPr>
          <w:lang w:eastAsia="en-GB"/>
        </w:rPr>
        <w:t>The smaller the surface area-to-volume ratio, the</w:t>
      </w:r>
      <w:r w:rsidR="009308F8">
        <w:rPr>
          <w:lang w:eastAsia="en-GB"/>
        </w:rPr>
        <w:t>n the</w:t>
      </w:r>
      <w:r w:rsidR="00F44C9C">
        <w:rPr>
          <w:lang w:eastAsia="en-GB"/>
        </w:rPr>
        <w:t xml:space="preserve"> more thermally efficient the building is for a given level of building fabric performance. </w:t>
      </w:r>
      <w:r w:rsidR="00C637C0">
        <w:rPr>
          <w:lang w:eastAsia="en-GB"/>
        </w:rPr>
        <w:t xml:space="preserve">As part of the original concept design, the spherical form </w:t>
      </w:r>
      <w:r w:rsidR="0098743B">
        <w:rPr>
          <w:lang w:eastAsia="en-GB"/>
        </w:rPr>
        <w:t xml:space="preserve">was elevated </w:t>
      </w:r>
      <w:r w:rsidR="00C637C0">
        <w:rPr>
          <w:lang w:eastAsia="en-GB"/>
        </w:rPr>
        <w:t xml:space="preserve">above the ground </w:t>
      </w:r>
      <w:r w:rsidR="0098743B">
        <w:rPr>
          <w:lang w:eastAsia="en-GB"/>
        </w:rPr>
        <w:t xml:space="preserve">level </w:t>
      </w:r>
      <w:r w:rsidR="009308F8">
        <w:rPr>
          <w:lang w:eastAsia="en-GB"/>
        </w:rPr>
        <w:t xml:space="preserve">to </w:t>
      </w:r>
      <w:r w:rsidR="0098743B">
        <w:rPr>
          <w:lang w:eastAsia="en-GB"/>
        </w:rPr>
        <w:t xml:space="preserve">enable </w:t>
      </w:r>
      <w:r w:rsidR="009308F8">
        <w:rPr>
          <w:lang w:eastAsia="en-GB"/>
        </w:rPr>
        <w:t>the dwelling</w:t>
      </w:r>
      <w:r w:rsidR="00F44C9C">
        <w:rPr>
          <w:lang w:eastAsia="en-GB"/>
        </w:rPr>
        <w:t xml:space="preserve"> </w:t>
      </w:r>
      <w:r w:rsidR="0098743B">
        <w:rPr>
          <w:lang w:eastAsia="en-GB"/>
        </w:rPr>
        <w:t xml:space="preserve">to rotate horizontally </w:t>
      </w:r>
      <w:r w:rsidR="00F44C9C">
        <w:rPr>
          <w:lang w:eastAsia="en-GB"/>
        </w:rPr>
        <w:t xml:space="preserve">in order to </w:t>
      </w:r>
      <w:r w:rsidR="0098743B">
        <w:rPr>
          <w:lang w:eastAsia="en-GB"/>
        </w:rPr>
        <w:t xml:space="preserve">track the sun and </w:t>
      </w:r>
      <w:r w:rsidR="00F44C9C">
        <w:rPr>
          <w:lang w:eastAsia="en-GB"/>
        </w:rPr>
        <w:t>maximise the collection of solar radiation.</w:t>
      </w:r>
    </w:p>
    <w:p w14:paraId="6109B9CC" w14:textId="77777777" w:rsidR="00195968" w:rsidRDefault="00195968" w:rsidP="005D4C95">
      <w:pPr>
        <w:pStyle w:val="NumPara"/>
        <w:numPr>
          <w:ilvl w:val="0"/>
          <w:numId w:val="0"/>
        </w:numPr>
        <w:rPr>
          <w:lang w:eastAsia="en-GB"/>
        </w:rPr>
      </w:pPr>
    </w:p>
    <w:p w14:paraId="4D29A897" w14:textId="77777777" w:rsidR="00195968" w:rsidRDefault="00195968" w:rsidP="00CB403A">
      <w:pPr>
        <w:pStyle w:val="NumPara"/>
        <w:numPr>
          <w:ilvl w:val="0"/>
          <w:numId w:val="0"/>
        </w:numPr>
        <w:ind w:left="567"/>
        <w:jc w:val="center"/>
        <w:rPr>
          <w:lang w:eastAsia="en-GB"/>
        </w:rPr>
      </w:pPr>
      <w:r>
        <w:rPr>
          <w:noProof/>
          <w:lang w:eastAsia="en-GB"/>
        </w:rPr>
        <w:drawing>
          <wp:inline distT="0" distB="0" distL="0" distR="0" wp14:anchorId="7CC2A642" wp14:editId="52713600">
            <wp:extent cx="4377600" cy="288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7600" cy="2880000"/>
                    </a:xfrm>
                    <a:prstGeom prst="rect">
                      <a:avLst/>
                    </a:prstGeom>
                  </pic:spPr>
                </pic:pic>
              </a:graphicData>
            </a:graphic>
          </wp:inline>
        </w:drawing>
      </w:r>
    </w:p>
    <w:p w14:paraId="52358EC2" w14:textId="77777777" w:rsidR="00CB403A" w:rsidRDefault="00FB534D" w:rsidP="004D1DDE">
      <w:pPr>
        <w:pStyle w:val="Caption"/>
        <w:jc w:val="center"/>
        <w:rPr>
          <w:lang w:eastAsia="en-GB"/>
        </w:rPr>
      </w:pPr>
      <w:bookmarkStart w:id="4" w:name="_Ref421545092"/>
      <w:r>
        <w:t xml:space="preserve">Figure </w:t>
      </w:r>
      <w:r w:rsidR="008A45D9">
        <w:fldChar w:fldCharType="begin"/>
      </w:r>
      <w:r w:rsidR="008A45D9">
        <w:instrText xml:space="preserve"> SEQ Figure \* ARABIC </w:instrText>
      </w:r>
      <w:r w:rsidR="008A45D9">
        <w:fldChar w:fldCharType="separate"/>
      </w:r>
      <w:r w:rsidR="00144E48">
        <w:rPr>
          <w:noProof/>
        </w:rPr>
        <w:t>1</w:t>
      </w:r>
      <w:r w:rsidR="008A45D9">
        <w:rPr>
          <w:noProof/>
        </w:rPr>
        <w:fldChar w:fldCharType="end"/>
      </w:r>
      <w:bookmarkEnd w:id="4"/>
      <w:r>
        <w:t xml:space="preserve"> South elevation of the prototype dwelling</w:t>
      </w:r>
      <w:r w:rsidR="00616976">
        <w:t xml:space="preserve"> </w:t>
      </w:r>
      <w:r w:rsidR="00616976" w:rsidRPr="00616976">
        <w:t>(Source: Walker Associates, 2015).</w:t>
      </w:r>
    </w:p>
    <w:p w14:paraId="6BB28383" w14:textId="77777777" w:rsidR="00CB403A" w:rsidRDefault="00CB403A" w:rsidP="00CB403A">
      <w:pPr>
        <w:pStyle w:val="NumPara"/>
        <w:numPr>
          <w:ilvl w:val="0"/>
          <w:numId w:val="0"/>
        </w:numPr>
        <w:ind w:left="567"/>
        <w:rPr>
          <w:lang w:eastAsia="en-GB"/>
        </w:rPr>
      </w:pPr>
    </w:p>
    <w:p w14:paraId="3A6C2D07" w14:textId="77777777" w:rsidR="004D1DDE" w:rsidRDefault="004D1DDE" w:rsidP="009A5456">
      <w:pPr>
        <w:pStyle w:val="NumPara"/>
      </w:pPr>
      <w:r>
        <w:t>Internally, t</w:t>
      </w:r>
      <w:r w:rsidR="0098743B">
        <w:t xml:space="preserve">he prototype </w:t>
      </w:r>
      <w:r w:rsidR="00A92CF8">
        <w:t xml:space="preserve">dwelling comprises </w:t>
      </w:r>
      <w:r>
        <w:t>a</w:t>
      </w:r>
      <w:r w:rsidR="0098743B">
        <w:t>n entrance lobby,</w:t>
      </w:r>
      <w:r>
        <w:t xml:space="preserve"> </w:t>
      </w:r>
      <w:r w:rsidR="0098743B">
        <w:t xml:space="preserve">storage cupboards, a </w:t>
      </w:r>
      <w:r>
        <w:t>bedroom, shower roo</w:t>
      </w:r>
      <w:r w:rsidR="0098743B">
        <w:t xml:space="preserve">m, WC, landing and stairs </w:t>
      </w:r>
      <w:r>
        <w:t>on th</w:t>
      </w:r>
      <w:r w:rsidR="002500DB">
        <w:t xml:space="preserve">e </w:t>
      </w:r>
      <w:r w:rsidR="009B5766">
        <w:t>entrance level (level 3). On the first floor</w:t>
      </w:r>
      <w:r w:rsidR="0098743B">
        <w:t>,</w:t>
      </w:r>
      <w:r w:rsidR="009B5766">
        <w:t xml:space="preserve"> (level 5) there is </w:t>
      </w:r>
      <w:r w:rsidR="0098743B">
        <w:t xml:space="preserve">a hallway, an </w:t>
      </w:r>
      <w:r w:rsidR="002500DB">
        <w:t xml:space="preserve">open plan </w:t>
      </w:r>
      <w:r w:rsidR="0098743B">
        <w:t xml:space="preserve">living, kitchen and dining area, </w:t>
      </w:r>
      <w:r w:rsidR="002500DB">
        <w:t>a study</w:t>
      </w:r>
      <w:r w:rsidR="009B5766">
        <w:t>/bedroom 3</w:t>
      </w:r>
      <w:r w:rsidR="0098743B">
        <w:t xml:space="preserve"> and the stairs to the second floor</w:t>
      </w:r>
      <w:r w:rsidR="009B5766">
        <w:t>. Finally, on the second</w:t>
      </w:r>
      <w:r w:rsidR="002500DB">
        <w:t xml:space="preserve"> floor</w:t>
      </w:r>
      <w:r w:rsidR="009B5766">
        <w:t xml:space="preserve"> (level 6</w:t>
      </w:r>
      <w:r w:rsidR="002500DB">
        <w:t>)</w:t>
      </w:r>
      <w:r w:rsidR="009B5766">
        <w:t>, there is</w:t>
      </w:r>
      <w:r w:rsidR="002500DB">
        <w:t xml:space="preserve"> a </w:t>
      </w:r>
      <w:r w:rsidR="00FF08A2">
        <w:t xml:space="preserve">landing, </w:t>
      </w:r>
      <w:r w:rsidR="002500DB">
        <w:t xml:space="preserve">master bedroom and </w:t>
      </w:r>
      <w:r w:rsidR="009B5766">
        <w:t xml:space="preserve">an </w:t>
      </w:r>
      <w:proofErr w:type="spellStart"/>
      <w:r w:rsidR="009B5766">
        <w:t>en</w:t>
      </w:r>
      <w:proofErr w:type="spellEnd"/>
      <w:r w:rsidR="009B5766">
        <w:t>-suite</w:t>
      </w:r>
      <w:r w:rsidR="002500DB">
        <w:t>.</w:t>
      </w:r>
      <w:r w:rsidR="009B5766" w:rsidRPr="009B5766">
        <w:t xml:space="preserve"> </w:t>
      </w:r>
      <w:r w:rsidR="009B5766" w:rsidRPr="00455488">
        <w:t xml:space="preserve">The </w:t>
      </w:r>
      <w:r w:rsidR="00FF08A2">
        <w:t xml:space="preserve">internal </w:t>
      </w:r>
      <w:r w:rsidR="009B5766" w:rsidRPr="00455488">
        <w:t xml:space="preserve">layout the </w:t>
      </w:r>
      <w:r w:rsidR="009B5766">
        <w:t>prototype dwelling</w:t>
      </w:r>
      <w:r w:rsidR="009B5766" w:rsidRPr="00455488">
        <w:t xml:space="preserve"> is </w:t>
      </w:r>
      <w:r w:rsidR="009B5766">
        <w:t xml:space="preserve">illustrated in </w:t>
      </w:r>
      <w:r w:rsidR="009B5766">
        <w:fldChar w:fldCharType="begin"/>
      </w:r>
      <w:r w:rsidR="009B5766">
        <w:instrText xml:space="preserve"> REF _Ref421549043 \h </w:instrText>
      </w:r>
      <w:r w:rsidR="009B5766">
        <w:fldChar w:fldCharType="separate"/>
      </w:r>
      <w:r w:rsidR="009B5766">
        <w:t xml:space="preserve">Figure </w:t>
      </w:r>
      <w:r w:rsidR="009B5766">
        <w:rPr>
          <w:noProof/>
        </w:rPr>
        <w:t>2</w:t>
      </w:r>
      <w:r w:rsidR="009B5766">
        <w:fldChar w:fldCharType="end"/>
      </w:r>
      <w:r w:rsidR="009B5766">
        <w:t>.</w:t>
      </w:r>
    </w:p>
    <w:p w14:paraId="630849DF" w14:textId="77777777" w:rsidR="002500DB" w:rsidRDefault="002500DB" w:rsidP="002500DB">
      <w:pPr>
        <w:pStyle w:val="NumPara"/>
        <w:numPr>
          <w:ilvl w:val="0"/>
          <w:numId w:val="0"/>
        </w:numPr>
        <w:ind w:left="567" w:hanging="567"/>
      </w:pPr>
    </w:p>
    <w:p w14:paraId="5006D22B" w14:textId="77777777" w:rsidR="002500DB" w:rsidRDefault="002500DB" w:rsidP="002500DB">
      <w:pPr>
        <w:pStyle w:val="NumPara"/>
        <w:numPr>
          <w:ilvl w:val="0"/>
          <w:numId w:val="0"/>
        </w:numPr>
        <w:ind w:left="567" w:hanging="567"/>
      </w:pPr>
    </w:p>
    <w:p w14:paraId="30B99383" w14:textId="77777777" w:rsidR="002500DB" w:rsidRDefault="002500DB" w:rsidP="002500DB">
      <w:pPr>
        <w:pStyle w:val="NumPara"/>
        <w:numPr>
          <w:ilvl w:val="0"/>
          <w:numId w:val="0"/>
        </w:numPr>
        <w:ind w:left="567" w:hanging="567"/>
        <w:jc w:val="center"/>
      </w:pPr>
      <w:r>
        <w:rPr>
          <w:noProof/>
          <w:lang w:eastAsia="en-GB"/>
        </w:rPr>
        <w:lastRenderedPageBreak/>
        <w:drawing>
          <wp:inline distT="0" distB="0" distL="0" distR="0" wp14:anchorId="5C3179F0" wp14:editId="711FC127">
            <wp:extent cx="3657600" cy="216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7600" cy="2160000"/>
                    </a:xfrm>
                    <a:prstGeom prst="rect">
                      <a:avLst/>
                    </a:prstGeom>
                  </pic:spPr>
                </pic:pic>
              </a:graphicData>
            </a:graphic>
          </wp:inline>
        </w:drawing>
      </w:r>
    </w:p>
    <w:p w14:paraId="5A5CE4E6" w14:textId="3A2DBC18" w:rsidR="002500DB" w:rsidRDefault="0055148B" w:rsidP="002500DB">
      <w:pPr>
        <w:pStyle w:val="NumPara"/>
        <w:numPr>
          <w:ilvl w:val="0"/>
          <w:numId w:val="0"/>
        </w:numPr>
        <w:ind w:left="567" w:hanging="567"/>
        <w:jc w:val="center"/>
      </w:pPr>
      <w:r>
        <w:t xml:space="preserve">    </w:t>
      </w:r>
      <w:r>
        <w:rPr>
          <w:noProof/>
          <w:lang w:eastAsia="en-GB"/>
        </w:rPr>
        <w:drawing>
          <wp:inline distT="0" distB="0" distL="0" distR="0" wp14:anchorId="2B205B96" wp14:editId="5DE87718">
            <wp:extent cx="3493698" cy="223992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0892" cy="2238124"/>
                    </a:xfrm>
                    <a:prstGeom prst="rect">
                      <a:avLst/>
                    </a:prstGeom>
                  </pic:spPr>
                </pic:pic>
              </a:graphicData>
            </a:graphic>
          </wp:inline>
        </w:drawing>
      </w:r>
    </w:p>
    <w:p w14:paraId="38C6435E" w14:textId="77777777" w:rsidR="002500DB" w:rsidRDefault="002500DB" w:rsidP="002500DB">
      <w:pPr>
        <w:pStyle w:val="NumPara"/>
        <w:numPr>
          <w:ilvl w:val="0"/>
          <w:numId w:val="0"/>
        </w:numPr>
        <w:ind w:left="567" w:hanging="567"/>
        <w:jc w:val="center"/>
      </w:pPr>
      <w:r>
        <w:rPr>
          <w:noProof/>
          <w:lang w:eastAsia="en-GB"/>
        </w:rPr>
        <w:drawing>
          <wp:inline distT="0" distB="0" distL="0" distR="0" wp14:anchorId="13E9146E" wp14:editId="6FC18651">
            <wp:extent cx="3689498" cy="296175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2792" cy="3012562"/>
                    </a:xfrm>
                    <a:prstGeom prst="rect">
                      <a:avLst/>
                    </a:prstGeom>
                  </pic:spPr>
                </pic:pic>
              </a:graphicData>
            </a:graphic>
          </wp:inline>
        </w:drawing>
      </w:r>
    </w:p>
    <w:p w14:paraId="291331A2" w14:textId="77777777" w:rsidR="002500DB" w:rsidRDefault="009B5766" w:rsidP="009B5766">
      <w:pPr>
        <w:pStyle w:val="Caption"/>
        <w:jc w:val="center"/>
      </w:pPr>
      <w:bookmarkStart w:id="5" w:name="_Ref421549043"/>
      <w:r>
        <w:t xml:space="preserve">Figure </w:t>
      </w:r>
      <w:r w:rsidR="008A45D9">
        <w:fldChar w:fldCharType="begin"/>
      </w:r>
      <w:r w:rsidR="008A45D9">
        <w:instrText xml:space="preserve"> SEQ Figure \* ARABIC </w:instrText>
      </w:r>
      <w:r w:rsidR="008A45D9">
        <w:fldChar w:fldCharType="separate"/>
      </w:r>
      <w:r w:rsidR="00144E48">
        <w:rPr>
          <w:noProof/>
        </w:rPr>
        <w:t>2</w:t>
      </w:r>
      <w:r w:rsidR="008A45D9">
        <w:rPr>
          <w:noProof/>
        </w:rPr>
        <w:fldChar w:fldCharType="end"/>
      </w:r>
      <w:bookmarkEnd w:id="5"/>
      <w:r>
        <w:t xml:space="preserve"> Prototype dwelling layout</w:t>
      </w:r>
      <w:r w:rsidR="00616976">
        <w:t xml:space="preserve"> </w:t>
      </w:r>
      <w:r w:rsidR="00616976" w:rsidRPr="00616976">
        <w:t>(Source: Walker Associates, 2015).</w:t>
      </w:r>
    </w:p>
    <w:p w14:paraId="6063EE70" w14:textId="77777777" w:rsidR="00A92CF8" w:rsidRDefault="00A92CF8" w:rsidP="009B5766">
      <w:pPr>
        <w:pStyle w:val="NumPara"/>
        <w:numPr>
          <w:ilvl w:val="0"/>
          <w:numId w:val="0"/>
        </w:numPr>
      </w:pPr>
    </w:p>
    <w:p w14:paraId="74BF2FAD" w14:textId="7968996A" w:rsidR="00FA62C6" w:rsidRDefault="00A92CF8" w:rsidP="00FA62C6">
      <w:pPr>
        <w:pStyle w:val="NumPara"/>
      </w:pPr>
      <w:r w:rsidRPr="0028772A">
        <w:t xml:space="preserve">The </w:t>
      </w:r>
      <w:r w:rsidR="00E12F54">
        <w:t xml:space="preserve">external walls, roof and </w:t>
      </w:r>
      <w:r w:rsidR="009A5456">
        <w:t>floor</w:t>
      </w:r>
      <w:r w:rsidR="00E12F54">
        <w:t xml:space="preserve"> </w:t>
      </w:r>
      <w:r w:rsidRPr="0028772A">
        <w:t xml:space="preserve">of the </w:t>
      </w:r>
      <w:r w:rsidR="009B5766">
        <w:t>prototype dwelling are to be constructed from Structu</w:t>
      </w:r>
      <w:r w:rsidR="00FA62C6">
        <w:t>r</w:t>
      </w:r>
      <w:r w:rsidR="009B5766">
        <w:t>ally Insulated Panels (SIP’s</w:t>
      </w:r>
      <w:r w:rsidR="00FA62C6">
        <w:t xml:space="preserve">) comprising a 300mm </w:t>
      </w:r>
      <w:r w:rsidR="00424462">
        <w:t xml:space="preserve">Expanded Polystyrene (EPS) </w:t>
      </w:r>
      <w:r w:rsidR="00FA62C6">
        <w:t xml:space="preserve">insulated core. </w:t>
      </w:r>
      <w:r w:rsidR="00DE073A">
        <w:t xml:space="preserve">The </w:t>
      </w:r>
      <w:r>
        <w:t xml:space="preserve">windows </w:t>
      </w:r>
      <w:r w:rsidR="00FA62C6">
        <w:t xml:space="preserve">and roof light </w:t>
      </w:r>
      <w:r w:rsidRPr="002F1628">
        <w:t xml:space="preserve">are </w:t>
      </w:r>
      <w:r w:rsidR="00FA62C6">
        <w:t xml:space="preserve">to be double </w:t>
      </w:r>
      <w:r w:rsidRPr="002F1628">
        <w:t xml:space="preserve">glazed units </w:t>
      </w:r>
      <w:r>
        <w:t>in timber frames</w:t>
      </w:r>
      <w:r w:rsidR="00FA62C6">
        <w:t xml:space="preserve"> which are set back within the SIP panel system. To enable a flush external finish to be achieved, all of the windows and the roof lights are </w:t>
      </w:r>
      <w:r w:rsidR="001A6C74">
        <w:t xml:space="preserve">to be </w:t>
      </w:r>
      <w:r w:rsidR="00FA62C6">
        <w:t xml:space="preserve">secondary glazed. </w:t>
      </w:r>
    </w:p>
    <w:p w14:paraId="6594FCC0" w14:textId="77777777" w:rsidR="00A92CF8" w:rsidRDefault="00A92CF8" w:rsidP="00FA62C6">
      <w:pPr>
        <w:pStyle w:val="NumPara"/>
      </w:pPr>
      <w:r w:rsidRPr="009E6E3A">
        <w:lastRenderedPageBreak/>
        <w:t>A summary of the U-values for the various elements of the building fab</w:t>
      </w:r>
      <w:r w:rsidR="009A5456">
        <w:t xml:space="preserve">ric are contained within </w:t>
      </w:r>
      <w:r w:rsidR="009A5456">
        <w:fldChar w:fldCharType="begin"/>
      </w:r>
      <w:r w:rsidR="009A5456">
        <w:instrText xml:space="preserve"> REF _Ref421552617 \h </w:instrText>
      </w:r>
      <w:r w:rsidR="009A5456">
        <w:fldChar w:fldCharType="separate"/>
      </w:r>
      <w:r w:rsidR="009A5456">
        <w:t xml:space="preserve">Table </w:t>
      </w:r>
      <w:r w:rsidR="009A5456">
        <w:rPr>
          <w:noProof/>
        </w:rPr>
        <w:t>1</w:t>
      </w:r>
      <w:r w:rsidR="009A5456">
        <w:fldChar w:fldCharType="end"/>
      </w:r>
      <w:r w:rsidRPr="009E6E3A">
        <w:t xml:space="preserve">.These figures have been obtained from the </w:t>
      </w:r>
      <w:r>
        <w:t>as-built SAP worksheet</w:t>
      </w:r>
      <w:r w:rsidRPr="009E6E3A">
        <w:t xml:space="preserve"> dated </w:t>
      </w:r>
      <w:r w:rsidR="00E12F54">
        <w:t>11</w:t>
      </w:r>
      <w:r w:rsidRPr="00FA62C6">
        <w:rPr>
          <w:vertAlign w:val="superscript"/>
        </w:rPr>
        <w:t>th</w:t>
      </w:r>
      <w:r w:rsidR="00E12F54">
        <w:t xml:space="preserve"> August 2011</w:t>
      </w:r>
      <w:r w:rsidR="00FA62C6">
        <w:t>.</w:t>
      </w:r>
    </w:p>
    <w:p w14:paraId="1FB14A29" w14:textId="77777777" w:rsidR="00A92CF8" w:rsidRPr="00BA6319" w:rsidRDefault="00A92CF8" w:rsidP="001A6C74">
      <w:pPr>
        <w:pStyle w:val="NumPara"/>
        <w:numPr>
          <w:ilvl w:val="0"/>
          <w:numId w:val="0"/>
        </w:numPr>
        <w:ind w:left="567"/>
      </w:pPr>
      <w:bookmarkStart w:id="6" w:name="_Ref330462004"/>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4678"/>
      </w:tblGrid>
      <w:tr w:rsidR="00A92CF8" w14:paraId="21C5E05B" w14:textId="77777777" w:rsidTr="001C1D27">
        <w:tc>
          <w:tcPr>
            <w:tcW w:w="3605" w:type="dxa"/>
            <w:shd w:val="clear" w:color="auto" w:fill="auto"/>
          </w:tcPr>
          <w:p w14:paraId="6F76DCC3" w14:textId="77777777" w:rsidR="00A92CF8" w:rsidRPr="001A6C74" w:rsidRDefault="00A92CF8" w:rsidP="001C1D27">
            <w:pPr>
              <w:pStyle w:val="NumPara"/>
              <w:numPr>
                <w:ilvl w:val="0"/>
                <w:numId w:val="0"/>
              </w:numPr>
              <w:rPr>
                <w:b/>
              </w:rPr>
            </w:pPr>
            <w:r w:rsidRPr="001A6C74">
              <w:rPr>
                <w:b/>
              </w:rPr>
              <w:t>Element</w:t>
            </w:r>
          </w:p>
        </w:tc>
        <w:tc>
          <w:tcPr>
            <w:tcW w:w="4678" w:type="dxa"/>
            <w:shd w:val="clear" w:color="auto" w:fill="auto"/>
          </w:tcPr>
          <w:p w14:paraId="3E0004D3" w14:textId="77777777" w:rsidR="00A92CF8" w:rsidRPr="001A6C74" w:rsidRDefault="00A92CF8" w:rsidP="001C1D27">
            <w:pPr>
              <w:pStyle w:val="NumPara"/>
              <w:numPr>
                <w:ilvl w:val="0"/>
                <w:numId w:val="0"/>
              </w:numPr>
              <w:jc w:val="center"/>
            </w:pPr>
            <w:r w:rsidRPr="001A6C74">
              <w:rPr>
                <w:b/>
              </w:rPr>
              <w:t>U-value (W/m</w:t>
            </w:r>
            <w:r w:rsidRPr="001A6C74">
              <w:rPr>
                <w:b/>
                <w:vertAlign w:val="superscript"/>
              </w:rPr>
              <w:t>2</w:t>
            </w:r>
            <w:r w:rsidRPr="001A6C74">
              <w:rPr>
                <w:b/>
              </w:rPr>
              <w:t>K)</w:t>
            </w:r>
          </w:p>
        </w:tc>
      </w:tr>
      <w:tr w:rsidR="00A92CF8" w14:paraId="5D5C8936" w14:textId="77777777" w:rsidTr="001C1D27">
        <w:tc>
          <w:tcPr>
            <w:tcW w:w="3605" w:type="dxa"/>
            <w:shd w:val="clear" w:color="auto" w:fill="auto"/>
          </w:tcPr>
          <w:p w14:paraId="3F3CC465" w14:textId="77777777" w:rsidR="00A92CF8" w:rsidRPr="001A6C74" w:rsidRDefault="00A92CF8" w:rsidP="001C1D27">
            <w:pPr>
              <w:pStyle w:val="NumPara"/>
              <w:numPr>
                <w:ilvl w:val="0"/>
                <w:numId w:val="0"/>
              </w:numPr>
            </w:pPr>
            <w:r w:rsidRPr="001A6C74">
              <w:t>External walls</w:t>
            </w:r>
          </w:p>
        </w:tc>
        <w:tc>
          <w:tcPr>
            <w:tcW w:w="4678" w:type="dxa"/>
            <w:shd w:val="clear" w:color="auto" w:fill="auto"/>
          </w:tcPr>
          <w:p w14:paraId="19473F85" w14:textId="77777777" w:rsidR="00A92CF8" w:rsidRPr="001A6C74" w:rsidRDefault="009A5456" w:rsidP="001C1D27">
            <w:pPr>
              <w:pStyle w:val="NumPara"/>
              <w:numPr>
                <w:ilvl w:val="0"/>
                <w:numId w:val="0"/>
              </w:numPr>
              <w:jc w:val="center"/>
            </w:pPr>
            <w:r w:rsidRPr="001A6C74">
              <w:t>0.12</w:t>
            </w:r>
          </w:p>
        </w:tc>
      </w:tr>
      <w:tr w:rsidR="00A92CF8" w14:paraId="2AA1E788" w14:textId="77777777" w:rsidTr="001C1D27">
        <w:tc>
          <w:tcPr>
            <w:tcW w:w="3605" w:type="dxa"/>
            <w:shd w:val="clear" w:color="auto" w:fill="auto"/>
          </w:tcPr>
          <w:p w14:paraId="4208C9CA" w14:textId="77777777" w:rsidR="00A92CF8" w:rsidRPr="001A6C74" w:rsidRDefault="009A5456" w:rsidP="001C1D27">
            <w:pPr>
              <w:pStyle w:val="NumPara"/>
              <w:numPr>
                <w:ilvl w:val="0"/>
                <w:numId w:val="0"/>
              </w:numPr>
            </w:pPr>
            <w:r w:rsidRPr="001A6C74">
              <w:t>F</w:t>
            </w:r>
            <w:r w:rsidR="00A92CF8" w:rsidRPr="001A6C74">
              <w:t>loor</w:t>
            </w:r>
          </w:p>
        </w:tc>
        <w:tc>
          <w:tcPr>
            <w:tcW w:w="4678" w:type="dxa"/>
            <w:shd w:val="clear" w:color="auto" w:fill="auto"/>
          </w:tcPr>
          <w:p w14:paraId="663216CF" w14:textId="77777777" w:rsidR="00A92CF8" w:rsidRPr="001A6C74" w:rsidRDefault="00A92CF8" w:rsidP="001C1D27">
            <w:pPr>
              <w:pStyle w:val="NumPara"/>
              <w:numPr>
                <w:ilvl w:val="0"/>
                <w:numId w:val="0"/>
              </w:numPr>
              <w:jc w:val="center"/>
            </w:pPr>
            <w:r w:rsidRPr="001A6C74">
              <w:t>0.1</w:t>
            </w:r>
            <w:r w:rsidR="009A5456" w:rsidRPr="001A6C74">
              <w:t>2</w:t>
            </w:r>
          </w:p>
        </w:tc>
      </w:tr>
      <w:tr w:rsidR="00A92CF8" w14:paraId="15003930" w14:textId="77777777" w:rsidTr="001C1D27">
        <w:tc>
          <w:tcPr>
            <w:tcW w:w="3605" w:type="dxa"/>
            <w:shd w:val="clear" w:color="auto" w:fill="auto"/>
          </w:tcPr>
          <w:p w14:paraId="203C0834" w14:textId="77777777" w:rsidR="00A92CF8" w:rsidRPr="001A6C74" w:rsidRDefault="00A92CF8" w:rsidP="001C1D27">
            <w:pPr>
              <w:pStyle w:val="NumPara"/>
              <w:numPr>
                <w:ilvl w:val="0"/>
                <w:numId w:val="0"/>
              </w:numPr>
            </w:pPr>
            <w:r w:rsidRPr="001A6C74">
              <w:t>Roof</w:t>
            </w:r>
          </w:p>
        </w:tc>
        <w:tc>
          <w:tcPr>
            <w:tcW w:w="4678" w:type="dxa"/>
            <w:shd w:val="clear" w:color="auto" w:fill="auto"/>
          </w:tcPr>
          <w:p w14:paraId="3A13646B" w14:textId="77777777" w:rsidR="00A92CF8" w:rsidRPr="001A6C74" w:rsidRDefault="009A5456" w:rsidP="001C1D27">
            <w:pPr>
              <w:pStyle w:val="NumPara"/>
              <w:numPr>
                <w:ilvl w:val="0"/>
                <w:numId w:val="0"/>
              </w:numPr>
              <w:jc w:val="center"/>
            </w:pPr>
            <w:r w:rsidRPr="001A6C74">
              <w:t>0.12</w:t>
            </w:r>
          </w:p>
        </w:tc>
      </w:tr>
      <w:tr w:rsidR="00A92CF8" w14:paraId="76C4D3D8" w14:textId="77777777" w:rsidTr="001C1D27">
        <w:tc>
          <w:tcPr>
            <w:tcW w:w="3605" w:type="dxa"/>
            <w:shd w:val="clear" w:color="auto" w:fill="auto"/>
          </w:tcPr>
          <w:p w14:paraId="449E9185" w14:textId="77777777" w:rsidR="00A92CF8" w:rsidRPr="001A6C74" w:rsidRDefault="00A92CF8" w:rsidP="001C1D27">
            <w:pPr>
              <w:pStyle w:val="NumPara"/>
              <w:numPr>
                <w:ilvl w:val="0"/>
                <w:numId w:val="0"/>
              </w:numPr>
            </w:pPr>
            <w:r w:rsidRPr="001A6C74">
              <w:t>Windows</w:t>
            </w:r>
            <w:r w:rsidR="009A5456" w:rsidRPr="001A6C74">
              <w:t>, roof light and door</w:t>
            </w:r>
          </w:p>
        </w:tc>
        <w:tc>
          <w:tcPr>
            <w:tcW w:w="4678" w:type="dxa"/>
            <w:shd w:val="clear" w:color="auto" w:fill="auto"/>
          </w:tcPr>
          <w:p w14:paraId="1241862B" w14:textId="77777777" w:rsidR="00A92CF8" w:rsidRPr="001A6C74" w:rsidRDefault="009A5456" w:rsidP="001C1D27">
            <w:pPr>
              <w:pStyle w:val="NumPara"/>
              <w:numPr>
                <w:ilvl w:val="0"/>
                <w:numId w:val="0"/>
              </w:numPr>
              <w:jc w:val="center"/>
            </w:pPr>
            <w:r w:rsidRPr="001A6C74">
              <w:t>1.00</w:t>
            </w:r>
          </w:p>
        </w:tc>
      </w:tr>
    </w:tbl>
    <w:p w14:paraId="77FFF675" w14:textId="77777777" w:rsidR="00A92CF8" w:rsidRDefault="009A5456" w:rsidP="009A5456">
      <w:pPr>
        <w:pStyle w:val="Caption"/>
        <w:jc w:val="center"/>
      </w:pPr>
      <w:bookmarkStart w:id="7" w:name="_Ref421552617"/>
      <w:r>
        <w:t xml:space="preserve">Table </w:t>
      </w:r>
      <w:r w:rsidR="008A45D9">
        <w:fldChar w:fldCharType="begin"/>
      </w:r>
      <w:r w:rsidR="008A45D9">
        <w:instrText xml:space="preserve"> SEQ Table \* ARABIC </w:instrText>
      </w:r>
      <w:r w:rsidR="008A45D9">
        <w:fldChar w:fldCharType="separate"/>
      </w:r>
      <w:r w:rsidR="008D0405">
        <w:rPr>
          <w:noProof/>
        </w:rPr>
        <w:t>1</w:t>
      </w:r>
      <w:r w:rsidR="008A45D9">
        <w:rPr>
          <w:noProof/>
        </w:rPr>
        <w:fldChar w:fldCharType="end"/>
      </w:r>
      <w:bookmarkEnd w:id="7"/>
      <w:r>
        <w:t xml:space="preserve"> </w:t>
      </w:r>
      <w:r w:rsidR="00A92CF8">
        <w:t>U-values of th</w:t>
      </w:r>
      <w:r w:rsidR="00DF34D0">
        <w:t>e main elements of the prototype dwelling</w:t>
      </w:r>
      <w:r w:rsidR="00A92CF8">
        <w:t>.</w:t>
      </w:r>
      <w:bookmarkEnd w:id="6"/>
    </w:p>
    <w:p w14:paraId="319EE369" w14:textId="77777777" w:rsidR="00A92CF8" w:rsidRDefault="00A92CF8" w:rsidP="009A5456">
      <w:pPr>
        <w:pStyle w:val="NumPara"/>
        <w:numPr>
          <w:ilvl w:val="0"/>
          <w:numId w:val="0"/>
        </w:numPr>
        <w:ind w:left="567"/>
      </w:pPr>
    </w:p>
    <w:p w14:paraId="37870531" w14:textId="77777777" w:rsidR="00A92CF8" w:rsidRDefault="009A5456" w:rsidP="005D4C95">
      <w:pPr>
        <w:pStyle w:val="NumPara"/>
      </w:pPr>
      <w:r>
        <w:t xml:space="preserve">In terms of airtightness, the </w:t>
      </w:r>
      <w:r w:rsidR="00A92CF8">
        <w:t>design air permeability target for the test dwelling</w:t>
      </w:r>
      <w:r>
        <w:t xml:space="preserve"> is 3.0 </w:t>
      </w:r>
      <w:r w:rsidR="00A92CF8" w:rsidRPr="00C061D5">
        <w:t>m</w:t>
      </w:r>
      <w:r w:rsidR="00A92CF8" w:rsidRPr="005D4C95">
        <w:rPr>
          <w:vertAlign w:val="superscript"/>
        </w:rPr>
        <w:t>3</w:t>
      </w:r>
      <w:r w:rsidR="00A92CF8" w:rsidRPr="00C061D5">
        <w:t>.h</w:t>
      </w:r>
      <w:r w:rsidR="00A92CF8" w:rsidRPr="005D4C95">
        <w:rPr>
          <w:vertAlign w:val="superscript"/>
        </w:rPr>
        <w:t>-1</w:t>
      </w:r>
      <w:r w:rsidR="00A92CF8" w:rsidRPr="00C061D5">
        <w:t>.m</w:t>
      </w:r>
      <w:r w:rsidR="00A92CF8" w:rsidRPr="005D4C95">
        <w:rPr>
          <w:vertAlign w:val="superscript"/>
        </w:rPr>
        <w:t>-2</w:t>
      </w:r>
      <w:r w:rsidR="00A92CF8">
        <w:t xml:space="preserve"> @ 50Pa. This target is</w:t>
      </w:r>
      <w:r>
        <w:t xml:space="preserve"> commensurate with the use of an MEV or</w:t>
      </w:r>
      <w:r w:rsidR="00A92CF8">
        <w:t xml:space="preserve"> MVHR system. </w:t>
      </w:r>
    </w:p>
    <w:p w14:paraId="51DEFEAB" w14:textId="77777777" w:rsidR="00673B69" w:rsidRDefault="00194B93" w:rsidP="004D227C">
      <w:pPr>
        <w:pStyle w:val="Heading1"/>
        <w:rPr>
          <w:lang w:eastAsia="en-GB"/>
        </w:rPr>
      </w:pPr>
      <w:bookmarkStart w:id="8" w:name="_Toc422233800"/>
      <w:r>
        <w:rPr>
          <w:lang w:eastAsia="en-GB"/>
        </w:rPr>
        <w:t>T</w:t>
      </w:r>
      <w:r w:rsidR="00F948DF">
        <w:rPr>
          <w:lang w:eastAsia="en-GB"/>
        </w:rPr>
        <w:t>hermal bridging calculations</w:t>
      </w:r>
      <w:bookmarkEnd w:id="8"/>
    </w:p>
    <w:p w14:paraId="72DCC61A" w14:textId="33110CF5" w:rsidR="009A0856" w:rsidRDefault="009A0856" w:rsidP="008F7338">
      <w:pPr>
        <w:pStyle w:val="NumPara"/>
        <w:rPr>
          <w:lang w:eastAsia="en-GB"/>
        </w:rPr>
      </w:pPr>
      <w:r>
        <w:rPr>
          <w:lang w:eastAsia="en-GB"/>
        </w:rPr>
        <w:t xml:space="preserve">A number of thermal bridging calculations were undertaken on the prototype design of the dwelling to assess and quantify the thermal bridging and determine </w:t>
      </w:r>
      <w:r w:rsidR="00EB0DF4">
        <w:rPr>
          <w:lang w:eastAsia="en-GB"/>
        </w:rPr>
        <w:t>whether there were</w:t>
      </w:r>
      <w:r>
        <w:rPr>
          <w:lang w:eastAsia="en-GB"/>
        </w:rPr>
        <w:t xml:space="preserve"> any </w:t>
      </w:r>
      <w:r w:rsidR="00FF08A2">
        <w:rPr>
          <w:lang w:eastAsia="en-GB"/>
        </w:rPr>
        <w:t xml:space="preserve">potential </w:t>
      </w:r>
      <w:r>
        <w:rPr>
          <w:lang w:eastAsia="en-GB"/>
        </w:rPr>
        <w:t>condensation risks associated with the prototype design.</w:t>
      </w:r>
      <w:r w:rsidR="005F5388">
        <w:rPr>
          <w:lang w:eastAsia="en-GB"/>
        </w:rPr>
        <w:t xml:space="preserve"> An analysis of the </w:t>
      </w:r>
      <w:r w:rsidR="00FF08A2">
        <w:rPr>
          <w:lang w:eastAsia="en-GB"/>
        </w:rPr>
        <w:t xml:space="preserve">drawings for the </w:t>
      </w:r>
      <w:r w:rsidR="005F5388">
        <w:rPr>
          <w:lang w:eastAsia="en-GB"/>
        </w:rPr>
        <w:t>prototype design identified a total of</w:t>
      </w:r>
      <w:r w:rsidR="00EB0DF4">
        <w:rPr>
          <w:lang w:eastAsia="en-GB"/>
        </w:rPr>
        <w:t xml:space="preserve"> 16 No. junctions </w:t>
      </w:r>
      <w:r w:rsidR="0029245D">
        <w:rPr>
          <w:lang w:eastAsia="en-GB"/>
        </w:rPr>
        <w:t xml:space="preserve">that were required to be modelled </w:t>
      </w:r>
      <w:r w:rsidR="00EB0DF4">
        <w:rPr>
          <w:lang w:eastAsia="en-GB"/>
        </w:rPr>
        <w:t xml:space="preserve">for </w:t>
      </w:r>
      <w:r w:rsidR="0029245D">
        <w:rPr>
          <w:lang w:eastAsia="en-GB"/>
        </w:rPr>
        <w:t xml:space="preserve">thermal bridging calculation </w:t>
      </w:r>
      <w:r w:rsidR="001A6C74">
        <w:rPr>
          <w:lang w:eastAsia="en-GB"/>
        </w:rPr>
        <w:t>purposes</w:t>
      </w:r>
      <w:r w:rsidR="00EB0DF4">
        <w:rPr>
          <w:lang w:eastAsia="en-GB"/>
        </w:rPr>
        <w:t>. These junctions are identified below.</w:t>
      </w:r>
    </w:p>
    <w:p w14:paraId="22FB9088" w14:textId="4D15062E" w:rsidR="00F0659E" w:rsidRDefault="00F0659E" w:rsidP="00F0659E">
      <w:pPr>
        <w:numPr>
          <w:ilvl w:val="1"/>
          <w:numId w:val="1"/>
        </w:numPr>
        <w:tabs>
          <w:tab w:val="num" w:pos="786"/>
        </w:tabs>
        <w:spacing w:before="60" w:after="60"/>
      </w:pPr>
      <w:r w:rsidRPr="004E3D7D">
        <w:t>Panel Joint</w:t>
      </w:r>
      <w:r>
        <w:t>.</w:t>
      </w:r>
    </w:p>
    <w:p w14:paraId="71B8795E" w14:textId="451FE378" w:rsidR="00F0659E" w:rsidRDefault="00F0659E" w:rsidP="00F0659E">
      <w:pPr>
        <w:numPr>
          <w:ilvl w:val="1"/>
          <w:numId w:val="1"/>
        </w:numPr>
        <w:tabs>
          <w:tab w:val="num" w:pos="786"/>
        </w:tabs>
        <w:spacing w:before="60" w:after="60"/>
      </w:pPr>
      <w:r w:rsidRPr="004E3D7D">
        <w:t>Jamb</w:t>
      </w:r>
      <w:r>
        <w:t>.</w:t>
      </w:r>
    </w:p>
    <w:p w14:paraId="00046EEB" w14:textId="0A180D5A" w:rsidR="00F0659E" w:rsidRDefault="00F0659E" w:rsidP="00F0659E">
      <w:pPr>
        <w:numPr>
          <w:ilvl w:val="1"/>
          <w:numId w:val="1"/>
        </w:numPr>
        <w:tabs>
          <w:tab w:val="num" w:pos="786"/>
        </w:tabs>
        <w:spacing w:before="60" w:after="60"/>
      </w:pPr>
      <w:r w:rsidRPr="004E3D7D">
        <w:t>Ground Floor with Joist Parallel</w:t>
      </w:r>
      <w:r>
        <w:t>.</w:t>
      </w:r>
    </w:p>
    <w:p w14:paraId="1634FE9A" w14:textId="6F277556" w:rsidR="00F0659E" w:rsidRDefault="00F0659E" w:rsidP="00F0659E">
      <w:pPr>
        <w:numPr>
          <w:ilvl w:val="1"/>
          <w:numId w:val="1"/>
        </w:numPr>
        <w:tabs>
          <w:tab w:val="num" w:pos="786"/>
        </w:tabs>
        <w:spacing w:before="60" w:after="60"/>
      </w:pPr>
      <w:r w:rsidRPr="004E3D7D">
        <w:t>Ground Floor with Joists Perpendicular</w:t>
      </w:r>
      <w:r>
        <w:t>.</w:t>
      </w:r>
    </w:p>
    <w:p w14:paraId="5C241431" w14:textId="4052F04D" w:rsidR="00F0659E" w:rsidRDefault="00F0659E" w:rsidP="00F0659E">
      <w:pPr>
        <w:numPr>
          <w:ilvl w:val="1"/>
          <w:numId w:val="1"/>
        </w:numPr>
        <w:tabs>
          <w:tab w:val="num" w:pos="786"/>
        </w:tabs>
        <w:spacing w:before="60" w:after="60"/>
      </w:pPr>
      <w:r w:rsidRPr="004E3D7D">
        <w:t>Intermediate Floor with Joists Parallel</w:t>
      </w:r>
      <w:r>
        <w:t>.</w:t>
      </w:r>
    </w:p>
    <w:p w14:paraId="3862C601" w14:textId="4B2DA6CA" w:rsidR="00F0659E" w:rsidRDefault="00F0659E" w:rsidP="00F0659E">
      <w:pPr>
        <w:numPr>
          <w:ilvl w:val="1"/>
          <w:numId w:val="1"/>
        </w:numPr>
        <w:tabs>
          <w:tab w:val="num" w:pos="786"/>
        </w:tabs>
        <w:spacing w:before="60" w:after="60"/>
      </w:pPr>
      <w:r w:rsidRPr="004E3D7D">
        <w:t>Intermediate Floor with Joists Perpendicular</w:t>
      </w:r>
      <w:r>
        <w:t>.</w:t>
      </w:r>
    </w:p>
    <w:p w14:paraId="3A14CDF3" w14:textId="6080A0A7" w:rsidR="00F0659E" w:rsidRDefault="00F0659E" w:rsidP="00F0659E">
      <w:pPr>
        <w:numPr>
          <w:ilvl w:val="1"/>
          <w:numId w:val="1"/>
        </w:numPr>
        <w:tabs>
          <w:tab w:val="num" w:pos="786"/>
        </w:tabs>
        <w:spacing w:before="60" w:after="60"/>
      </w:pPr>
      <w:r w:rsidRPr="004E3D7D">
        <w:t>Partition/External Wall</w:t>
      </w:r>
      <w:r>
        <w:t>.</w:t>
      </w:r>
    </w:p>
    <w:p w14:paraId="58DE3ABF" w14:textId="6EBFAB0C" w:rsidR="00F0659E" w:rsidRDefault="00F0659E" w:rsidP="00F0659E">
      <w:pPr>
        <w:numPr>
          <w:ilvl w:val="1"/>
          <w:numId w:val="1"/>
        </w:numPr>
        <w:tabs>
          <w:tab w:val="num" w:pos="786"/>
        </w:tabs>
        <w:spacing w:before="60" w:after="60"/>
      </w:pPr>
      <w:r w:rsidRPr="004E3D7D">
        <w:t>Service Penetration</w:t>
      </w:r>
      <w:r>
        <w:t>.</w:t>
      </w:r>
    </w:p>
    <w:p w14:paraId="1EA3033B" w14:textId="321B6B10" w:rsidR="00F0659E" w:rsidRDefault="00F0659E" w:rsidP="00F0659E">
      <w:pPr>
        <w:numPr>
          <w:ilvl w:val="1"/>
          <w:numId w:val="1"/>
        </w:numPr>
        <w:tabs>
          <w:tab w:val="num" w:pos="786"/>
        </w:tabs>
        <w:spacing w:before="60" w:after="60"/>
      </w:pPr>
      <w:r w:rsidRPr="004E3D7D">
        <w:t>Roof Window</w:t>
      </w:r>
      <w:r>
        <w:t>.</w:t>
      </w:r>
    </w:p>
    <w:p w14:paraId="46792F61" w14:textId="6A5AA885" w:rsidR="00F0659E" w:rsidRDefault="00F0659E" w:rsidP="00F0659E">
      <w:pPr>
        <w:numPr>
          <w:ilvl w:val="1"/>
          <w:numId w:val="1"/>
        </w:numPr>
        <w:tabs>
          <w:tab w:val="num" w:pos="786"/>
        </w:tabs>
        <w:spacing w:before="60" w:after="60"/>
      </w:pPr>
      <w:r w:rsidRPr="004E3D7D">
        <w:t>Lobby Jamb Top</w:t>
      </w:r>
      <w:r>
        <w:t>.</w:t>
      </w:r>
    </w:p>
    <w:p w14:paraId="097F0E77" w14:textId="4FD102A8" w:rsidR="00F0659E" w:rsidRDefault="00F0659E" w:rsidP="00F0659E">
      <w:pPr>
        <w:numPr>
          <w:ilvl w:val="1"/>
          <w:numId w:val="1"/>
        </w:numPr>
        <w:tabs>
          <w:tab w:val="num" w:pos="786"/>
        </w:tabs>
        <w:spacing w:before="60" w:after="60"/>
      </w:pPr>
      <w:r w:rsidRPr="004E3D7D">
        <w:t>Lobby Jamb Middle</w:t>
      </w:r>
      <w:r>
        <w:t>.</w:t>
      </w:r>
    </w:p>
    <w:p w14:paraId="73C7B754" w14:textId="3B928FE3" w:rsidR="00F0659E" w:rsidRDefault="00F0659E" w:rsidP="00F0659E">
      <w:pPr>
        <w:numPr>
          <w:ilvl w:val="1"/>
          <w:numId w:val="1"/>
        </w:numPr>
        <w:tabs>
          <w:tab w:val="num" w:pos="786"/>
        </w:tabs>
        <w:spacing w:before="60" w:after="60"/>
      </w:pPr>
      <w:r w:rsidRPr="004E3D7D">
        <w:t>Lobby Jamb Bottom</w:t>
      </w:r>
      <w:r>
        <w:t>.</w:t>
      </w:r>
    </w:p>
    <w:p w14:paraId="17308608" w14:textId="62995E73" w:rsidR="00F0659E" w:rsidRDefault="00F0659E" w:rsidP="00F0659E">
      <w:pPr>
        <w:numPr>
          <w:ilvl w:val="1"/>
          <w:numId w:val="1"/>
        </w:numPr>
        <w:tabs>
          <w:tab w:val="num" w:pos="786"/>
        </w:tabs>
        <w:spacing w:before="60" w:after="60"/>
      </w:pPr>
      <w:r w:rsidRPr="004E3D7D">
        <w:t>Lobby Threshold at Door</w:t>
      </w:r>
      <w:r>
        <w:t>.</w:t>
      </w:r>
    </w:p>
    <w:p w14:paraId="786F583F" w14:textId="6FDF3F1C" w:rsidR="00F0659E" w:rsidRDefault="00F0659E" w:rsidP="00F0659E">
      <w:pPr>
        <w:numPr>
          <w:ilvl w:val="1"/>
          <w:numId w:val="1"/>
        </w:numPr>
        <w:tabs>
          <w:tab w:val="num" w:pos="786"/>
        </w:tabs>
        <w:spacing w:before="60" w:after="60"/>
      </w:pPr>
      <w:r w:rsidRPr="004E3D7D">
        <w:t>Lobby Head</w:t>
      </w:r>
      <w:r>
        <w:t>.</w:t>
      </w:r>
    </w:p>
    <w:p w14:paraId="3E5577BC" w14:textId="0F93ED58" w:rsidR="00F0659E" w:rsidRDefault="00F0659E" w:rsidP="00F0659E">
      <w:pPr>
        <w:numPr>
          <w:ilvl w:val="1"/>
          <w:numId w:val="1"/>
        </w:numPr>
        <w:tabs>
          <w:tab w:val="num" w:pos="786"/>
        </w:tabs>
        <w:spacing w:before="60" w:after="60"/>
      </w:pPr>
      <w:r w:rsidRPr="004E3D7D">
        <w:t>Lobby Threshold at Shell</w:t>
      </w:r>
      <w:r>
        <w:t>.</w:t>
      </w:r>
    </w:p>
    <w:p w14:paraId="0F3CD41C" w14:textId="5C5BF5C3" w:rsidR="0029245D" w:rsidRPr="001A6C74" w:rsidRDefault="00F0659E" w:rsidP="001A6C74">
      <w:pPr>
        <w:numPr>
          <w:ilvl w:val="1"/>
          <w:numId w:val="1"/>
        </w:numPr>
        <w:tabs>
          <w:tab w:val="num" w:pos="786"/>
        </w:tabs>
        <w:spacing w:before="60" w:after="60"/>
      </w:pPr>
      <w:r w:rsidRPr="004E3D7D">
        <w:t>Lobby Floor/External Wall</w:t>
      </w:r>
      <w:r>
        <w:t>.</w:t>
      </w:r>
    </w:p>
    <w:p w14:paraId="2BA1E60D" w14:textId="77777777" w:rsidR="008F7338" w:rsidRPr="008F7338" w:rsidRDefault="00B67D2C" w:rsidP="008F7338">
      <w:pPr>
        <w:pStyle w:val="NumPara"/>
        <w:rPr>
          <w:lang w:eastAsia="en-GB"/>
        </w:rPr>
      </w:pPr>
      <w:r>
        <w:t>Thermal bridging calculations were performed for</w:t>
      </w:r>
      <w:r w:rsidR="0029245D">
        <w:t xml:space="preserve"> all 16</w:t>
      </w:r>
      <w:r>
        <w:t xml:space="preserve"> junctions </w:t>
      </w:r>
      <w:r w:rsidR="0029245D">
        <w:t xml:space="preserve">identified above </w:t>
      </w:r>
      <w:r>
        <w:t>to ascertain the linear thermal transmittance (Ψ-value) and min</w:t>
      </w:r>
      <w:r w:rsidR="0029245D">
        <w:t>imum temperature factor (</w:t>
      </w:r>
      <w:proofErr w:type="spellStart"/>
      <w:r w:rsidR="0029245D">
        <w:t>ƒ</w:t>
      </w:r>
      <w:r w:rsidR="0029245D" w:rsidRPr="00F0659E">
        <w:rPr>
          <w:vertAlign w:val="subscript"/>
        </w:rPr>
        <w:t>Rsi</w:t>
      </w:r>
      <w:proofErr w:type="spellEnd"/>
      <w:r w:rsidR="0029245D">
        <w:t>) of</w:t>
      </w:r>
      <w:r>
        <w:t xml:space="preserve"> each.</w:t>
      </w:r>
    </w:p>
    <w:p w14:paraId="7D035D2E" w14:textId="77777777" w:rsidR="008F7338" w:rsidRDefault="008F7338" w:rsidP="008F7338">
      <w:pPr>
        <w:pStyle w:val="Heading2"/>
      </w:pPr>
      <w:bookmarkStart w:id="9" w:name="_Toc422233801"/>
      <w:r>
        <w:t>Test method</w:t>
      </w:r>
      <w:bookmarkEnd w:id="9"/>
    </w:p>
    <w:p w14:paraId="051AB376" w14:textId="77777777" w:rsidR="008F7338" w:rsidRDefault="0029245D" w:rsidP="00C637C0">
      <w:pPr>
        <w:pStyle w:val="NumPara"/>
      </w:pPr>
      <w:r>
        <w:t>In order to undertake the thermal bridging calculations, a</w:t>
      </w:r>
      <w:r w:rsidR="008F7338">
        <w:t xml:space="preserve"> numerical modelling technique known a</w:t>
      </w:r>
      <w:r>
        <w:t>s thermal modelling was employed</w:t>
      </w:r>
      <w:r w:rsidR="000D7366">
        <w:t xml:space="preserve">. </w:t>
      </w:r>
      <w:r w:rsidR="008F7338">
        <w:t xml:space="preserve">All </w:t>
      </w:r>
      <w:r w:rsidR="000D7366">
        <w:t xml:space="preserve">of the </w:t>
      </w:r>
      <w:r>
        <w:t xml:space="preserve">individual thermal bridges associated with each junction type within the prototype dwelling </w:t>
      </w:r>
      <w:r w:rsidR="00FF08A2">
        <w:t>were</w:t>
      </w:r>
      <w:r>
        <w:t xml:space="preserve"> explicitly thermally modelled </w:t>
      </w:r>
      <w:r w:rsidR="008F7338">
        <w:t xml:space="preserve">using the </w:t>
      </w:r>
      <w:proofErr w:type="spellStart"/>
      <w:r w:rsidR="008F7338">
        <w:t>Physibel</w:t>
      </w:r>
      <w:proofErr w:type="spellEnd"/>
      <w:r w:rsidR="008F7338">
        <w:t xml:space="preserve"> TRISCO version 12</w:t>
      </w:r>
      <w:r w:rsidR="00B67D2C">
        <w:t xml:space="preserve">.0w software </w:t>
      </w:r>
      <w:r>
        <w:t xml:space="preserve">program </w:t>
      </w:r>
      <w:r w:rsidR="00B67D2C">
        <w:t>(</w:t>
      </w:r>
      <w:proofErr w:type="spellStart"/>
      <w:r w:rsidR="00B67D2C">
        <w:t>Physibel</w:t>
      </w:r>
      <w:proofErr w:type="spellEnd"/>
      <w:r w:rsidR="00B67D2C">
        <w:t xml:space="preserve">, 2010). </w:t>
      </w:r>
      <w:r w:rsidR="00C637C0">
        <w:t>When undertaking the modelling, t</w:t>
      </w:r>
      <w:r w:rsidR="008F7338">
        <w:t>he conventions given in BR 497 (Ward &amp; Sanders, 2</w:t>
      </w:r>
      <w:r w:rsidR="00B67D2C">
        <w:t xml:space="preserve">007) were followed throughout. </w:t>
      </w:r>
      <w:r w:rsidR="008F7338">
        <w:t>The equivalent thermal conductivities for all air spaces and voids were calculated in accordance with BS EN ISO 6946 (British Stand</w:t>
      </w:r>
      <w:r w:rsidR="00B67D2C">
        <w:t xml:space="preserve">ards Institution (BSI), 2007). </w:t>
      </w:r>
      <w:r w:rsidR="008F7338">
        <w:t>Material conductivities were sourced from manufacturers’ literature where possible based</w:t>
      </w:r>
      <w:r w:rsidR="00B67D2C">
        <w:t xml:space="preserve"> on the project specification. </w:t>
      </w:r>
      <w:r w:rsidR="008F7338">
        <w:t>In instances where these could not be obtained</w:t>
      </w:r>
      <w:r w:rsidR="000D7366">
        <w:t>,</w:t>
      </w:r>
      <w:r w:rsidR="008F7338">
        <w:t xml:space="preserve"> suitable values were sourced from BS EN 12524 (BSI, 2000) or</w:t>
      </w:r>
      <w:r w:rsidR="00B67D2C">
        <w:t xml:space="preserve"> from BR 443 (Anderson, 2006). </w:t>
      </w:r>
      <w:r w:rsidR="008F7338">
        <w:t xml:space="preserve">The geometry of the thermally modelled junctions was based on the </w:t>
      </w:r>
      <w:r w:rsidR="008F7338">
        <w:lastRenderedPageBreak/>
        <w:t>conten</w:t>
      </w:r>
      <w:r>
        <w:t xml:space="preserve">t of the design drawings provided to the </w:t>
      </w:r>
      <w:proofErr w:type="spellStart"/>
      <w:r>
        <w:t>CeBE</w:t>
      </w:r>
      <w:proofErr w:type="spellEnd"/>
      <w:r>
        <w:t xml:space="preserve"> Group</w:t>
      </w:r>
      <w:r w:rsidR="008F7338">
        <w:t xml:space="preserve"> </w:t>
      </w:r>
      <w:r w:rsidR="001E3DDF">
        <w:t xml:space="preserve">at Leeds Beckett University </w:t>
      </w:r>
      <w:r w:rsidR="008F7338">
        <w:t>by Walker Associates.</w:t>
      </w:r>
    </w:p>
    <w:p w14:paraId="6C63722F" w14:textId="77777777" w:rsidR="008F7338" w:rsidRDefault="008F7338" w:rsidP="008F7338">
      <w:pPr>
        <w:pStyle w:val="Heading2"/>
      </w:pPr>
      <w:bookmarkStart w:id="10" w:name="_Toc422233802"/>
      <w:r>
        <w:t>Limitations</w:t>
      </w:r>
      <w:bookmarkEnd w:id="10"/>
    </w:p>
    <w:p w14:paraId="3E205761" w14:textId="77777777" w:rsidR="008F7338" w:rsidRDefault="008F7338" w:rsidP="00C637C0">
      <w:pPr>
        <w:pStyle w:val="NumPara"/>
      </w:pPr>
      <w:r>
        <w:t>The complex geometry of the spherical envelope had to be simplified to enable therm</w:t>
      </w:r>
      <w:r w:rsidR="00B67D2C">
        <w:t xml:space="preserve">al modelling of the junctions. </w:t>
      </w:r>
      <w:r>
        <w:t xml:space="preserve">The rectilinear nature of the thermal modelling software meant that the number of nodes that would be created </w:t>
      </w:r>
      <w:r w:rsidR="00FF08A2">
        <w:t xml:space="preserve">in the model </w:t>
      </w:r>
      <w:r>
        <w:t xml:space="preserve">when </w:t>
      </w:r>
      <w:r w:rsidR="00FF08A2">
        <w:t>attempting to represent</w:t>
      </w:r>
      <w:r>
        <w:t xml:space="preserve"> the curved </w:t>
      </w:r>
      <w:r w:rsidR="00FF08A2">
        <w:t xml:space="preserve">nature of the building </w:t>
      </w:r>
      <w:r>
        <w:t>envelope would exceed the sof</w:t>
      </w:r>
      <w:r w:rsidR="00B67D2C">
        <w:t xml:space="preserve">tware’s processing capability. </w:t>
      </w:r>
      <w:r w:rsidR="00C637C0">
        <w:t>Consequently, a</w:t>
      </w:r>
      <w:r>
        <w:t xml:space="preserve"> simplified</w:t>
      </w:r>
      <w:r w:rsidR="00C637C0">
        <w:t xml:space="preserve"> rectilinear representation of the building </w:t>
      </w:r>
      <w:r>
        <w:t xml:space="preserve">envelope was formed in the thermal models with each of the flanking elements to the junction represented </w:t>
      </w:r>
      <w:r w:rsidR="00B67D2C">
        <w:t xml:space="preserve">in a single plane (flattened). </w:t>
      </w:r>
      <w:r>
        <w:t>The locations where the geometry of the curved envelope has the maximum infl</w:t>
      </w:r>
      <w:r w:rsidR="00B67D2C">
        <w:t xml:space="preserve">uence are </w:t>
      </w:r>
      <w:r w:rsidR="00C637C0">
        <w:t xml:space="preserve">at </w:t>
      </w:r>
      <w:r w:rsidR="00B67D2C">
        <w:t xml:space="preserve">the floor junctions. </w:t>
      </w:r>
      <w:r>
        <w:t xml:space="preserve">In order to calculate results that are representative of the thermal bridging inherent to the design, the angle of intersection between the floors and the simplified </w:t>
      </w:r>
      <w:r w:rsidR="00C637C0">
        <w:t xml:space="preserve">rectilinear representation of the building </w:t>
      </w:r>
      <w:r>
        <w:t>envelope matched the average intersection an</w:t>
      </w:r>
      <w:r w:rsidR="00B67D2C">
        <w:t xml:space="preserve">gles with the curved envelope. </w:t>
      </w:r>
      <w:r>
        <w:t xml:space="preserve">This approach is considered to have minimal impact on the accuracy of the results because the additional length of </w:t>
      </w:r>
      <w:r w:rsidR="00C637C0">
        <w:t xml:space="preserve">the </w:t>
      </w:r>
      <w:r>
        <w:t>flanking element that would be generated by the curved envelope would be very small at the junctions.</w:t>
      </w:r>
    </w:p>
    <w:p w14:paraId="79C50A10" w14:textId="77777777" w:rsidR="008F7338" w:rsidRDefault="008F7338" w:rsidP="00B67D2C">
      <w:pPr>
        <w:pStyle w:val="NumPara"/>
      </w:pPr>
      <w:r>
        <w:t>The elevated position of the spherical envelope meant that the ground floor is considered similar to an exposed upper floor in construction but had to be represented as an intermediat</w:t>
      </w:r>
      <w:r w:rsidR="00B67D2C">
        <w:t xml:space="preserve">e floor in the thermal models. </w:t>
      </w:r>
      <w:r>
        <w:t xml:space="preserve">However, the boundary conditions below the floor structure </w:t>
      </w:r>
      <w:r w:rsidR="00B67D2C">
        <w:t xml:space="preserve">were for a downward heat flow. </w:t>
      </w:r>
      <w:r>
        <w:t>The thermal bridging equation applied to the ground floor was based on the equation for an intermediate floor from BR 497 (Ward &amp; Sanders, 2007).</w:t>
      </w:r>
    </w:p>
    <w:p w14:paraId="17200240" w14:textId="77777777" w:rsidR="008F7338" w:rsidRDefault="008F7338" w:rsidP="00D00D66">
      <w:pPr>
        <w:pStyle w:val="NumPara"/>
      </w:pPr>
      <w:r>
        <w:t>The proposed design shows secondary glazing to the wi</w:t>
      </w:r>
      <w:r w:rsidR="000D7366">
        <w:t xml:space="preserve">ndow and roof window openings. </w:t>
      </w:r>
      <w:r>
        <w:t>In order to model this arrangement, two adiabatic boundaries were incorporated into the thermal models to represent the two glazing units.</w:t>
      </w:r>
    </w:p>
    <w:p w14:paraId="4202FD3C" w14:textId="77777777" w:rsidR="008F7338" w:rsidRDefault="008F7338" w:rsidP="00B67D2C">
      <w:pPr>
        <w:pStyle w:val="Heading2"/>
      </w:pPr>
      <w:bookmarkStart w:id="11" w:name="_Toc422233803"/>
      <w:r>
        <w:t>Results</w:t>
      </w:r>
      <w:bookmarkEnd w:id="11"/>
    </w:p>
    <w:p w14:paraId="07B9B22E" w14:textId="4C70B0CC" w:rsidR="008F7338" w:rsidRDefault="008F7338" w:rsidP="000D7366">
      <w:pPr>
        <w:pStyle w:val="NumPara"/>
      </w:pPr>
      <w:r>
        <w:t xml:space="preserve">The results of the thermal bridging calculations are presented for each </w:t>
      </w:r>
      <w:r w:rsidR="000D7366">
        <w:t xml:space="preserve">junction detail in Appendix A. </w:t>
      </w:r>
      <w:r w:rsidR="000D7366" w:rsidRPr="000D7366">
        <w:t>A summary of the</w:t>
      </w:r>
      <w:r w:rsidR="00FF08A2">
        <w:t>se</w:t>
      </w:r>
      <w:r w:rsidR="001E3DDF">
        <w:t xml:space="preserve"> results is also</w:t>
      </w:r>
      <w:r w:rsidR="000D7366" w:rsidRPr="000D7366">
        <w:t xml:space="preserve"> presented in </w:t>
      </w:r>
      <w:r w:rsidR="00F0659E">
        <w:fldChar w:fldCharType="begin"/>
      </w:r>
      <w:r w:rsidR="00F0659E">
        <w:instrText xml:space="preserve"> REF _Ref421558864 \h </w:instrText>
      </w:r>
      <w:r w:rsidR="00F0659E">
        <w:fldChar w:fldCharType="separate"/>
      </w:r>
      <w:r w:rsidR="00F0659E">
        <w:t xml:space="preserve">Table </w:t>
      </w:r>
      <w:r w:rsidR="00F0659E">
        <w:rPr>
          <w:noProof/>
        </w:rPr>
        <w:t>2</w:t>
      </w:r>
      <w:r w:rsidR="00F0659E">
        <w:fldChar w:fldCharType="end"/>
      </w:r>
      <w:r w:rsidR="00F0659E">
        <w:t xml:space="preserve"> </w:t>
      </w:r>
      <w:r w:rsidR="001E3DDF">
        <w:t xml:space="preserve">for ease of reference. </w:t>
      </w:r>
      <w:r w:rsidR="000D7366" w:rsidRPr="000D7366">
        <w:t xml:space="preserve">The columns headed Ψ and </w:t>
      </w:r>
      <w:proofErr w:type="spellStart"/>
      <w:r w:rsidR="000D7366" w:rsidRPr="000D7366">
        <w:t>ƒ</w:t>
      </w:r>
      <w:r w:rsidR="000D7366" w:rsidRPr="00F0659E">
        <w:rPr>
          <w:vertAlign w:val="subscript"/>
        </w:rPr>
        <w:t>Rsi</w:t>
      </w:r>
      <w:proofErr w:type="spellEnd"/>
      <w:r w:rsidR="000D7366" w:rsidRPr="000D7366">
        <w:t xml:space="preserve"> are the v</w:t>
      </w:r>
      <w:r w:rsidR="000D7366">
        <w:t xml:space="preserve">alues calculated for the design. </w:t>
      </w:r>
      <w:r w:rsidR="000D7366" w:rsidRPr="000D7366">
        <w:t>The values in the column headed ADD Ψ represent the Approved Design Detail (Approved) values identified in Appendix K of SAP 2012 (Department of Energy and</w:t>
      </w:r>
      <w:r w:rsidR="001E3DDF">
        <w:t xml:space="preserve"> Climate Change (DECC), 2013). </w:t>
      </w:r>
      <w:r w:rsidR="000D7366" w:rsidRPr="000D7366">
        <w:t>The values in the column headed Default Ψ represent the Building Regulations Default values identified in Appendix K of SAP 2012 (ibid).</w:t>
      </w:r>
    </w:p>
    <w:p w14:paraId="0497CF22" w14:textId="77777777" w:rsidR="00F0659E" w:rsidRDefault="00F0659E" w:rsidP="00F0659E">
      <w:pPr>
        <w:pStyle w:val="NumPara"/>
      </w:pPr>
      <w:r>
        <w:t xml:space="preserve">As can be seen from </w:t>
      </w:r>
      <w:r>
        <w:fldChar w:fldCharType="begin"/>
      </w:r>
      <w:r>
        <w:instrText xml:space="preserve"> REF _Ref421558864 \h </w:instrText>
      </w:r>
      <w:r>
        <w:fldChar w:fldCharType="separate"/>
      </w:r>
      <w:r>
        <w:t xml:space="preserve">Table </w:t>
      </w:r>
      <w:r>
        <w:rPr>
          <w:noProof/>
        </w:rPr>
        <w:t>3</w:t>
      </w:r>
      <w:r>
        <w:fldChar w:fldCharType="end"/>
      </w:r>
      <w:r>
        <w:t xml:space="preserve">, the </w:t>
      </w:r>
      <w:r w:rsidRPr="00AF129E">
        <w:rPr>
          <w:rFonts w:ascii="Cambria Math" w:hAnsi="Cambria Math" w:cstheme="minorHAnsi"/>
        </w:rPr>
        <w:t>Ψ</w:t>
      </w:r>
      <w:r>
        <w:t>-values calculated for the jamb, ground floor and particularly the intermediate floor junctions improve upon the Approved and Default values for each of the junctions. At the time of writing there is no Approved value identified within Appendix K of SAP 2012 for a roof window, but the calculated value improves upon the Default value listed in Appendix K of SAP 2012 (DECC, 2013). There are also no Approved or Default values for the other junctions thermally modelled as part of the project.</w:t>
      </w:r>
    </w:p>
    <w:p w14:paraId="4EF1FE27" w14:textId="77777777" w:rsidR="00F0659E" w:rsidRDefault="00F0659E" w:rsidP="00F0659E">
      <w:pPr>
        <w:pStyle w:val="NumPara"/>
      </w:pPr>
      <w:r>
        <w:t xml:space="preserve">In comparison, </w:t>
      </w:r>
      <w:r w:rsidRPr="00AD6F01">
        <w:t>the Ψ-values calculated for the</w:t>
      </w:r>
      <w:r w:rsidRPr="002C6820">
        <w:t xml:space="preserve"> door threshold junction to the lobby</w:t>
      </w:r>
      <w:r>
        <w:t xml:space="preserve"> and the lobby wall/floor junction are considered to be high at 0.348 W/</w:t>
      </w:r>
      <w:proofErr w:type="spellStart"/>
      <w:r>
        <w:t>m</w:t>
      </w:r>
      <w:r>
        <w:rPr>
          <w:rFonts w:cstheme="minorHAnsi"/>
        </w:rPr>
        <w:t>·</w:t>
      </w:r>
      <w:r>
        <w:t>K</w:t>
      </w:r>
      <w:proofErr w:type="spellEnd"/>
      <w:r>
        <w:t xml:space="preserve"> and 0.411 W/</w:t>
      </w:r>
      <w:proofErr w:type="spellStart"/>
      <w:r>
        <w:t>m</w:t>
      </w:r>
      <w:r>
        <w:rPr>
          <w:rFonts w:cstheme="minorHAnsi"/>
        </w:rPr>
        <w:t>·</w:t>
      </w:r>
      <w:r>
        <w:t>K</w:t>
      </w:r>
      <w:proofErr w:type="spellEnd"/>
      <w:r>
        <w:t xml:space="preserve">, respectively. The reason for the high Ψ-value </w:t>
      </w:r>
      <w:r w:rsidRPr="00157BCE">
        <w:t>for the door threshold junction to the lobby</w:t>
      </w:r>
      <w:r>
        <w:t xml:space="preserve"> is a </w:t>
      </w:r>
      <w:r w:rsidRPr="00157BCE">
        <w:t xml:space="preserve">consequence of the brush seal that penetrates </w:t>
      </w:r>
      <w:r>
        <w:t xml:space="preserve">through the floor insulation, resulting in a discontinuity in the insulation layer at this junction. It would be possible to revise the junction design </w:t>
      </w:r>
      <w:r w:rsidRPr="00157BCE">
        <w:t xml:space="preserve">to provide continuity of </w:t>
      </w:r>
      <w:r>
        <w:t xml:space="preserve">the </w:t>
      </w:r>
      <w:r w:rsidRPr="00157BCE">
        <w:t>in</w:t>
      </w:r>
      <w:r>
        <w:t xml:space="preserve">sulation across the threshold. </w:t>
      </w:r>
      <w:r w:rsidRPr="00157BCE">
        <w:t xml:space="preserve">This could be achieved by providing a brush seal with an insulated casing or </w:t>
      </w:r>
      <w:r>
        <w:t xml:space="preserve">alternatively, </w:t>
      </w:r>
      <w:r w:rsidRPr="00157BCE">
        <w:t>by reposition the brush seal outside of the thermal envelope. The reason for the high Ψ-value for the</w:t>
      </w:r>
      <w:r>
        <w:t xml:space="preserve"> lobby/wall floor junction (0.411 W/</w:t>
      </w:r>
      <w:proofErr w:type="spellStart"/>
      <w:r>
        <w:t>m</w:t>
      </w:r>
      <w:r>
        <w:rPr>
          <w:rFonts w:cstheme="minorHAnsi"/>
        </w:rPr>
        <w:t>·</w:t>
      </w:r>
      <w:r>
        <w:t>K</w:t>
      </w:r>
      <w:proofErr w:type="spellEnd"/>
      <w:r>
        <w:t>) can be attributed to the position of the brush seal coupled with the fact that the structural steelwork fully penetrates the thermal envelope. It would be possible to revise this junction to provide continuity of the insulation layer by limiting the number and amount of penetrations through the insulation layers.</w:t>
      </w:r>
    </w:p>
    <w:p w14:paraId="34AFFDDA" w14:textId="222C53D4" w:rsidR="00F0659E" w:rsidRDefault="00F0659E" w:rsidP="00F0659E">
      <w:pPr>
        <w:pStyle w:val="NumPara"/>
      </w:pPr>
      <w:r>
        <w:t>In terms of surface temperature factors, the position of the glazing in the proposed jamb junction creates an internal surface temperature (</w:t>
      </w:r>
      <w:proofErr w:type="spellStart"/>
      <w:r>
        <w:t>T</w:t>
      </w:r>
      <w:r w:rsidRPr="002C1B12">
        <w:rPr>
          <w:vertAlign w:val="subscript"/>
        </w:rPr>
        <w:t>si</w:t>
      </w:r>
      <w:proofErr w:type="spellEnd"/>
      <w:r>
        <w:t>) of 15</w:t>
      </w:r>
      <w:r w:rsidRPr="002C1B12">
        <w:rPr>
          <w:rFonts w:ascii="Calibri" w:hAnsi="Calibri" w:cs="Calibri"/>
        </w:rPr>
        <w:t>°</w:t>
      </w:r>
      <w:r>
        <w:t xml:space="preserve"> under the modelled conditions. This results in a </w:t>
      </w:r>
      <w:proofErr w:type="spellStart"/>
      <w:r>
        <w:t>ƒ</w:t>
      </w:r>
      <w:r w:rsidRPr="00F0659E">
        <w:rPr>
          <w:vertAlign w:val="subscript"/>
        </w:rPr>
        <w:t>Rsi</w:t>
      </w:r>
      <w:proofErr w:type="spellEnd"/>
      <w:r>
        <w:t xml:space="preserve"> of 0.750 that is equal to the critical temperature factor (</w:t>
      </w:r>
      <w:proofErr w:type="spellStart"/>
      <w:r>
        <w:t>ƒ</w:t>
      </w:r>
      <w:r w:rsidRPr="00F0659E">
        <w:rPr>
          <w:vertAlign w:val="subscript"/>
        </w:rPr>
        <w:t>CRsi</w:t>
      </w:r>
      <w:proofErr w:type="spellEnd"/>
      <w:r>
        <w:t>) of 0.750 (Ward, 2006). Although the</w:t>
      </w:r>
      <w:r w:rsidRPr="00F0659E">
        <w:t xml:space="preserve"> </w:t>
      </w:r>
      <w:proofErr w:type="spellStart"/>
      <w:r>
        <w:t>ƒ</w:t>
      </w:r>
      <w:r w:rsidRPr="00F0659E">
        <w:rPr>
          <w:vertAlign w:val="subscript"/>
        </w:rPr>
        <w:t>Rsi</w:t>
      </w:r>
      <w:proofErr w:type="spellEnd"/>
      <w:r>
        <w:t xml:space="preserve"> of the jamb junction does comply with Part L of the Building Regulations for England (HM Government, 2013), there is no margin of safety. It is understood that the jamb detail will be used for the head and sill junctions of the window openings. Improvements could be made to the position of the primary glazing unit by squaring off its edges. In addition, thermal modelling of the proposed services penetration through the floor of the prototype dwelling junction resulted in a </w:t>
      </w:r>
      <w:proofErr w:type="spellStart"/>
      <w:r>
        <w:t>T</w:t>
      </w:r>
      <w:r w:rsidRPr="002C1B12">
        <w:rPr>
          <w:vertAlign w:val="subscript"/>
        </w:rPr>
        <w:t>si</w:t>
      </w:r>
      <w:proofErr w:type="spellEnd"/>
      <w:r>
        <w:t xml:space="preserve"> of 13.43</w:t>
      </w:r>
      <w:r w:rsidRPr="002C1B12">
        <w:rPr>
          <w:rFonts w:ascii="Calibri" w:hAnsi="Calibri" w:cs="Calibri"/>
        </w:rPr>
        <w:t>°</w:t>
      </w:r>
      <w:r>
        <w:t xml:space="preserve"> under modelled conditions producing a </w:t>
      </w:r>
      <w:proofErr w:type="spellStart"/>
      <w:r w:rsidRPr="002C1B12">
        <w:rPr>
          <w:rFonts w:ascii="Cambria Math" w:hAnsi="Cambria Math"/>
        </w:rPr>
        <w:t>ƒ</w:t>
      </w:r>
      <w:r w:rsidRPr="002C1B12">
        <w:rPr>
          <w:rFonts w:ascii="Cambria Math" w:hAnsi="Cambria Math"/>
          <w:vertAlign w:val="subscript"/>
        </w:rPr>
        <w:t>Rsi</w:t>
      </w:r>
      <w:proofErr w:type="spellEnd"/>
      <w:r>
        <w:t xml:space="preserve"> of 0.672 to the stainless steel part of the spigot. This is </w:t>
      </w:r>
      <w:r>
        <w:lastRenderedPageBreak/>
        <w:t xml:space="preserve">below the </w:t>
      </w:r>
      <w:proofErr w:type="spellStart"/>
      <w:r>
        <w:t>ƒ</w:t>
      </w:r>
      <w:r w:rsidRPr="00F0659E">
        <w:rPr>
          <w:vertAlign w:val="subscript"/>
        </w:rPr>
        <w:t>CRsi</w:t>
      </w:r>
      <w:proofErr w:type="spellEnd"/>
      <w:r>
        <w:t xml:space="preserve"> of 0.750 (Ward, 2006) and presents a risk of surface condensation. The design of the spigot could be revised to eliminate this risk.</w:t>
      </w:r>
    </w:p>
    <w:p w14:paraId="728E0795" w14:textId="77777777" w:rsidR="00D00D66" w:rsidRDefault="00D00D66" w:rsidP="00F0659E">
      <w:pPr>
        <w:pStyle w:val="NumPara"/>
        <w:numPr>
          <w:ilvl w:val="0"/>
          <w:numId w:val="0"/>
        </w:numPr>
      </w:pPr>
    </w:p>
    <w:tbl>
      <w:tblPr>
        <w:tblStyle w:val="TableGrid"/>
        <w:tblW w:w="0" w:type="auto"/>
        <w:tblLayout w:type="fixed"/>
        <w:tblLook w:val="04A0" w:firstRow="1" w:lastRow="0" w:firstColumn="1" w:lastColumn="0" w:noHBand="0" w:noVBand="1"/>
      </w:tblPr>
      <w:tblGrid>
        <w:gridCol w:w="4219"/>
        <w:gridCol w:w="1004"/>
        <w:gridCol w:w="1005"/>
        <w:gridCol w:w="1004"/>
        <w:gridCol w:w="1005"/>
        <w:gridCol w:w="1005"/>
      </w:tblGrid>
      <w:tr w:rsidR="00D00D66" w:rsidRPr="004E3D7D" w14:paraId="5C0833F4" w14:textId="77777777" w:rsidTr="001C1D27">
        <w:trPr>
          <w:trHeight w:val="360"/>
        </w:trPr>
        <w:tc>
          <w:tcPr>
            <w:tcW w:w="4219" w:type="dxa"/>
            <w:noWrap/>
            <w:vAlign w:val="center"/>
            <w:hideMark/>
          </w:tcPr>
          <w:p w14:paraId="4F6C4EF5" w14:textId="77777777" w:rsidR="00D00D66" w:rsidRPr="004E3D7D" w:rsidRDefault="00D00D66" w:rsidP="001C1D27">
            <w:pPr>
              <w:jc w:val="center"/>
              <w:rPr>
                <w:b/>
                <w:bCs/>
              </w:rPr>
            </w:pPr>
            <w:r w:rsidRPr="004E3D7D">
              <w:rPr>
                <w:b/>
                <w:bCs/>
              </w:rPr>
              <w:t>Junction:</w:t>
            </w:r>
          </w:p>
        </w:tc>
        <w:tc>
          <w:tcPr>
            <w:tcW w:w="1004" w:type="dxa"/>
            <w:noWrap/>
            <w:vAlign w:val="center"/>
            <w:hideMark/>
          </w:tcPr>
          <w:p w14:paraId="091DDFA7" w14:textId="77777777" w:rsidR="00D00D66" w:rsidRPr="004E3D7D" w:rsidRDefault="00D00D66" w:rsidP="001C1D27">
            <w:pPr>
              <w:jc w:val="center"/>
              <w:rPr>
                <w:b/>
                <w:bCs/>
              </w:rPr>
            </w:pPr>
            <w:r w:rsidRPr="004E3D7D">
              <w:rPr>
                <w:b/>
                <w:bCs/>
              </w:rPr>
              <w:t>Ref:</w:t>
            </w:r>
          </w:p>
        </w:tc>
        <w:tc>
          <w:tcPr>
            <w:tcW w:w="1005" w:type="dxa"/>
            <w:noWrap/>
            <w:vAlign w:val="center"/>
            <w:hideMark/>
          </w:tcPr>
          <w:p w14:paraId="5A19CA8E" w14:textId="200DA3EC" w:rsidR="00D00D66" w:rsidRPr="00557716" w:rsidRDefault="00F0659E" w:rsidP="001C1D27">
            <w:pPr>
              <w:jc w:val="center"/>
              <w:rPr>
                <w:b/>
                <w:bCs/>
              </w:rPr>
            </w:pPr>
            <w:r w:rsidRPr="00557716">
              <w:rPr>
                <w:b/>
              </w:rPr>
              <w:t>Ψ</w:t>
            </w:r>
            <w:r w:rsidR="00D00D66" w:rsidRPr="00557716">
              <w:rPr>
                <w:b/>
                <w:bCs/>
              </w:rPr>
              <w:t>:</w:t>
            </w:r>
          </w:p>
        </w:tc>
        <w:tc>
          <w:tcPr>
            <w:tcW w:w="1004" w:type="dxa"/>
            <w:noWrap/>
            <w:vAlign w:val="center"/>
            <w:hideMark/>
          </w:tcPr>
          <w:p w14:paraId="2A7C8EF7" w14:textId="7F3D47E8" w:rsidR="00D00D66" w:rsidRPr="004E3D7D" w:rsidRDefault="00F0659E" w:rsidP="001C1D27">
            <w:pPr>
              <w:jc w:val="center"/>
              <w:rPr>
                <w:b/>
                <w:bCs/>
              </w:rPr>
            </w:pPr>
            <w:proofErr w:type="spellStart"/>
            <w:r w:rsidRPr="00F0659E">
              <w:rPr>
                <w:rFonts w:ascii="Cambria Math" w:hAnsi="Cambria Math"/>
                <w:b/>
                <w:bCs/>
              </w:rPr>
              <w:t>ƒ</w:t>
            </w:r>
            <w:r w:rsidRPr="00F0659E">
              <w:rPr>
                <w:rFonts w:ascii="Cambria Math" w:hAnsi="Cambria Math"/>
                <w:b/>
                <w:bCs/>
                <w:vertAlign w:val="subscript"/>
              </w:rPr>
              <w:t>Rsi</w:t>
            </w:r>
            <w:proofErr w:type="spellEnd"/>
          </w:p>
        </w:tc>
        <w:tc>
          <w:tcPr>
            <w:tcW w:w="1005" w:type="dxa"/>
            <w:noWrap/>
            <w:vAlign w:val="center"/>
            <w:hideMark/>
          </w:tcPr>
          <w:p w14:paraId="07856A5B" w14:textId="24303454" w:rsidR="00D00D66" w:rsidRPr="00557716" w:rsidRDefault="00D00D66" w:rsidP="001C1D27">
            <w:pPr>
              <w:jc w:val="center"/>
              <w:rPr>
                <w:b/>
                <w:bCs/>
              </w:rPr>
            </w:pPr>
            <w:r w:rsidRPr="00557716">
              <w:rPr>
                <w:b/>
                <w:bCs/>
              </w:rPr>
              <w:t xml:space="preserve">ADD </w:t>
            </w:r>
            <w:r w:rsidR="00557716" w:rsidRPr="00557716">
              <w:rPr>
                <w:b/>
              </w:rPr>
              <w:t>Ψ</w:t>
            </w:r>
            <w:r w:rsidRPr="00557716">
              <w:rPr>
                <w:b/>
                <w:bCs/>
              </w:rPr>
              <w:t>:</w:t>
            </w:r>
          </w:p>
        </w:tc>
        <w:tc>
          <w:tcPr>
            <w:tcW w:w="1005" w:type="dxa"/>
            <w:noWrap/>
            <w:vAlign w:val="center"/>
            <w:hideMark/>
          </w:tcPr>
          <w:p w14:paraId="244DE99F" w14:textId="00725B14" w:rsidR="00D00D66" w:rsidRPr="00557716" w:rsidRDefault="00D00D66" w:rsidP="001C1D27">
            <w:pPr>
              <w:jc w:val="center"/>
              <w:rPr>
                <w:b/>
                <w:bCs/>
              </w:rPr>
            </w:pPr>
            <w:r w:rsidRPr="00557716">
              <w:rPr>
                <w:b/>
                <w:bCs/>
              </w:rPr>
              <w:t xml:space="preserve">Default </w:t>
            </w:r>
            <w:r w:rsidR="00557716" w:rsidRPr="00557716">
              <w:rPr>
                <w:b/>
              </w:rPr>
              <w:t>Ψ</w:t>
            </w:r>
            <w:r w:rsidRPr="00557716">
              <w:rPr>
                <w:b/>
                <w:bCs/>
              </w:rPr>
              <w:t>:</w:t>
            </w:r>
          </w:p>
        </w:tc>
      </w:tr>
      <w:tr w:rsidR="00D00D66" w:rsidRPr="004E3D7D" w14:paraId="0311347E" w14:textId="77777777" w:rsidTr="001C1D27">
        <w:trPr>
          <w:trHeight w:val="300"/>
        </w:trPr>
        <w:tc>
          <w:tcPr>
            <w:tcW w:w="4219" w:type="dxa"/>
            <w:noWrap/>
            <w:vAlign w:val="center"/>
            <w:hideMark/>
          </w:tcPr>
          <w:p w14:paraId="41BE0483" w14:textId="77777777" w:rsidR="00D00D66" w:rsidRPr="004E3D7D" w:rsidRDefault="00D00D66" w:rsidP="001C1D27">
            <w:r w:rsidRPr="004E3D7D">
              <w:t>Panel Joint</w:t>
            </w:r>
          </w:p>
        </w:tc>
        <w:tc>
          <w:tcPr>
            <w:tcW w:w="1004" w:type="dxa"/>
            <w:noWrap/>
            <w:vAlign w:val="center"/>
            <w:hideMark/>
          </w:tcPr>
          <w:p w14:paraId="31BFEC82" w14:textId="77777777" w:rsidR="00D00D66" w:rsidRPr="004E3D7D" w:rsidRDefault="00D00D66" w:rsidP="001C1D27">
            <w:pPr>
              <w:jc w:val="center"/>
            </w:pPr>
            <w:r w:rsidRPr="004E3D7D">
              <w:t>TB/01</w:t>
            </w:r>
          </w:p>
        </w:tc>
        <w:tc>
          <w:tcPr>
            <w:tcW w:w="1005" w:type="dxa"/>
            <w:noWrap/>
            <w:vAlign w:val="center"/>
            <w:hideMark/>
          </w:tcPr>
          <w:p w14:paraId="2AE105AE" w14:textId="77777777" w:rsidR="00D00D66" w:rsidRPr="004E3D7D" w:rsidRDefault="00D00D66" w:rsidP="001C1D27">
            <w:pPr>
              <w:jc w:val="center"/>
            </w:pPr>
            <w:r w:rsidRPr="004E3D7D">
              <w:t>0.004</w:t>
            </w:r>
          </w:p>
        </w:tc>
        <w:tc>
          <w:tcPr>
            <w:tcW w:w="1004" w:type="dxa"/>
            <w:noWrap/>
            <w:vAlign w:val="center"/>
            <w:hideMark/>
          </w:tcPr>
          <w:p w14:paraId="15A39E82" w14:textId="77777777" w:rsidR="00D00D66" w:rsidRPr="004E3D7D" w:rsidRDefault="00D00D66" w:rsidP="001C1D27">
            <w:pPr>
              <w:jc w:val="center"/>
            </w:pPr>
            <w:r w:rsidRPr="004E3D7D">
              <w:t>0.983</w:t>
            </w:r>
          </w:p>
        </w:tc>
        <w:tc>
          <w:tcPr>
            <w:tcW w:w="1005" w:type="dxa"/>
            <w:noWrap/>
            <w:vAlign w:val="center"/>
            <w:hideMark/>
          </w:tcPr>
          <w:p w14:paraId="4104A0D7" w14:textId="77777777" w:rsidR="00D00D66" w:rsidRDefault="00D00D66" w:rsidP="001C1D27">
            <w:pPr>
              <w:jc w:val="center"/>
            </w:pPr>
            <w:r w:rsidRPr="000E387A">
              <w:t>NA</w:t>
            </w:r>
          </w:p>
        </w:tc>
        <w:tc>
          <w:tcPr>
            <w:tcW w:w="1005" w:type="dxa"/>
            <w:noWrap/>
            <w:vAlign w:val="center"/>
            <w:hideMark/>
          </w:tcPr>
          <w:p w14:paraId="699B3A1C" w14:textId="77777777" w:rsidR="00D00D66" w:rsidRDefault="00D00D66" w:rsidP="001C1D27">
            <w:pPr>
              <w:jc w:val="center"/>
            </w:pPr>
            <w:r w:rsidRPr="000E387A">
              <w:t>NA</w:t>
            </w:r>
          </w:p>
        </w:tc>
      </w:tr>
      <w:tr w:rsidR="00D00D66" w:rsidRPr="004E3D7D" w14:paraId="4BCDF429" w14:textId="77777777" w:rsidTr="001C1D27">
        <w:trPr>
          <w:trHeight w:val="300"/>
        </w:trPr>
        <w:tc>
          <w:tcPr>
            <w:tcW w:w="4219" w:type="dxa"/>
            <w:noWrap/>
            <w:vAlign w:val="center"/>
            <w:hideMark/>
          </w:tcPr>
          <w:p w14:paraId="461783F7" w14:textId="77777777" w:rsidR="00D00D66" w:rsidRPr="004E3D7D" w:rsidRDefault="00D00D66" w:rsidP="001C1D27">
            <w:r w:rsidRPr="004E3D7D">
              <w:t>Jamb</w:t>
            </w:r>
          </w:p>
        </w:tc>
        <w:tc>
          <w:tcPr>
            <w:tcW w:w="1004" w:type="dxa"/>
            <w:noWrap/>
            <w:vAlign w:val="center"/>
            <w:hideMark/>
          </w:tcPr>
          <w:p w14:paraId="0F2E6B6F" w14:textId="77777777" w:rsidR="00D00D66" w:rsidRPr="004E3D7D" w:rsidRDefault="00D00D66" w:rsidP="001C1D27">
            <w:pPr>
              <w:jc w:val="center"/>
            </w:pPr>
            <w:r w:rsidRPr="004E3D7D">
              <w:t>TB/02</w:t>
            </w:r>
          </w:p>
        </w:tc>
        <w:tc>
          <w:tcPr>
            <w:tcW w:w="1005" w:type="dxa"/>
            <w:noWrap/>
            <w:vAlign w:val="center"/>
            <w:hideMark/>
          </w:tcPr>
          <w:p w14:paraId="02DC3D7F" w14:textId="77777777" w:rsidR="00D00D66" w:rsidRPr="004E3D7D" w:rsidRDefault="00D00D66" w:rsidP="001C1D27">
            <w:pPr>
              <w:jc w:val="center"/>
            </w:pPr>
            <w:r w:rsidRPr="004E3D7D">
              <w:t>0.038</w:t>
            </w:r>
          </w:p>
        </w:tc>
        <w:tc>
          <w:tcPr>
            <w:tcW w:w="1004" w:type="dxa"/>
            <w:noWrap/>
            <w:vAlign w:val="center"/>
            <w:hideMark/>
          </w:tcPr>
          <w:p w14:paraId="562FDF24" w14:textId="77777777" w:rsidR="00D00D66" w:rsidRPr="004E3D7D" w:rsidRDefault="00D00D66" w:rsidP="001C1D27">
            <w:pPr>
              <w:jc w:val="center"/>
            </w:pPr>
            <w:r w:rsidRPr="004E3D7D">
              <w:t>0.750</w:t>
            </w:r>
          </w:p>
        </w:tc>
        <w:tc>
          <w:tcPr>
            <w:tcW w:w="1005" w:type="dxa"/>
            <w:noWrap/>
            <w:vAlign w:val="center"/>
            <w:hideMark/>
          </w:tcPr>
          <w:p w14:paraId="05905627" w14:textId="77777777" w:rsidR="00D00D66" w:rsidRPr="004E3D7D" w:rsidRDefault="00D00D66" w:rsidP="001C1D27">
            <w:pPr>
              <w:jc w:val="center"/>
            </w:pPr>
            <w:r w:rsidRPr="004E3D7D">
              <w:t>0.050</w:t>
            </w:r>
          </w:p>
        </w:tc>
        <w:tc>
          <w:tcPr>
            <w:tcW w:w="1005" w:type="dxa"/>
            <w:noWrap/>
            <w:vAlign w:val="center"/>
            <w:hideMark/>
          </w:tcPr>
          <w:p w14:paraId="0D45DA22" w14:textId="77777777" w:rsidR="00D00D66" w:rsidRPr="004E3D7D" w:rsidRDefault="00D00D66" w:rsidP="001C1D27">
            <w:pPr>
              <w:jc w:val="center"/>
            </w:pPr>
            <w:r w:rsidRPr="004E3D7D">
              <w:t>0.100</w:t>
            </w:r>
          </w:p>
        </w:tc>
      </w:tr>
      <w:tr w:rsidR="00D00D66" w:rsidRPr="004E3D7D" w14:paraId="2E4448B8" w14:textId="77777777" w:rsidTr="001C1D27">
        <w:trPr>
          <w:trHeight w:val="300"/>
        </w:trPr>
        <w:tc>
          <w:tcPr>
            <w:tcW w:w="4219" w:type="dxa"/>
            <w:noWrap/>
            <w:vAlign w:val="center"/>
            <w:hideMark/>
          </w:tcPr>
          <w:p w14:paraId="371CB05F" w14:textId="77777777" w:rsidR="00D00D66" w:rsidRPr="004E3D7D" w:rsidRDefault="00D00D66" w:rsidP="001C1D27">
            <w:r w:rsidRPr="004E3D7D">
              <w:t>Ground Floor with Joist Parallel</w:t>
            </w:r>
          </w:p>
        </w:tc>
        <w:tc>
          <w:tcPr>
            <w:tcW w:w="1004" w:type="dxa"/>
            <w:noWrap/>
            <w:vAlign w:val="center"/>
            <w:hideMark/>
          </w:tcPr>
          <w:p w14:paraId="62A7006E" w14:textId="77777777" w:rsidR="00D00D66" w:rsidRPr="004E3D7D" w:rsidRDefault="00D00D66" w:rsidP="001C1D27">
            <w:pPr>
              <w:jc w:val="center"/>
            </w:pPr>
            <w:r w:rsidRPr="004E3D7D">
              <w:t>TB/03</w:t>
            </w:r>
          </w:p>
        </w:tc>
        <w:tc>
          <w:tcPr>
            <w:tcW w:w="1005" w:type="dxa"/>
            <w:noWrap/>
            <w:vAlign w:val="center"/>
            <w:hideMark/>
          </w:tcPr>
          <w:p w14:paraId="3BC86696" w14:textId="77777777" w:rsidR="00D00D66" w:rsidRPr="004E3D7D" w:rsidRDefault="00D00D66" w:rsidP="001C1D27">
            <w:pPr>
              <w:jc w:val="center"/>
            </w:pPr>
            <w:r w:rsidRPr="004E3D7D">
              <w:t>0.019</w:t>
            </w:r>
          </w:p>
        </w:tc>
        <w:tc>
          <w:tcPr>
            <w:tcW w:w="1004" w:type="dxa"/>
            <w:noWrap/>
            <w:vAlign w:val="center"/>
            <w:hideMark/>
          </w:tcPr>
          <w:p w14:paraId="12144E2E" w14:textId="77777777" w:rsidR="00D00D66" w:rsidRPr="004E3D7D" w:rsidRDefault="00D00D66" w:rsidP="001C1D27">
            <w:pPr>
              <w:jc w:val="center"/>
            </w:pPr>
            <w:r w:rsidRPr="004E3D7D">
              <w:t>0.971</w:t>
            </w:r>
          </w:p>
        </w:tc>
        <w:tc>
          <w:tcPr>
            <w:tcW w:w="1005" w:type="dxa"/>
            <w:noWrap/>
            <w:vAlign w:val="center"/>
            <w:hideMark/>
          </w:tcPr>
          <w:p w14:paraId="3007EB57" w14:textId="77777777" w:rsidR="00D00D66" w:rsidRPr="004E3D7D" w:rsidRDefault="00D00D66" w:rsidP="001C1D27">
            <w:pPr>
              <w:jc w:val="center"/>
            </w:pPr>
            <w:r w:rsidRPr="004E3D7D">
              <w:t>0.070</w:t>
            </w:r>
          </w:p>
        </w:tc>
        <w:tc>
          <w:tcPr>
            <w:tcW w:w="1005" w:type="dxa"/>
            <w:noWrap/>
            <w:vAlign w:val="center"/>
            <w:hideMark/>
          </w:tcPr>
          <w:p w14:paraId="3ADC3E06" w14:textId="77777777" w:rsidR="00D00D66" w:rsidRPr="004E3D7D" w:rsidRDefault="00D00D66" w:rsidP="001C1D27">
            <w:pPr>
              <w:jc w:val="center"/>
            </w:pPr>
            <w:r w:rsidRPr="004E3D7D">
              <w:t>0.140</w:t>
            </w:r>
          </w:p>
        </w:tc>
      </w:tr>
      <w:tr w:rsidR="00D00D66" w:rsidRPr="004E3D7D" w14:paraId="032031F1" w14:textId="77777777" w:rsidTr="001C1D27">
        <w:trPr>
          <w:trHeight w:val="300"/>
        </w:trPr>
        <w:tc>
          <w:tcPr>
            <w:tcW w:w="4219" w:type="dxa"/>
            <w:noWrap/>
            <w:vAlign w:val="center"/>
            <w:hideMark/>
          </w:tcPr>
          <w:p w14:paraId="0CA67AD6" w14:textId="77777777" w:rsidR="00D00D66" w:rsidRPr="004E3D7D" w:rsidRDefault="00D00D66" w:rsidP="001C1D27">
            <w:r w:rsidRPr="004E3D7D">
              <w:t>Ground Floor with Joists Perpendicular</w:t>
            </w:r>
          </w:p>
        </w:tc>
        <w:tc>
          <w:tcPr>
            <w:tcW w:w="1004" w:type="dxa"/>
            <w:noWrap/>
            <w:vAlign w:val="center"/>
            <w:hideMark/>
          </w:tcPr>
          <w:p w14:paraId="69C31BDC" w14:textId="77777777" w:rsidR="00D00D66" w:rsidRPr="004E3D7D" w:rsidRDefault="00D00D66" w:rsidP="001C1D27">
            <w:pPr>
              <w:jc w:val="center"/>
            </w:pPr>
            <w:r w:rsidRPr="004E3D7D">
              <w:t>TB/04</w:t>
            </w:r>
          </w:p>
        </w:tc>
        <w:tc>
          <w:tcPr>
            <w:tcW w:w="1005" w:type="dxa"/>
            <w:noWrap/>
            <w:vAlign w:val="center"/>
            <w:hideMark/>
          </w:tcPr>
          <w:p w14:paraId="7D10C8FE" w14:textId="77777777" w:rsidR="00D00D66" w:rsidRPr="004E3D7D" w:rsidRDefault="00D00D66" w:rsidP="001C1D27">
            <w:pPr>
              <w:jc w:val="center"/>
            </w:pPr>
            <w:r w:rsidRPr="004E3D7D">
              <w:t>0.062</w:t>
            </w:r>
          </w:p>
        </w:tc>
        <w:tc>
          <w:tcPr>
            <w:tcW w:w="1004" w:type="dxa"/>
            <w:noWrap/>
            <w:vAlign w:val="center"/>
            <w:hideMark/>
          </w:tcPr>
          <w:p w14:paraId="07FBC511" w14:textId="77777777" w:rsidR="00D00D66" w:rsidRPr="004E3D7D" w:rsidRDefault="00D00D66" w:rsidP="001C1D27">
            <w:pPr>
              <w:jc w:val="center"/>
            </w:pPr>
            <w:r w:rsidRPr="004E3D7D">
              <w:t>0.970</w:t>
            </w:r>
          </w:p>
        </w:tc>
        <w:tc>
          <w:tcPr>
            <w:tcW w:w="1005" w:type="dxa"/>
            <w:noWrap/>
            <w:vAlign w:val="center"/>
            <w:hideMark/>
          </w:tcPr>
          <w:p w14:paraId="60C3DC57" w14:textId="77777777" w:rsidR="00D00D66" w:rsidRPr="004E3D7D" w:rsidRDefault="00D00D66" w:rsidP="001C1D27">
            <w:pPr>
              <w:jc w:val="center"/>
            </w:pPr>
            <w:r w:rsidRPr="004E3D7D">
              <w:t>0.070</w:t>
            </w:r>
          </w:p>
        </w:tc>
        <w:tc>
          <w:tcPr>
            <w:tcW w:w="1005" w:type="dxa"/>
            <w:noWrap/>
            <w:vAlign w:val="center"/>
            <w:hideMark/>
          </w:tcPr>
          <w:p w14:paraId="54E8D42A" w14:textId="77777777" w:rsidR="00D00D66" w:rsidRPr="004E3D7D" w:rsidRDefault="00D00D66" w:rsidP="001C1D27">
            <w:pPr>
              <w:jc w:val="center"/>
            </w:pPr>
            <w:r w:rsidRPr="004E3D7D">
              <w:t>0.140</w:t>
            </w:r>
          </w:p>
        </w:tc>
      </w:tr>
      <w:tr w:rsidR="00D00D66" w:rsidRPr="004E3D7D" w14:paraId="4ED2F0FB" w14:textId="77777777" w:rsidTr="001C1D27">
        <w:trPr>
          <w:trHeight w:val="300"/>
        </w:trPr>
        <w:tc>
          <w:tcPr>
            <w:tcW w:w="4219" w:type="dxa"/>
            <w:noWrap/>
            <w:vAlign w:val="center"/>
            <w:hideMark/>
          </w:tcPr>
          <w:p w14:paraId="0528A67F" w14:textId="77777777" w:rsidR="00D00D66" w:rsidRPr="004E3D7D" w:rsidRDefault="00D00D66" w:rsidP="001C1D27">
            <w:r w:rsidRPr="004E3D7D">
              <w:t>Intermediate Floor with Joists Parallel</w:t>
            </w:r>
          </w:p>
        </w:tc>
        <w:tc>
          <w:tcPr>
            <w:tcW w:w="1004" w:type="dxa"/>
            <w:noWrap/>
            <w:vAlign w:val="center"/>
            <w:hideMark/>
          </w:tcPr>
          <w:p w14:paraId="0388159B" w14:textId="77777777" w:rsidR="00D00D66" w:rsidRPr="004E3D7D" w:rsidRDefault="00D00D66" w:rsidP="001C1D27">
            <w:pPr>
              <w:jc w:val="center"/>
            </w:pPr>
            <w:r w:rsidRPr="004E3D7D">
              <w:t>TB/05</w:t>
            </w:r>
          </w:p>
        </w:tc>
        <w:tc>
          <w:tcPr>
            <w:tcW w:w="1005" w:type="dxa"/>
            <w:noWrap/>
            <w:vAlign w:val="center"/>
            <w:hideMark/>
          </w:tcPr>
          <w:p w14:paraId="16B1A003" w14:textId="77777777" w:rsidR="00D00D66" w:rsidRPr="004E3D7D" w:rsidRDefault="00D00D66" w:rsidP="001C1D27">
            <w:pPr>
              <w:jc w:val="center"/>
            </w:pPr>
            <w:r w:rsidRPr="004E3D7D">
              <w:t>-0.001</w:t>
            </w:r>
          </w:p>
        </w:tc>
        <w:tc>
          <w:tcPr>
            <w:tcW w:w="1004" w:type="dxa"/>
            <w:noWrap/>
            <w:vAlign w:val="center"/>
            <w:hideMark/>
          </w:tcPr>
          <w:p w14:paraId="37544CF7" w14:textId="77777777" w:rsidR="00D00D66" w:rsidRPr="004E3D7D" w:rsidRDefault="00D00D66" w:rsidP="001C1D27">
            <w:pPr>
              <w:jc w:val="center"/>
            </w:pPr>
            <w:r w:rsidRPr="004E3D7D">
              <w:t>0.980</w:t>
            </w:r>
          </w:p>
        </w:tc>
        <w:tc>
          <w:tcPr>
            <w:tcW w:w="1005" w:type="dxa"/>
            <w:noWrap/>
            <w:vAlign w:val="center"/>
            <w:hideMark/>
          </w:tcPr>
          <w:p w14:paraId="38196351" w14:textId="77777777" w:rsidR="00D00D66" w:rsidRPr="004E3D7D" w:rsidRDefault="00D00D66" w:rsidP="001C1D27">
            <w:pPr>
              <w:jc w:val="center"/>
            </w:pPr>
            <w:r w:rsidRPr="004E3D7D">
              <w:t>0.070</w:t>
            </w:r>
          </w:p>
        </w:tc>
        <w:tc>
          <w:tcPr>
            <w:tcW w:w="1005" w:type="dxa"/>
            <w:noWrap/>
            <w:vAlign w:val="center"/>
            <w:hideMark/>
          </w:tcPr>
          <w:p w14:paraId="4103EE1F" w14:textId="77777777" w:rsidR="00D00D66" w:rsidRPr="004E3D7D" w:rsidRDefault="00D00D66" w:rsidP="001C1D27">
            <w:pPr>
              <w:jc w:val="center"/>
            </w:pPr>
            <w:r w:rsidRPr="004E3D7D">
              <w:t>0.140</w:t>
            </w:r>
          </w:p>
        </w:tc>
      </w:tr>
      <w:tr w:rsidR="00D00D66" w:rsidRPr="004E3D7D" w14:paraId="018327C6" w14:textId="77777777" w:rsidTr="001C1D27">
        <w:trPr>
          <w:trHeight w:val="300"/>
        </w:trPr>
        <w:tc>
          <w:tcPr>
            <w:tcW w:w="4219" w:type="dxa"/>
            <w:noWrap/>
            <w:vAlign w:val="center"/>
            <w:hideMark/>
          </w:tcPr>
          <w:p w14:paraId="0D739F3C" w14:textId="77777777" w:rsidR="00D00D66" w:rsidRPr="004E3D7D" w:rsidRDefault="00D00D66" w:rsidP="001C1D27">
            <w:r w:rsidRPr="004E3D7D">
              <w:t>Intermediate Floor with Joists Perpendicular</w:t>
            </w:r>
          </w:p>
        </w:tc>
        <w:tc>
          <w:tcPr>
            <w:tcW w:w="1004" w:type="dxa"/>
            <w:noWrap/>
            <w:vAlign w:val="center"/>
            <w:hideMark/>
          </w:tcPr>
          <w:p w14:paraId="27B0704E" w14:textId="77777777" w:rsidR="00D00D66" w:rsidRPr="004E3D7D" w:rsidRDefault="00D00D66" w:rsidP="001C1D27">
            <w:pPr>
              <w:jc w:val="center"/>
            </w:pPr>
            <w:r w:rsidRPr="004E3D7D">
              <w:t>TB/06</w:t>
            </w:r>
          </w:p>
        </w:tc>
        <w:tc>
          <w:tcPr>
            <w:tcW w:w="1005" w:type="dxa"/>
            <w:noWrap/>
            <w:vAlign w:val="center"/>
            <w:hideMark/>
          </w:tcPr>
          <w:p w14:paraId="36D119F5" w14:textId="77777777" w:rsidR="00D00D66" w:rsidRPr="004E3D7D" w:rsidRDefault="00D00D66" w:rsidP="001C1D27">
            <w:pPr>
              <w:jc w:val="center"/>
            </w:pPr>
            <w:r w:rsidRPr="004E3D7D">
              <w:t>-0.001</w:t>
            </w:r>
          </w:p>
        </w:tc>
        <w:tc>
          <w:tcPr>
            <w:tcW w:w="1004" w:type="dxa"/>
            <w:noWrap/>
            <w:vAlign w:val="center"/>
            <w:hideMark/>
          </w:tcPr>
          <w:p w14:paraId="0EDD99A2" w14:textId="77777777" w:rsidR="00D00D66" w:rsidRPr="004E3D7D" w:rsidRDefault="00D00D66" w:rsidP="001C1D27">
            <w:pPr>
              <w:jc w:val="center"/>
            </w:pPr>
            <w:r w:rsidRPr="004E3D7D">
              <w:t>0.979</w:t>
            </w:r>
          </w:p>
        </w:tc>
        <w:tc>
          <w:tcPr>
            <w:tcW w:w="1005" w:type="dxa"/>
            <w:noWrap/>
            <w:vAlign w:val="center"/>
            <w:hideMark/>
          </w:tcPr>
          <w:p w14:paraId="665B9638" w14:textId="77777777" w:rsidR="00D00D66" w:rsidRPr="004E3D7D" w:rsidRDefault="00D00D66" w:rsidP="001C1D27">
            <w:pPr>
              <w:jc w:val="center"/>
            </w:pPr>
            <w:r w:rsidRPr="004E3D7D">
              <w:t>0.070</w:t>
            </w:r>
          </w:p>
        </w:tc>
        <w:tc>
          <w:tcPr>
            <w:tcW w:w="1005" w:type="dxa"/>
            <w:noWrap/>
            <w:vAlign w:val="center"/>
            <w:hideMark/>
          </w:tcPr>
          <w:p w14:paraId="629ECF4A" w14:textId="77777777" w:rsidR="00D00D66" w:rsidRPr="004E3D7D" w:rsidRDefault="00D00D66" w:rsidP="001C1D27">
            <w:pPr>
              <w:jc w:val="center"/>
            </w:pPr>
            <w:r w:rsidRPr="004E3D7D">
              <w:t>0.140</w:t>
            </w:r>
          </w:p>
        </w:tc>
      </w:tr>
      <w:tr w:rsidR="00D00D66" w:rsidRPr="004E3D7D" w14:paraId="7C51A777" w14:textId="77777777" w:rsidTr="001C1D27">
        <w:trPr>
          <w:trHeight w:val="300"/>
        </w:trPr>
        <w:tc>
          <w:tcPr>
            <w:tcW w:w="4219" w:type="dxa"/>
            <w:noWrap/>
            <w:vAlign w:val="center"/>
            <w:hideMark/>
          </w:tcPr>
          <w:p w14:paraId="1F997AE6" w14:textId="77777777" w:rsidR="00D00D66" w:rsidRPr="004E3D7D" w:rsidRDefault="00D00D66" w:rsidP="001C1D27">
            <w:r w:rsidRPr="004E3D7D">
              <w:t>Partition/External Wall</w:t>
            </w:r>
          </w:p>
        </w:tc>
        <w:tc>
          <w:tcPr>
            <w:tcW w:w="1004" w:type="dxa"/>
            <w:noWrap/>
            <w:vAlign w:val="center"/>
            <w:hideMark/>
          </w:tcPr>
          <w:p w14:paraId="5E0C8439" w14:textId="77777777" w:rsidR="00D00D66" w:rsidRPr="004E3D7D" w:rsidRDefault="00D00D66" w:rsidP="001C1D27">
            <w:pPr>
              <w:jc w:val="center"/>
            </w:pPr>
            <w:r w:rsidRPr="004E3D7D">
              <w:t>TB/07</w:t>
            </w:r>
          </w:p>
        </w:tc>
        <w:tc>
          <w:tcPr>
            <w:tcW w:w="1005" w:type="dxa"/>
            <w:noWrap/>
            <w:vAlign w:val="center"/>
            <w:hideMark/>
          </w:tcPr>
          <w:p w14:paraId="21396CAB" w14:textId="77777777" w:rsidR="00D00D66" w:rsidRPr="004E3D7D" w:rsidRDefault="00D00D66" w:rsidP="001C1D27">
            <w:pPr>
              <w:jc w:val="center"/>
            </w:pPr>
            <w:r w:rsidRPr="004E3D7D">
              <w:t>0.000</w:t>
            </w:r>
          </w:p>
        </w:tc>
        <w:tc>
          <w:tcPr>
            <w:tcW w:w="1004" w:type="dxa"/>
            <w:noWrap/>
            <w:vAlign w:val="center"/>
            <w:hideMark/>
          </w:tcPr>
          <w:p w14:paraId="330A91C5" w14:textId="77777777" w:rsidR="00D00D66" w:rsidRPr="004E3D7D" w:rsidRDefault="00D00D66" w:rsidP="001C1D27">
            <w:pPr>
              <w:jc w:val="center"/>
            </w:pPr>
            <w:r w:rsidRPr="004E3D7D">
              <w:t>0.979</w:t>
            </w:r>
          </w:p>
        </w:tc>
        <w:tc>
          <w:tcPr>
            <w:tcW w:w="1005" w:type="dxa"/>
            <w:noWrap/>
            <w:vAlign w:val="center"/>
            <w:hideMark/>
          </w:tcPr>
          <w:p w14:paraId="37870E81" w14:textId="77777777" w:rsidR="00D00D66" w:rsidRPr="004E3D7D" w:rsidRDefault="00D00D66" w:rsidP="001C1D27">
            <w:pPr>
              <w:jc w:val="center"/>
            </w:pPr>
            <w:r>
              <w:t>NA</w:t>
            </w:r>
          </w:p>
        </w:tc>
        <w:tc>
          <w:tcPr>
            <w:tcW w:w="1005" w:type="dxa"/>
            <w:noWrap/>
            <w:vAlign w:val="center"/>
            <w:hideMark/>
          </w:tcPr>
          <w:p w14:paraId="53443FD5" w14:textId="77777777" w:rsidR="00D00D66" w:rsidRDefault="00D00D66" w:rsidP="001C1D27">
            <w:pPr>
              <w:jc w:val="center"/>
            </w:pPr>
            <w:r w:rsidRPr="00B6083F">
              <w:t>NA</w:t>
            </w:r>
          </w:p>
        </w:tc>
      </w:tr>
      <w:tr w:rsidR="00D00D66" w:rsidRPr="004E3D7D" w14:paraId="64EF80C4" w14:textId="77777777" w:rsidTr="001C1D27">
        <w:trPr>
          <w:trHeight w:val="300"/>
        </w:trPr>
        <w:tc>
          <w:tcPr>
            <w:tcW w:w="4219" w:type="dxa"/>
            <w:noWrap/>
            <w:vAlign w:val="center"/>
            <w:hideMark/>
          </w:tcPr>
          <w:p w14:paraId="63927F4F" w14:textId="77777777" w:rsidR="00D00D66" w:rsidRPr="004E3D7D" w:rsidRDefault="00D00D66" w:rsidP="001C1D27">
            <w:r w:rsidRPr="004E3D7D">
              <w:t>Service Penetration</w:t>
            </w:r>
          </w:p>
        </w:tc>
        <w:tc>
          <w:tcPr>
            <w:tcW w:w="1004" w:type="dxa"/>
            <w:noWrap/>
            <w:vAlign w:val="center"/>
            <w:hideMark/>
          </w:tcPr>
          <w:p w14:paraId="062AD5F1" w14:textId="77777777" w:rsidR="00D00D66" w:rsidRPr="004E3D7D" w:rsidRDefault="00D00D66" w:rsidP="001C1D27">
            <w:pPr>
              <w:jc w:val="center"/>
            </w:pPr>
            <w:r w:rsidRPr="004E3D7D">
              <w:t>TB/08</w:t>
            </w:r>
          </w:p>
        </w:tc>
        <w:tc>
          <w:tcPr>
            <w:tcW w:w="1005" w:type="dxa"/>
            <w:noWrap/>
            <w:vAlign w:val="center"/>
            <w:hideMark/>
          </w:tcPr>
          <w:p w14:paraId="345E22AB" w14:textId="77777777" w:rsidR="00D00D66" w:rsidRPr="004E3D7D" w:rsidRDefault="00D00D66" w:rsidP="001C1D27">
            <w:pPr>
              <w:jc w:val="center"/>
            </w:pPr>
            <w:r w:rsidRPr="004E3D7D">
              <w:t>0.091</w:t>
            </w:r>
          </w:p>
        </w:tc>
        <w:tc>
          <w:tcPr>
            <w:tcW w:w="1004" w:type="dxa"/>
            <w:noWrap/>
            <w:vAlign w:val="center"/>
            <w:hideMark/>
          </w:tcPr>
          <w:p w14:paraId="1A64C2BB" w14:textId="77777777" w:rsidR="00D00D66" w:rsidRPr="004E3D7D" w:rsidRDefault="00D00D66" w:rsidP="001C1D27">
            <w:pPr>
              <w:jc w:val="center"/>
            </w:pPr>
            <w:r w:rsidRPr="004E3D7D">
              <w:t>0.672</w:t>
            </w:r>
          </w:p>
        </w:tc>
        <w:tc>
          <w:tcPr>
            <w:tcW w:w="1005" w:type="dxa"/>
            <w:noWrap/>
            <w:vAlign w:val="center"/>
            <w:hideMark/>
          </w:tcPr>
          <w:p w14:paraId="268F33C9" w14:textId="77777777" w:rsidR="00D00D66" w:rsidRDefault="00D00D66" w:rsidP="001C1D27">
            <w:pPr>
              <w:jc w:val="center"/>
            </w:pPr>
            <w:r w:rsidRPr="00E34AB8">
              <w:t>NA</w:t>
            </w:r>
          </w:p>
        </w:tc>
        <w:tc>
          <w:tcPr>
            <w:tcW w:w="1005" w:type="dxa"/>
            <w:noWrap/>
            <w:vAlign w:val="center"/>
            <w:hideMark/>
          </w:tcPr>
          <w:p w14:paraId="5EC2742B" w14:textId="77777777" w:rsidR="00D00D66" w:rsidRDefault="00D00D66" w:rsidP="001C1D27">
            <w:pPr>
              <w:jc w:val="center"/>
            </w:pPr>
            <w:r w:rsidRPr="00B6083F">
              <w:t>NA</w:t>
            </w:r>
          </w:p>
        </w:tc>
      </w:tr>
      <w:tr w:rsidR="00D00D66" w:rsidRPr="004E3D7D" w14:paraId="611EC552" w14:textId="77777777" w:rsidTr="001C1D27">
        <w:trPr>
          <w:trHeight w:val="300"/>
        </w:trPr>
        <w:tc>
          <w:tcPr>
            <w:tcW w:w="4219" w:type="dxa"/>
            <w:noWrap/>
            <w:vAlign w:val="center"/>
            <w:hideMark/>
          </w:tcPr>
          <w:p w14:paraId="532BD5AA" w14:textId="77777777" w:rsidR="00D00D66" w:rsidRPr="004E3D7D" w:rsidRDefault="00D00D66" w:rsidP="001C1D27">
            <w:r w:rsidRPr="004E3D7D">
              <w:t>Roof Window</w:t>
            </w:r>
          </w:p>
        </w:tc>
        <w:tc>
          <w:tcPr>
            <w:tcW w:w="1004" w:type="dxa"/>
            <w:noWrap/>
            <w:vAlign w:val="center"/>
            <w:hideMark/>
          </w:tcPr>
          <w:p w14:paraId="53B0BB44" w14:textId="77777777" w:rsidR="00D00D66" w:rsidRPr="004E3D7D" w:rsidRDefault="00D00D66" w:rsidP="001C1D27">
            <w:pPr>
              <w:jc w:val="center"/>
            </w:pPr>
            <w:r w:rsidRPr="004E3D7D">
              <w:t>TB/09</w:t>
            </w:r>
          </w:p>
        </w:tc>
        <w:tc>
          <w:tcPr>
            <w:tcW w:w="1005" w:type="dxa"/>
            <w:noWrap/>
            <w:vAlign w:val="center"/>
            <w:hideMark/>
          </w:tcPr>
          <w:p w14:paraId="3E0CF7BF" w14:textId="77777777" w:rsidR="00D00D66" w:rsidRPr="004E3D7D" w:rsidRDefault="00D00D66" w:rsidP="001C1D27">
            <w:pPr>
              <w:jc w:val="center"/>
            </w:pPr>
            <w:r w:rsidRPr="004E3D7D">
              <w:t>0.031</w:t>
            </w:r>
          </w:p>
        </w:tc>
        <w:tc>
          <w:tcPr>
            <w:tcW w:w="1004" w:type="dxa"/>
            <w:noWrap/>
            <w:vAlign w:val="center"/>
            <w:hideMark/>
          </w:tcPr>
          <w:p w14:paraId="12891E46" w14:textId="77777777" w:rsidR="00D00D66" w:rsidRPr="004E3D7D" w:rsidRDefault="00D00D66" w:rsidP="001C1D27">
            <w:pPr>
              <w:jc w:val="center"/>
            </w:pPr>
            <w:r w:rsidRPr="004E3D7D">
              <w:t>0.874</w:t>
            </w:r>
          </w:p>
        </w:tc>
        <w:tc>
          <w:tcPr>
            <w:tcW w:w="1005" w:type="dxa"/>
            <w:noWrap/>
            <w:vAlign w:val="center"/>
            <w:hideMark/>
          </w:tcPr>
          <w:p w14:paraId="315B2CA3" w14:textId="77777777" w:rsidR="00D00D66" w:rsidRDefault="00D00D66" w:rsidP="001C1D27">
            <w:pPr>
              <w:jc w:val="center"/>
            </w:pPr>
            <w:r w:rsidRPr="00E34AB8">
              <w:t>NA</w:t>
            </w:r>
          </w:p>
        </w:tc>
        <w:tc>
          <w:tcPr>
            <w:tcW w:w="1005" w:type="dxa"/>
            <w:noWrap/>
            <w:vAlign w:val="center"/>
            <w:hideMark/>
          </w:tcPr>
          <w:p w14:paraId="11CC2E74" w14:textId="77777777" w:rsidR="00D00D66" w:rsidRPr="004E3D7D" w:rsidRDefault="00D00D66" w:rsidP="001C1D27">
            <w:pPr>
              <w:jc w:val="center"/>
            </w:pPr>
            <w:r w:rsidRPr="004E3D7D">
              <w:t>0.060</w:t>
            </w:r>
          </w:p>
        </w:tc>
      </w:tr>
      <w:tr w:rsidR="00D00D66" w:rsidRPr="004E3D7D" w14:paraId="54C8BD32" w14:textId="77777777" w:rsidTr="001C1D27">
        <w:trPr>
          <w:trHeight w:val="300"/>
        </w:trPr>
        <w:tc>
          <w:tcPr>
            <w:tcW w:w="4219" w:type="dxa"/>
            <w:noWrap/>
            <w:vAlign w:val="center"/>
            <w:hideMark/>
          </w:tcPr>
          <w:p w14:paraId="7484C8EE" w14:textId="77777777" w:rsidR="00D00D66" w:rsidRPr="004E3D7D" w:rsidRDefault="00D00D66" w:rsidP="001C1D27">
            <w:r w:rsidRPr="004E3D7D">
              <w:t>Lobby Jamb Top</w:t>
            </w:r>
          </w:p>
        </w:tc>
        <w:tc>
          <w:tcPr>
            <w:tcW w:w="1004" w:type="dxa"/>
            <w:noWrap/>
            <w:vAlign w:val="center"/>
            <w:hideMark/>
          </w:tcPr>
          <w:p w14:paraId="251D531D" w14:textId="77777777" w:rsidR="00D00D66" w:rsidRPr="004E3D7D" w:rsidRDefault="00D00D66" w:rsidP="001C1D27">
            <w:pPr>
              <w:jc w:val="center"/>
            </w:pPr>
            <w:r w:rsidRPr="004E3D7D">
              <w:t>TB/10</w:t>
            </w:r>
          </w:p>
        </w:tc>
        <w:tc>
          <w:tcPr>
            <w:tcW w:w="1005" w:type="dxa"/>
            <w:noWrap/>
            <w:vAlign w:val="center"/>
            <w:hideMark/>
          </w:tcPr>
          <w:p w14:paraId="710A54BA" w14:textId="77777777" w:rsidR="00D00D66" w:rsidRPr="004E3D7D" w:rsidRDefault="00D00D66" w:rsidP="001C1D27">
            <w:pPr>
              <w:jc w:val="center"/>
            </w:pPr>
            <w:r w:rsidRPr="004E3D7D">
              <w:t>0.003</w:t>
            </w:r>
          </w:p>
        </w:tc>
        <w:tc>
          <w:tcPr>
            <w:tcW w:w="1004" w:type="dxa"/>
            <w:noWrap/>
            <w:vAlign w:val="center"/>
            <w:hideMark/>
          </w:tcPr>
          <w:p w14:paraId="34615191" w14:textId="77777777" w:rsidR="00D00D66" w:rsidRPr="004E3D7D" w:rsidRDefault="00D00D66" w:rsidP="001C1D27">
            <w:pPr>
              <w:jc w:val="center"/>
            </w:pPr>
            <w:r w:rsidRPr="004E3D7D">
              <w:t>0.925</w:t>
            </w:r>
          </w:p>
        </w:tc>
        <w:tc>
          <w:tcPr>
            <w:tcW w:w="1005" w:type="dxa"/>
            <w:noWrap/>
            <w:vAlign w:val="center"/>
            <w:hideMark/>
          </w:tcPr>
          <w:p w14:paraId="1482F408" w14:textId="77777777" w:rsidR="00D00D66" w:rsidRDefault="00D00D66" w:rsidP="001C1D27">
            <w:pPr>
              <w:jc w:val="center"/>
            </w:pPr>
            <w:r w:rsidRPr="00E34AB8">
              <w:t>NA</w:t>
            </w:r>
          </w:p>
        </w:tc>
        <w:tc>
          <w:tcPr>
            <w:tcW w:w="1005" w:type="dxa"/>
            <w:noWrap/>
            <w:vAlign w:val="center"/>
            <w:hideMark/>
          </w:tcPr>
          <w:p w14:paraId="7ED88DE6" w14:textId="77777777" w:rsidR="00D00D66" w:rsidRDefault="00D00D66" w:rsidP="001C1D27">
            <w:pPr>
              <w:jc w:val="center"/>
            </w:pPr>
            <w:r w:rsidRPr="00A9444A">
              <w:t>NA</w:t>
            </w:r>
          </w:p>
        </w:tc>
      </w:tr>
      <w:tr w:rsidR="00D00D66" w:rsidRPr="004E3D7D" w14:paraId="57316CB5" w14:textId="77777777" w:rsidTr="001C1D27">
        <w:trPr>
          <w:trHeight w:val="300"/>
        </w:trPr>
        <w:tc>
          <w:tcPr>
            <w:tcW w:w="4219" w:type="dxa"/>
            <w:noWrap/>
            <w:vAlign w:val="center"/>
            <w:hideMark/>
          </w:tcPr>
          <w:p w14:paraId="340EFEC2" w14:textId="77777777" w:rsidR="00D00D66" w:rsidRPr="004E3D7D" w:rsidRDefault="00D00D66" w:rsidP="001C1D27">
            <w:r w:rsidRPr="004E3D7D">
              <w:t>Lobby Jamb Middle</w:t>
            </w:r>
          </w:p>
        </w:tc>
        <w:tc>
          <w:tcPr>
            <w:tcW w:w="1004" w:type="dxa"/>
            <w:noWrap/>
            <w:vAlign w:val="center"/>
            <w:hideMark/>
          </w:tcPr>
          <w:p w14:paraId="3E5018EA" w14:textId="77777777" w:rsidR="00D00D66" w:rsidRPr="004E3D7D" w:rsidRDefault="00D00D66" w:rsidP="001C1D27">
            <w:pPr>
              <w:jc w:val="center"/>
            </w:pPr>
            <w:r w:rsidRPr="004E3D7D">
              <w:t>TB/11</w:t>
            </w:r>
          </w:p>
        </w:tc>
        <w:tc>
          <w:tcPr>
            <w:tcW w:w="1005" w:type="dxa"/>
            <w:noWrap/>
            <w:vAlign w:val="center"/>
            <w:hideMark/>
          </w:tcPr>
          <w:p w14:paraId="21D8AAF1" w14:textId="77777777" w:rsidR="00D00D66" w:rsidRPr="004E3D7D" w:rsidRDefault="00D00D66" w:rsidP="001C1D27">
            <w:pPr>
              <w:jc w:val="center"/>
            </w:pPr>
            <w:r w:rsidRPr="004E3D7D">
              <w:t>0.011</w:t>
            </w:r>
          </w:p>
        </w:tc>
        <w:tc>
          <w:tcPr>
            <w:tcW w:w="1004" w:type="dxa"/>
            <w:noWrap/>
            <w:vAlign w:val="center"/>
            <w:hideMark/>
          </w:tcPr>
          <w:p w14:paraId="1022A28A" w14:textId="77777777" w:rsidR="00D00D66" w:rsidRPr="004E3D7D" w:rsidRDefault="00D00D66" w:rsidP="001C1D27">
            <w:pPr>
              <w:jc w:val="center"/>
            </w:pPr>
            <w:r w:rsidRPr="004E3D7D">
              <w:t>0.852</w:t>
            </w:r>
          </w:p>
        </w:tc>
        <w:tc>
          <w:tcPr>
            <w:tcW w:w="1005" w:type="dxa"/>
            <w:noWrap/>
            <w:vAlign w:val="center"/>
            <w:hideMark/>
          </w:tcPr>
          <w:p w14:paraId="1BC24A72" w14:textId="77777777" w:rsidR="00D00D66" w:rsidRDefault="00D00D66" w:rsidP="001C1D27">
            <w:pPr>
              <w:jc w:val="center"/>
            </w:pPr>
            <w:r w:rsidRPr="00E34AB8">
              <w:t>NA</w:t>
            </w:r>
          </w:p>
        </w:tc>
        <w:tc>
          <w:tcPr>
            <w:tcW w:w="1005" w:type="dxa"/>
            <w:noWrap/>
            <w:vAlign w:val="center"/>
            <w:hideMark/>
          </w:tcPr>
          <w:p w14:paraId="07AEC7BE" w14:textId="77777777" w:rsidR="00D00D66" w:rsidRDefault="00D00D66" w:rsidP="001C1D27">
            <w:pPr>
              <w:jc w:val="center"/>
            </w:pPr>
            <w:r w:rsidRPr="00A9444A">
              <w:t>NA</w:t>
            </w:r>
          </w:p>
        </w:tc>
      </w:tr>
      <w:tr w:rsidR="00D00D66" w:rsidRPr="004E3D7D" w14:paraId="4C0E35FB" w14:textId="77777777" w:rsidTr="001C1D27">
        <w:trPr>
          <w:trHeight w:val="300"/>
        </w:trPr>
        <w:tc>
          <w:tcPr>
            <w:tcW w:w="4219" w:type="dxa"/>
            <w:noWrap/>
            <w:vAlign w:val="center"/>
            <w:hideMark/>
          </w:tcPr>
          <w:p w14:paraId="1E244DCC" w14:textId="77777777" w:rsidR="00D00D66" w:rsidRPr="004E3D7D" w:rsidRDefault="00D00D66" w:rsidP="001C1D27">
            <w:r w:rsidRPr="004E3D7D">
              <w:t>Lobby Jamb Bottom</w:t>
            </w:r>
          </w:p>
        </w:tc>
        <w:tc>
          <w:tcPr>
            <w:tcW w:w="1004" w:type="dxa"/>
            <w:noWrap/>
            <w:vAlign w:val="center"/>
            <w:hideMark/>
          </w:tcPr>
          <w:p w14:paraId="71C9501E" w14:textId="77777777" w:rsidR="00D00D66" w:rsidRPr="004E3D7D" w:rsidRDefault="00D00D66" w:rsidP="001C1D27">
            <w:pPr>
              <w:jc w:val="center"/>
            </w:pPr>
            <w:r w:rsidRPr="004E3D7D">
              <w:t>TB/12</w:t>
            </w:r>
          </w:p>
        </w:tc>
        <w:tc>
          <w:tcPr>
            <w:tcW w:w="1005" w:type="dxa"/>
            <w:noWrap/>
            <w:vAlign w:val="center"/>
            <w:hideMark/>
          </w:tcPr>
          <w:p w14:paraId="531373E7" w14:textId="77777777" w:rsidR="00D00D66" w:rsidRPr="004E3D7D" w:rsidRDefault="00D00D66" w:rsidP="001C1D27">
            <w:pPr>
              <w:jc w:val="center"/>
            </w:pPr>
            <w:r w:rsidRPr="004E3D7D">
              <w:t>0.011</w:t>
            </w:r>
          </w:p>
        </w:tc>
        <w:tc>
          <w:tcPr>
            <w:tcW w:w="1004" w:type="dxa"/>
            <w:noWrap/>
            <w:vAlign w:val="center"/>
            <w:hideMark/>
          </w:tcPr>
          <w:p w14:paraId="2C523910" w14:textId="77777777" w:rsidR="00D00D66" w:rsidRPr="004E3D7D" w:rsidRDefault="00D00D66" w:rsidP="001C1D27">
            <w:pPr>
              <w:jc w:val="center"/>
            </w:pPr>
            <w:r w:rsidRPr="004E3D7D">
              <w:t>0.852</w:t>
            </w:r>
          </w:p>
        </w:tc>
        <w:tc>
          <w:tcPr>
            <w:tcW w:w="1005" w:type="dxa"/>
            <w:noWrap/>
            <w:vAlign w:val="center"/>
            <w:hideMark/>
          </w:tcPr>
          <w:p w14:paraId="6963F3FA" w14:textId="77777777" w:rsidR="00D00D66" w:rsidRDefault="00D00D66" w:rsidP="001C1D27">
            <w:pPr>
              <w:jc w:val="center"/>
            </w:pPr>
            <w:r w:rsidRPr="00E34AB8">
              <w:t>NA</w:t>
            </w:r>
          </w:p>
        </w:tc>
        <w:tc>
          <w:tcPr>
            <w:tcW w:w="1005" w:type="dxa"/>
            <w:noWrap/>
            <w:vAlign w:val="center"/>
            <w:hideMark/>
          </w:tcPr>
          <w:p w14:paraId="3A939D81" w14:textId="77777777" w:rsidR="00D00D66" w:rsidRDefault="00D00D66" w:rsidP="001C1D27">
            <w:pPr>
              <w:jc w:val="center"/>
            </w:pPr>
            <w:r w:rsidRPr="00A9444A">
              <w:t>NA</w:t>
            </w:r>
          </w:p>
        </w:tc>
      </w:tr>
      <w:tr w:rsidR="00D00D66" w:rsidRPr="004E3D7D" w14:paraId="69E2C1F0" w14:textId="77777777" w:rsidTr="001C1D27">
        <w:trPr>
          <w:trHeight w:val="300"/>
        </w:trPr>
        <w:tc>
          <w:tcPr>
            <w:tcW w:w="4219" w:type="dxa"/>
            <w:noWrap/>
            <w:vAlign w:val="center"/>
            <w:hideMark/>
          </w:tcPr>
          <w:p w14:paraId="5839A909" w14:textId="77777777" w:rsidR="00D00D66" w:rsidRPr="004E3D7D" w:rsidRDefault="00D00D66" w:rsidP="001C1D27">
            <w:r w:rsidRPr="004E3D7D">
              <w:t>Lobby Threshold at Door</w:t>
            </w:r>
          </w:p>
        </w:tc>
        <w:tc>
          <w:tcPr>
            <w:tcW w:w="1004" w:type="dxa"/>
            <w:noWrap/>
            <w:vAlign w:val="center"/>
            <w:hideMark/>
          </w:tcPr>
          <w:p w14:paraId="3716A9B8" w14:textId="77777777" w:rsidR="00D00D66" w:rsidRPr="004E3D7D" w:rsidRDefault="00D00D66" w:rsidP="001C1D27">
            <w:pPr>
              <w:jc w:val="center"/>
            </w:pPr>
            <w:r w:rsidRPr="004E3D7D">
              <w:t>TB/13</w:t>
            </w:r>
          </w:p>
        </w:tc>
        <w:tc>
          <w:tcPr>
            <w:tcW w:w="1005" w:type="dxa"/>
            <w:noWrap/>
            <w:vAlign w:val="center"/>
            <w:hideMark/>
          </w:tcPr>
          <w:p w14:paraId="7B79BD73" w14:textId="77777777" w:rsidR="00D00D66" w:rsidRPr="004E3D7D" w:rsidRDefault="00D00D66" w:rsidP="001C1D27">
            <w:pPr>
              <w:jc w:val="center"/>
            </w:pPr>
            <w:r w:rsidRPr="004E3D7D">
              <w:t>0.348</w:t>
            </w:r>
          </w:p>
        </w:tc>
        <w:tc>
          <w:tcPr>
            <w:tcW w:w="1004" w:type="dxa"/>
            <w:noWrap/>
            <w:vAlign w:val="center"/>
            <w:hideMark/>
          </w:tcPr>
          <w:p w14:paraId="0865DB2B" w14:textId="77777777" w:rsidR="00D00D66" w:rsidRPr="004E3D7D" w:rsidRDefault="00D00D66" w:rsidP="001C1D27">
            <w:pPr>
              <w:jc w:val="center"/>
            </w:pPr>
            <w:r w:rsidRPr="004E3D7D">
              <w:t>0.809</w:t>
            </w:r>
          </w:p>
        </w:tc>
        <w:tc>
          <w:tcPr>
            <w:tcW w:w="1005" w:type="dxa"/>
            <w:noWrap/>
            <w:vAlign w:val="center"/>
            <w:hideMark/>
          </w:tcPr>
          <w:p w14:paraId="4695B3CC" w14:textId="77777777" w:rsidR="00D00D66" w:rsidRDefault="00D00D66" w:rsidP="001C1D27">
            <w:pPr>
              <w:jc w:val="center"/>
            </w:pPr>
            <w:r w:rsidRPr="00E34AB8">
              <w:t>NA</w:t>
            </w:r>
          </w:p>
        </w:tc>
        <w:tc>
          <w:tcPr>
            <w:tcW w:w="1005" w:type="dxa"/>
            <w:noWrap/>
            <w:vAlign w:val="center"/>
            <w:hideMark/>
          </w:tcPr>
          <w:p w14:paraId="781F7545" w14:textId="77777777" w:rsidR="00D00D66" w:rsidRDefault="00D00D66" w:rsidP="001C1D27">
            <w:pPr>
              <w:jc w:val="center"/>
            </w:pPr>
            <w:r w:rsidRPr="00A9444A">
              <w:t>NA</w:t>
            </w:r>
          </w:p>
        </w:tc>
      </w:tr>
      <w:tr w:rsidR="00D00D66" w:rsidRPr="004E3D7D" w14:paraId="549EAB22" w14:textId="77777777" w:rsidTr="001C1D27">
        <w:trPr>
          <w:trHeight w:val="300"/>
        </w:trPr>
        <w:tc>
          <w:tcPr>
            <w:tcW w:w="4219" w:type="dxa"/>
            <w:noWrap/>
            <w:vAlign w:val="center"/>
            <w:hideMark/>
          </w:tcPr>
          <w:p w14:paraId="3B37075A" w14:textId="77777777" w:rsidR="00D00D66" w:rsidRPr="004E3D7D" w:rsidRDefault="00D00D66" w:rsidP="001C1D27">
            <w:r w:rsidRPr="004E3D7D">
              <w:t>Lobby Head</w:t>
            </w:r>
          </w:p>
        </w:tc>
        <w:tc>
          <w:tcPr>
            <w:tcW w:w="1004" w:type="dxa"/>
            <w:noWrap/>
            <w:vAlign w:val="center"/>
            <w:hideMark/>
          </w:tcPr>
          <w:p w14:paraId="4921E881" w14:textId="77777777" w:rsidR="00D00D66" w:rsidRPr="004E3D7D" w:rsidRDefault="00D00D66" w:rsidP="001C1D27">
            <w:pPr>
              <w:jc w:val="center"/>
            </w:pPr>
            <w:r w:rsidRPr="004E3D7D">
              <w:t>TB/14</w:t>
            </w:r>
          </w:p>
        </w:tc>
        <w:tc>
          <w:tcPr>
            <w:tcW w:w="1005" w:type="dxa"/>
            <w:noWrap/>
            <w:vAlign w:val="center"/>
            <w:hideMark/>
          </w:tcPr>
          <w:p w14:paraId="34E16A6A" w14:textId="77777777" w:rsidR="00D00D66" w:rsidRPr="004E3D7D" w:rsidRDefault="00D00D66" w:rsidP="001C1D27">
            <w:pPr>
              <w:jc w:val="center"/>
            </w:pPr>
            <w:r w:rsidRPr="004E3D7D">
              <w:t>0.000</w:t>
            </w:r>
          </w:p>
        </w:tc>
        <w:tc>
          <w:tcPr>
            <w:tcW w:w="1004" w:type="dxa"/>
            <w:noWrap/>
            <w:vAlign w:val="center"/>
            <w:hideMark/>
          </w:tcPr>
          <w:p w14:paraId="46BC3E46" w14:textId="77777777" w:rsidR="00D00D66" w:rsidRPr="004E3D7D" w:rsidRDefault="00D00D66" w:rsidP="001C1D27">
            <w:pPr>
              <w:jc w:val="center"/>
            </w:pPr>
            <w:r w:rsidRPr="004E3D7D">
              <w:t>0.932</w:t>
            </w:r>
          </w:p>
        </w:tc>
        <w:tc>
          <w:tcPr>
            <w:tcW w:w="1005" w:type="dxa"/>
            <w:noWrap/>
            <w:vAlign w:val="center"/>
            <w:hideMark/>
          </w:tcPr>
          <w:p w14:paraId="3EADCE22" w14:textId="77777777" w:rsidR="00D00D66" w:rsidRDefault="00D00D66" w:rsidP="001C1D27">
            <w:pPr>
              <w:jc w:val="center"/>
            </w:pPr>
            <w:r w:rsidRPr="00E34AB8">
              <w:t>NA</w:t>
            </w:r>
          </w:p>
        </w:tc>
        <w:tc>
          <w:tcPr>
            <w:tcW w:w="1005" w:type="dxa"/>
            <w:noWrap/>
            <w:vAlign w:val="center"/>
            <w:hideMark/>
          </w:tcPr>
          <w:p w14:paraId="2CC9CBDD" w14:textId="77777777" w:rsidR="00D00D66" w:rsidRDefault="00D00D66" w:rsidP="001C1D27">
            <w:pPr>
              <w:jc w:val="center"/>
            </w:pPr>
            <w:r w:rsidRPr="00A9444A">
              <w:t>NA</w:t>
            </w:r>
          </w:p>
        </w:tc>
      </w:tr>
      <w:tr w:rsidR="00D00D66" w:rsidRPr="004E3D7D" w14:paraId="0BABFF56" w14:textId="77777777" w:rsidTr="001C1D27">
        <w:trPr>
          <w:trHeight w:val="300"/>
        </w:trPr>
        <w:tc>
          <w:tcPr>
            <w:tcW w:w="4219" w:type="dxa"/>
            <w:noWrap/>
            <w:vAlign w:val="center"/>
            <w:hideMark/>
          </w:tcPr>
          <w:p w14:paraId="66182CFD" w14:textId="77777777" w:rsidR="00D00D66" w:rsidRPr="004E3D7D" w:rsidRDefault="00D00D66" w:rsidP="001C1D27">
            <w:r w:rsidRPr="004E3D7D">
              <w:t>Lobby Threshold at Shell</w:t>
            </w:r>
          </w:p>
        </w:tc>
        <w:tc>
          <w:tcPr>
            <w:tcW w:w="1004" w:type="dxa"/>
            <w:noWrap/>
            <w:vAlign w:val="center"/>
            <w:hideMark/>
          </w:tcPr>
          <w:p w14:paraId="4882C67E" w14:textId="77777777" w:rsidR="00D00D66" w:rsidRPr="004E3D7D" w:rsidRDefault="00D00D66" w:rsidP="001C1D27">
            <w:pPr>
              <w:jc w:val="center"/>
            </w:pPr>
            <w:r w:rsidRPr="004E3D7D">
              <w:t>TB/15</w:t>
            </w:r>
          </w:p>
        </w:tc>
        <w:tc>
          <w:tcPr>
            <w:tcW w:w="1005" w:type="dxa"/>
            <w:noWrap/>
            <w:vAlign w:val="center"/>
            <w:hideMark/>
          </w:tcPr>
          <w:p w14:paraId="5C05AEC8" w14:textId="77777777" w:rsidR="00D00D66" w:rsidRPr="004E3D7D" w:rsidRDefault="00D00D66" w:rsidP="001C1D27">
            <w:pPr>
              <w:jc w:val="center"/>
            </w:pPr>
            <w:r w:rsidRPr="004E3D7D">
              <w:t>0.068</w:t>
            </w:r>
          </w:p>
        </w:tc>
        <w:tc>
          <w:tcPr>
            <w:tcW w:w="1004" w:type="dxa"/>
            <w:noWrap/>
            <w:vAlign w:val="center"/>
            <w:hideMark/>
          </w:tcPr>
          <w:p w14:paraId="610F14C8" w14:textId="77777777" w:rsidR="00D00D66" w:rsidRPr="004E3D7D" w:rsidRDefault="00D00D66" w:rsidP="001C1D27">
            <w:pPr>
              <w:jc w:val="center"/>
            </w:pPr>
            <w:r w:rsidRPr="004E3D7D">
              <w:t>0.963</w:t>
            </w:r>
          </w:p>
        </w:tc>
        <w:tc>
          <w:tcPr>
            <w:tcW w:w="1005" w:type="dxa"/>
            <w:noWrap/>
            <w:vAlign w:val="center"/>
            <w:hideMark/>
          </w:tcPr>
          <w:p w14:paraId="1A9D2C9A" w14:textId="77777777" w:rsidR="00D00D66" w:rsidRDefault="00D00D66" w:rsidP="001C1D27">
            <w:pPr>
              <w:jc w:val="center"/>
            </w:pPr>
            <w:r w:rsidRPr="0006516B">
              <w:t>NA</w:t>
            </w:r>
          </w:p>
        </w:tc>
        <w:tc>
          <w:tcPr>
            <w:tcW w:w="1005" w:type="dxa"/>
            <w:noWrap/>
            <w:vAlign w:val="center"/>
            <w:hideMark/>
          </w:tcPr>
          <w:p w14:paraId="1AC4D1A9" w14:textId="77777777" w:rsidR="00D00D66" w:rsidRDefault="00D00D66" w:rsidP="001C1D27">
            <w:pPr>
              <w:jc w:val="center"/>
            </w:pPr>
            <w:r w:rsidRPr="0006516B">
              <w:t>NA</w:t>
            </w:r>
          </w:p>
        </w:tc>
      </w:tr>
      <w:tr w:rsidR="00D00D66" w:rsidRPr="004E3D7D" w14:paraId="622B58EF" w14:textId="77777777" w:rsidTr="001C1D27">
        <w:trPr>
          <w:trHeight w:val="300"/>
        </w:trPr>
        <w:tc>
          <w:tcPr>
            <w:tcW w:w="4219" w:type="dxa"/>
            <w:noWrap/>
            <w:vAlign w:val="center"/>
            <w:hideMark/>
          </w:tcPr>
          <w:p w14:paraId="606F4FE5" w14:textId="77777777" w:rsidR="00D00D66" w:rsidRPr="004E3D7D" w:rsidRDefault="00D00D66" w:rsidP="001C1D27">
            <w:r w:rsidRPr="004E3D7D">
              <w:t>Lobby Floor/External Wall</w:t>
            </w:r>
          </w:p>
        </w:tc>
        <w:tc>
          <w:tcPr>
            <w:tcW w:w="1004" w:type="dxa"/>
            <w:noWrap/>
            <w:vAlign w:val="center"/>
            <w:hideMark/>
          </w:tcPr>
          <w:p w14:paraId="2958F33D" w14:textId="77777777" w:rsidR="00D00D66" w:rsidRPr="004E3D7D" w:rsidRDefault="00D00D66" w:rsidP="001C1D27">
            <w:pPr>
              <w:jc w:val="center"/>
            </w:pPr>
            <w:r w:rsidRPr="004E3D7D">
              <w:t>TB/16</w:t>
            </w:r>
          </w:p>
        </w:tc>
        <w:tc>
          <w:tcPr>
            <w:tcW w:w="1005" w:type="dxa"/>
            <w:noWrap/>
            <w:vAlign w:val="center"/>
            <w:hideMark/>
          </w:tcPr>
          <w:p w14:paraId="547825FA" w14:textId="77777777" w:rsidR="00D00D66" w:rsidRPr="004E3D7D" w:rsidRDefault="00D00D66" w:rsidP="001C1D27">
            <w:pPr>
              <w:jc w:val="center"/>
            </w:pPr>
            <w:r w:rsidRPr="004E3D7D">
              <w:t>0.411</w:t>
            </w:r>
          </w:p>
        </w:tc>
        <w:tc>
          <w:tcPr>
            <w:tcW w:w="1004" w:type="dxa"/>
            <w:noWrap/>
            <w:vAlign w:val="center"/>
            <w:hideMark/>
          </w:tcPr>
          <w:p w14:paraId="2055D837" w14:textId="77777777" w:rsidR="00D00D66" w:rsidRPr="004E3D7D" w:rsidRDefault="00D00D66" w:rsidP="001C1D27">
            <w:pPr>
              <w:jc w:val="center"/>
            </w:pPr>
            <w:r w:rsidRPr="004E3D7D">
              <w:t>0.842</w:t>
            </w:r>
          </w:p>
        </w:tc>
        <w:tc>
          <w:tcPr>
            <w:tcW w:w="1005" w:type="dxa"/>
            <w:noWrap/>
            <w:vAlign w:val="center"/>
            <w:hideMark/>
          </w:tcPr>
          <w:p w14:paraId="18547B24" w14:textId="77777777" w:rsidR="00D00D66" w:rsidRDefault="00D00D66" w:rsidP="001C1D27">
            <w:pPr>
              <w:jc w:val="center"/>
            </w:pPr>
            <w:r w:rsidRPr="0006516B">
              <w:t>NA</w:t>
            </w:r>
          </w:p>
        </w:tc>
        <w:tc>
          <w:tcPr>
            <w:tcW w:w="1005" w:type="dxa"/>
            <w:noWrap/>
            <w:vAlign w:val="center"/>
            <w:hideMark/>
          </w:tcPr>
          <w:p w14:paraId="7C04E0A7" w14:textId="77777777" w:rsidR="00D00D66" w:rsidRDefault="00D00D66" w:rsidP="001C1D27">
            <w:pPr>
              <w:jc w:val="center"/>
            </w:pPr>
            <w:r w:rsidRPr="0006516B">
              <w:t>NA</w:t>
            </w:r>
          </w:p>
        </w:tc>
      </w:tr>
    </w:tbl>
    <w:p w14:paraId="7115E52B" w14:textId="4E5D7310" w:rsidR="00D00D66" w:rsidRDefault="00FF08A2" w:rsidP="00F0659E">
      <w:pPr>
        <w:pStyle w:val="Caption"/>
        <w:jc w:val="center"/>
      </w:pPr>
      <w:bookmarkStart w:id="12" w:name="_Ref421558864"/>
      <w:r>
        <w:t xml:space="preserve">Table </w:t>
      </w:r>
      <w:r w:rsidR="008A45D9">
        <w:fldChar w:fldCharType="begin"/>
      </w:r>
      <w:r w:rsidR="008A45D9">
        <w:instrText xml:space="preserve"> SEQ Table \* ARABIC </w:instrText>
      </w:r>
      <w:r w:rsidR="008A45D9">
        <w:fldChar w:fldCharType="separate"/>
      </w:r>
      <w:r w:rsidR="008D0405">
        <w:rPr>
          <w:noProof/>
        </w:rPr>
        <w:t>2</w:t>
      </w:r>
      <w:r w:rsidR="008A45D9">
        <w:rPr>
          <w:noProof/>
        </w:rPr>
        <w:fldChar w:fldCharType="end"/>
      </w:r>
      <w:bookmarkEnd w:id="12"/>
      <w:r>
        <w:t xml:space="preserve"> Summary of thermal bridging calculation r</w:t>
      </w:r>
      <w:r w:rsidR="00D00D66" w:rsidRPr="004E3D7D">
        <w:t>esults</w:t>
      </w:r>
      <w:r>
        <w:t>.</w:t>
      </w:r>
    </w:p>
    <w:p w14:paraId="29B326F7" w14:textId="77777777" w:rsidR="00F0659E" w:rsidRPr="00F0659E" w:rsidRDefault="00F0659E" w:rsidP="00F0659E"/>
    <w:p w14:paraId="751C33F5" w14:textId="77777777" w:rsidR="00100D1C" w:rsidRPr="00676F2E" w:rsidRDefault="00100D1C" w:rsidP="00100D1C">
      <w:pPr>
        <w:pStyle w:val="Heading1"/>
        <w:rPr>
          <w:lang w:eastAsia="en-GB"/>
        </w:rPr>
      </w:pPr>
      <w:bookmarkStart w:id="13" w:name="_Toc422233804"/>
      <w:r>
        <w:rPr>
          <w:lang w:eastAsia="en-GB"/>
        </w:rPr>
        <w:t>Dynamic thermal simulations</w:t>
      </w:r>
      <w:bookmarkEnd w:id="13"/>
    </w:p>
    <w:p w14:paraId="56024540" w14:textId="77777777" w:rsidR="00733A66" w:rsidRDefault="00100D1C" w:rsidP="00616976">
      <w:pPr>
        <w:pStyle w:val="NumPara"/>
      </w:pPr>
      <w:r w:rsidRPr="00C865F0">
        <w:t>As part of the Innovate UK Innovation Voucher,</w:t>
      </w:r>
      <w:r>
        <w:t xml:space="preserve"> two </w:t>
      </w:r>
      <w:r w:rsidR="00733A66">
        <w:t xml:space="preserve">baseline </w:t>
      </w:r>
      <w:r>
        <w:t>dynamic thermal simulations</w:t>
      </w:r>
      <w:r w:rsidR="00221C36">
        <w:t xml:space="preserve"> </w:t>
      </w:r>
      <w:r>
        <w:t>were undertaken on the prototype dwelli</w:t>
      </w:r>
      <w:r w:rsidR="00733A66">
        <w:t>ng in order to estimate the dwelling</w:t>
      </w:r>
      <w:r w:rsidR="00221C36">
        <w:t>’</w:t>
      </w:r>
      <w:r w:rsidR="00733A66">
        <w:t>s total energy consumption and determine whether there would be a risk of summertime overheating.</w:t>
      </w:r>
    </w:p>
    <w:p w14:paraId="30277CD8" w14:textId="70500855" w:rsidR="00100D1C" w:rsidRDefault="00733A66" w:rsidP="001C1D27">
      <w:pPr>
        <w:pStyle w:val="NumPara"/>
      </w:pPr>
      <w:r>
        <w:t>In b</w:t>
      </w:r>
      <w:r w:rsidR="00100D1C">
        <w:t xml:space="preserve">oth of these simulations </w:t>
      </w:r>
      <w:r>
        <w:t xml:space="preserve">it has been </w:t>
      </w:r>
      <w:r w:rsidR="00100D1C">
        <w:t xml:space="preserve">assumed that all of the space and domestic hot water heating for dwelling was provided by a gas-fired condensing </w:t>
      </w:r>
      <w:r w:rsidR="0086467C">
        <w:t xml:space="preserve">combination </w:t>
      </w:r>
      <w:r w:rsidR="00100D1C">
        <w:t>boiler and that the dwelling was mechanically ventilated using an MVHR system. In one of the simulations, a ‘normal’ 9am to 5pm working week day occupancy regime has been assumed</w:t>
      </w:r>
      <w:r w:rsidR="00221C36">
        <w:t xml:space="preserve"> (scenario 1</w:t>
      </w:r>
      <w:r w:rsidR="00C04763">
        <w:t>.1</w:t>
      </w:r>
      <w:r w:rsidR="00221C36">
        <w:t>)</w:t>
      </w:r>
      <w:r w:rsidR="00100D1C">
        <w:t xml:space="preserve"> whilst on the other simulation a home working week day oc</w:t>
      </w:r>
      <w:r w:rsidR="00616976">
        <w:t>cupancy regime has been assumed</w:t>
      </w:r>
      <w:r w:rsidR="00221C36">
        <w:t xml:space="preserve"> (scenario </w:t>
      </w:r>
      <w:r w:rsidR="00C04763">
        <w:t>1.</w:t>
      </w:r>
      <w:r w:rsidR="00221C36">
        <w:t>2)</w:t>
      </w:r>
      <w:r w:rsidR="00616976">
        <w:t>.</w:t>
      </w:r>
      <w:r w:rsidR="006665A5">
        <w:t xml:space="preserve"> In addition, as the original concept </w:t>
      </w:r>
      <w:r w:rsidR="00FD3C99">
        <w:t>design involved rotating the dwelling</w:t>
      </w:r>
      <w:r w:rsidR="006665A5" w:rsidRPr="006665A5">
        <w:t xml:space="preserve"> horizontally </w:t>
      </w:r>
      <w:r w:rsidR="001C1D27">
        <w:t xml:space="preserve">to maximise the </w:t>
      </w:r>
      <w:r w:rsidR="006665A5" w:rsidRPr="006665A5">
        <w:t>collection of solar radiation</w:t>
      </w:r>
      <w:r w:rsidR="001C1D27">
        <w:t>, both scenarios have been modelled with the building rotated at 30</w:t>
      </w:r>
      <w:r w:rsidR="001C1D27" w:rsidRPr="001C1D27">
        <w:rPr>
          <w:rFonts w:ascii="Calibri" w:hAnsi="Calibri"/>
        </w:rPr>
        <w:t>°</w:t>
      </w:r>
      <w:r w:rsidR="001C1D27">
        <w:t xml:space="preserve"> increments</w:t>
      </w:r>
      <w:r w:rsidR="006665A5" w:rsidRPr="006665A5">
        <w:t>.</w:t>
      </w:r>
      <w:r w:rsidR="001C1D27">
        <w:t xml:space="preserve"> This has been undertaken to establish if there are any energy benefits or penalties associated with rotating the building.</w:t>
      </w:r>
    </w:p>
    <w:p w14:paraId="75ED4714" w14:textId="77777777" w:rsidR="00100D1C" w:rsidRDefault="00100D1C" w:rsidP="00100D1C">
      <w:pPr>
        <w:pStyle w:val="Heading2"/>
      </w:pPr>
      <w:bookmarkStart w:id="14" w:name="_Toc422233805"/>
      <w:r>
        <w:t>Test method</w:t>
      </w:r>
      <w:bookmarkEnd w:id="14"/>
    </w:p>
    <w:p w14:paraId="2ACCB796" w14:textId="626CD382" w:rsidR="00264588" w:rsidRDefault="00264588" w:rsidP="00264588">
      <w:pPr>
        <w:pStyle w:val="NumPara"/>
      </w:pPr>
      <w:r>
        <w:t xml:space="preserve">The dynamic thermal simulations </w:t>
      </w:r>
      <w:r w:rsidR="008328B4">
        <w:t xml:space="preserve">(DTS) </w:t>
      </w:r>
      <w:r>
        <w:t>have been undertaken using Integrated Environmental Solutions (IES) Virtual Environment (VE) software version 2014.2.1.0 (IES, 2014). This software is approved for regulatory compliance energy calculations for non-domestic buildings. Simulations can be produced at hourly time-steps covering 8,760 hours of operation</w:t>
      </w:r>
      <w:r w:rsidR="004F0884">
        <w:t xml:space="preserve"> (all 365 days of the year)</w:t>
      </w:r>
      <w:r>
        <w:t>. The IES software</w:t>
      </w:r>
      <w:r w:rsidRPr="004C2C3A">
        <w:t xml:space="preserve"> is validated for use against various global standards,</w:t>
      </w:r>
      <w:r w:rsidR="004F0884">
        <w:t xml:space="preserve"> the most prominent of these being</w:t>
      </w:r>
      <w:r w:rsidRPr="004C2C3A">
        <w:t xml:space="preserve"> the Chartered Institute of Building Services Engineers (CIBSE) “TM33: Tests for Software Accreditation &amp; Verification” in the UK and the American Society of Heating, Refrigeration and Air Conditioning Engineers (ASHRAE) “Standard 140-2007: Standard method of test for the evaluation of building energy analysis computer programs” (CIBSE, 2006</w:t>
      </w:r>
      <w:r>
        <w:t>a</w:t>
      </w:r>
      <w:r w:rsidRPr="004C2C3A">
        <w:t>; ASHRAE, 2007)</w:t>
      </w:r>
      <w:r>
        <w:t>.</w:t>
      </w:r>
    </w:p>
    <w:p w14:paraId="0AABCFEF" w14:textId="4281515B" w:rsidR="00264588" w:rsidRDefault="003164B3" w:rsidP="005D4C95">
      <w:pPr>
        <w:pStyle w:val="NumPara"/>
      </w:pPr>
      <w:r>
        <w:lastRenderedPageBreak/>
        <w:t>Two</w:t>
      </w:r>
      <w:r w:rsidR="00264588">
        <w:t xml:space="preserve"> simulation weather file</w:t>
      </w:r>
      <w:r>
        <w:t>s for the Leeds area have been</w:t>
      </w:r>
      <w:r w:rsidR="00264588">
        <w:t xml:space="preserve"> used </w:t>
      </w:r>
      <w:r w:rsidR="005D4C95">
        <w:t>for this analysis; t</w:t>
      </w:r>
      <w:r w:rsidR="00264588">
        <w:t>he CIBSE Test Reference Year (TR</w:t>
      </w:r>
      <w:r w:rsidR="005D4C95">
        <w:t>Y) and Design Summer Year (DSY). These files were chosen for two reasons. First of all, they are</w:t>
      </w:r>
      <w:r w:rsidR="00264588">
        <w:t xml:space="preserve"> approved for use in non-domestic building Part L regulatory compliance calculations (CIBSE, 2006b)</w:t>
      </w:r>
      <w:r w:rsidR="005D4C95">
        <w:t xml:space="preserve">. Secondly, they are the closest approved weather files that are available to the proposed location of the prototype dwelling. </w:t>
      </w:r>
      <w:r w:rsidR="00264588">
        <w:t>The TRY files are used to estimate annual en</w:t>
      </w:r>
      <w:r w:rsidR="004F0884">
        <w:t>ergy and thermal performance, whilst</w:t>
      </w:r>
      <w:r w:rsidR="00264588">
        <w:t xml:space="preserve"> the DSY files are used to evaluate summer overhea</w:t>
      </w:r>
      <w:r w:rsidR="00557716">
        <w:t>ting. The TRY files are created</w:t>
      </w:r>
      <w:r w:rsidR="00264588">
        <w:t xml:space="preserve"> using actual weather data from a twenty year period, with the most average month for each month </w:t>
      </w:r>
      <w:r w:rsidR="004F0884">
        <w:t xml:space="preserve">being </w:t>
      </w:r>
      <w:r w:rsidR="005D4C95">
        <w:t>incorporated within</w:t>
      </w:r>
      <w:r w:rsidR="00264588">
        <w:t xml:space="preserve"> the simulation file. A similar method is used for the DSY files</w:t>
      </w:r>
      <w:r w:rsidR="00557716">
        <w:t>,</w:t>
      </w:r>
      <w:r w:rsidR="00264588">
        <w:t xml:space="preserve"> but these are </w:t>
      </w:r>
      <w:r w:rsidR="004F0884">
        <w:t xml:space="preserve">based upon </w:t>
      </w:r>
      <w:r w:rsidR="00264588">
        <w:t>the hott</w:t>
      </w:r>
      <w:r w:rsidR="004F0884">
        <w:t>est months from the data set covering the period</w:t>
      </w:r>
      <w:r w:rsidR="00264588">
        <w:t xml:space="preserve"> April – September inclusive</w:t>
      </w:r>
      <w:r w:rsidR="004F0884">
        <w:t>. T</w:t>
      </w:r>
      <w:r w:rsidR="005D4C95">
        <w:t xml:space="preserve">he </w:t>
      </w:r>
      <w:r w:rsidR="004F0884">
        <w:t xml:space="preserve">DSY </w:t>
      </w:r>
      <w:r w:rsidR="005D4C95">
        <w:t xml:space="preserve">file is used </w:t>
      </w:r>
      <w:r w:rsidR="00221C36">
        <w:t>to simulate heat wave conditions</w:t>
      </w:r>
      <w:r w:rsidR="00264588">
        <w:t xml:space="preserve"> </w:t>
      </w:r>
    </w:p>
    <w:p w14:paraId="5A6A66BC" w14:textId="1E2807C7" w:rsidR="00264588" w:rsidRDefault="00264588" w:rsidP="006F490F">
      <w:pPr>
        <w:pStyle w:val="NumPara"/>
      </w:pPr>
      <w:r>
        <w:t>The model geometry is based upon the drawings provided by the client shown in</w:t>
      </w:r>
      <w:r w:rsidR="005D4C95">
        <w:t xml:space="preserve"> </w:t>
      </w:r>
      <w:r w:rsidR="005D4C95">
        <w:fldChar w:fldCharType="begin"/>
      </w:r>
      <w:r w:rsidR="005D4C95">
        <w:instrText xml:space="preserve"> REF _Ref421549043 \h </w:instrText>
      </w:r>
      <w:r w:rsidR="005D4C95">
        <w:fldChar w:fldCharType="separate"/>
      </w:r>
      <w:r w:rsidR="005D4C95">
        <w:t xml:space="preserve">Figure </w:t>
      </w:r>
      <w:r w:rsidR="005D4C95">
        <w:rPr>
          <w:noProof/>
        </w:rPr>
        <w:t>2</w:t>
      </w:r>
      <w:r w:rsidR="005D4C95">
        <w:fldChar w:fldCharType="end"/>
      </w:r>
      <w:r>
        <w:t xml:space="preserve">. </w:t>
      </w:r>
      <w:r w:rsidR="005D4C95">
        <w:t>Unfortunately, i</w:t>
      </w:r>
      <w:r>
        <w:t xml:space="preserve">t is not possible to produce a fully </w:t>
      </w:r>
      <w:r w:rsidR="005D4C95">
        <w:t>curved sphere using the IES VE</w:t>
      </w:r>
      <w:r>
        <w:t xml:space="preserve"> software. </w:t>
      </w:r>
      <w:r w:rsidR="00385D30">
        <w:t xml:space="preserve">Consequently, </w:t>
      </w:r>
      <w:r>
        <w:t xml:space="preserve">a </w:t>
      </w:r>
      <w:r w:rsidR="00385D30">
        <w:t xml:space="preserve">fully </w:t>
      </w:r>
      <w:r>
        <w:t xml:space="preserve">faceted sphere </w:t>
      </w:r>
      <w:r w:rsidR="00385D30">
        <w:t>has been used to represent the geometry of the prototype dwelling</w:t>
      </w:r>
      <w:r>
        <w:t xml:space="preserve">. The resultant geometry used in the </w:t>
      </w:r>
      <w:r w:rsidR="00385D30">
        <w:t xml:space="preserve">IES VE </w:t>
      </w:r>
      <w:r>
        <w:t>so</w:t>
      </w:r>
      <w:r w:rsidR="00385D30">
        <w:t xml:space="preserve">ftware is visualised in </w:t>
      </w:r>
      <w:r w:rsidR="00385D30">
        <w:fldChar w:fldCharType="begin"/>
      </w:r>
      <w:r w:rsidR="00385D30">
        <w:instrText xml:space="preserve"> REF _Ref422215821 \h </w:instrText>
      </w:r>
      <w:r w:rsidR="00385D30">
        <w:fldChar w:fldCharType="separate"/>
      </w:r>
      <w:r w:rsidR="00385D30">
        <w:t xml:space="preserve">Figure </w:t>
      </w:r>
      <w:r w:rsidR="00385D30">
        <w:rPr>
          <w:noProof/>
        </w:rPr>
        <w:t>3</w:t>
      </w:r>
      <w:r w:rsidR="00385D30">
        <w:fldChar w:fldCharType="end"/>
      </w:r>
      <w:r>
        <w:t>.</w:t>
      </w:r>
    </w:p>
    <w:p w14:paraId="392D60EA" w14:textId="063EC806" w:rsidR="00264588" w:rsidRDefault="00264588" w:rsidP="00264588">
      <w:pPr>
        <w:pStyle w:val="NumPara"/>
        <w:numPr>
          <w:ilvl w:val="0"/>
          <w:numId w:val="0"/>
        </w:numPr>
      </w:pPr>
      <w:r>
        <w:rPr>
          <w:noProof/>
          <w:lang w:eastAsia="en-GB"/>
        </w:rPr>
        <w:drawing>
          <wp:inline distT="0" distB="0" distL="0" distR="0" wp14:anchorId="6E4AC0C4" wp14:editId="44D21C69">
            <wp:extent cx="5940425" cy="312633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126339"/>
                    </a:xfrm>
                    <a:prstGeom prst="rect">
                      <a:avLst/>
                    </a:prstGeom>
                  </pic:spPr>
                </pic:pic>
              </a:graphicData>
            </a:graphic>
          </wp:inline>
        </w:drawing>
      </w:r>
    </w:p>
    <w:p w14:paraId="1CEBD3D7" w14:textId="30D1245D" w:rsidR="00264588" w:rsidRDefault="00385D30" w:rsidP="00385D30">
      <w:pPr>
        <w:pStyle w:val="Caption"/>
        <w:jc w:val="center"/>
        <w:rPr>
          <w:b w:val="0"/>
        </w:rPr>
      </w:pPr>
      <w:bookmarkStart w:id="15" w:name="_Ref422215821"/>
      <w:r>
        <w:t xml:space="preserve">Figure </w:t>
      </w:r>
      <w:r w:rsidR="008A45D9">
        <w:fldChar w:fldCharType="begin"/>
      </w:r>
      <w:r w:rsidR="008A45D9">
        <w:instrText xml:space="preserve"> SEQ Figure \* ARABIC </w:instrText>
      </w:r>
      <w:r w:rsidR="008A45D9">
        <w:fldChar w:fldCharType="separate"/>
      </w:r>
      <w:r w:rsidR="00144E48">
        <w:rPr>
          <w:noProof/>
        </w:rPr>
        <w:t>3</w:t>
      </w:r>
      <w:r w:rsidR="008A45D9">
        <w:rPr>
          <w:noProof/>
        </w:rPr>
        <w:fldChar w:fldCharType="end"/>
      </w:r>
      <w:bookmarkEnd w:id="15"/>
      <w:r w:rsidRPr="00385D30">
        <w:t xml:space="preserve"> </w:t>
      </w:r>
      <w:r w:rsidR="00264588" w:rsidRPr="00385D30">
        <w:t xml:space="preserve">Example image of </w:t>
      </w:r>
      <w:r w:rsidR="008328B4">
        <w:t xml:space="preserve">the </w:t>
      </w:r>
      <w:r w:rsidR="00264588" w:rsidRPr="00385D30">
        <w:t>geometry used in the DTS models.</w:t>
      </w:r>
    </w:p>
    <w:p w14:paraId="1E2AA8FD" w14:textId="77777777" w:rsidR="00264588" w:rsidRPr="002D526F" w:rsidRDefault="00264588" w:rsidP="00264588">
      <w:pPr>
        <w:pStyle w:val="NumPara"/>
        <w:numPr>
          <w:ilvl w:val="0"/>
          <w:numId w:val="0"/>
        </w:numPr>
        <w:jc w:val="center"/>
        <w:rPr>
          <w:b/>
        </w:rPr>
      </w:pPr>
    </w:p>
    <w:p w14:paraId="65A1A921" w14:textId="77777777" w:rsidR="00264588" w:rsidRDefault="00264588" w:rsidP="00264588">
      <w:pPr>
        <w:pStyle w:val="NumPara"/>
      </w:pPr>
      <w:r>
        <w:t xml:space="preserve">There are five main zone types used in the model which use shared thermal templates. The contents of these templates are described in the following paragraphs. The five zone types are: bathrooms, bedrooms, circulation space, kitchen and lounge (also used for the study). </w:t>
      </w:r>
    </w:p>
    <w:p w14:paraId="05E2522D" w14:textId="20FDC6F6" w:rsidR="00264588" w:rsidRDefault="00264588" w:rsidP="00ED66A2">
      <w:pPr>
        <w:pStyle w:val="NumPara"/>
      </w:pPr>
      <w:r>
        <w:t xml:space="preserve">Internal heat gains and </w:t>
      </w:r>
      <w:r w:rsidR="00564DD8">
        <w:t xml:space="preserve">the </w:t>
      </w:r>
      <w:r>
        <w:t>associated operating schedules are based upon those specified in the National Calculation Method</w:t>
      </w:r>
      <w:r w:rsidR="00564DD8">
        <w:t xml:space="preserve">ology (NCM) </w:t>
      </w:r>
      <w:r>
        <w:t xml:space="preserve">database for domestic occupancy. </w:t>
      </w:r>
      <w:r w:rsidR="00564DD8">
        <w:t xml:space="preserve">The NCM underpins the calculation method used in both </w:t>
      </w:r>
      <w:r w:rsidR="00564DD8" w:rsidRPr="00564DD8">
        <w:t>SAP a</w:t>
      </w:r>
      <w:r w:rsidR="00564DD8">
        <w:t xml:space="preserve">nd the non-domestic alternative. </w:t>
      </w:r>
      <w:r>
        <w:t xml:space="preserve">The occupancy schedules for </w:t>
      </w:r>
      <w:r w:rsidR="00E94F39">
        <w:t>scenario 1 are illustrated</w:t>
      </w:r>
      <w:r w:rsidR="00564DD8">
        <w:t xml:space="preserve"> in </w:t>
      </w:r>
      <w:r w:rsidR="00564DD8" w:rsidRPr="00564DD8">
        <w:fldChar w:fldCharType="begin"/>
      </w:r>
      <w:r w:rsidR="00564DD8" w:rsidRPr="00564DD8">
        <w:instrText xml:space="preserve"> REF _Ref422216220 \h  \* MERGEFORMAT </w:instrText>
      </w:r>
      <w:r w:rsidR="00564DD8" w:rsidRPr="00564DD8">
        <w:fldChar w:fldCharType="separate"/>
      </w:r>
      <w:r w:rsidR="00564DD8" w:rsidRPr="00564DD8">
        <w:t xml:space="preserve">Figure </w:t>
      </w:r>
      <w:r w:rsidR="00564DD8" w:rsidRPr="00564DD8">
        <w:rPr>
          <w:noProof/>
        </w:rPr>
        <w:t>4</w:t>
      </w:r>
      <w:r w:rsidR="00564DD8" w:rsidRPr="00564DD8">
        <w:fldChar w:fldCharType="end"/>
      </w:r>
      <w:r w:rsidR="00083CC3">
        <w:t>. The heating schedules have also been</w:t>
      </w:r>
      <w:r>
        <w:t xml:space="preserve"> </w:t>
      </w:r>
      <w:r w:rsidR="00083CC3">
        <w:t xml:space="preserve">assumed to </w:t>
      </w:r>
      <w:r>
        <w:t>f</w:t>
      </w:r>
      <w:r w:rsidR="00083CC3">
        <w:t xml:space="preserve">ollow these occupancy patterns. </w:t>
      </w:r>
      <w:r>
        <w:t xml:space="preserve">As the NCM input data is meant for use in much larger </w:t>
      </w:r>
      <w:r w:rsidR="00E94F39">
        <w:t xml:space="preserve">non-domestic </w:t>
      </w:r>
      <w:r>
        <w:t>buildings, an occupant density of 4m</w:t>
      </w:r>
      <w:r w:rsidRPr="00083CC3">
        <w:rPr>
          <w:vertAlign w:val="superscript"/>
        </w:rPr>
        <w:t>2</w:t>
      </w:r>
      <w:r>
        <w:t>/person is normally used. However, this would be unrealistic in this instance</w:t>
      </w:r>
      <w:r w:rsidR="00083CC3">
        <w:t>.</w:t>
      </w:r>
      <w:r w:rsidR="00ED66A2">
        <w:t xml:space="preserve"> </w:t>
      </w:r>
      <w:r w:rsidR="00083CC3">
        <w:t>I</w:t>
      </w:r>
      <w:r>
        <w:t>t has therefore been assumed that one person would be in each space for a fraction of the occupied hours as pe</w:t>
      </w:r>
      <w:r w:rsidR="00ED66A2">
        <w:t xml:space="preserve">r the schedule shown in </w:t>
      </w:r>
      <w:r w:rsidR="00ED66A2" w:rsidRPr="00ED66A2">
        <w:fldChar w:fldCharType="begin"/>
      </w:r>
      <w:r w:rsidR="00ED66A2" w:rsidRPr="00ED66A2">
        <w:instrText xml:space="preserve"> REF _Ref422216220 \h  \* MERGEFORMAT </w:instrText>
      </w:r>
      <w:r w:rsidR="00ED66A2" w:rsidRPr="00ED66A2">
        <w:fldChar w:fldCharType="separate"/>
      </w:r>
      <w:r w:rsidR="00ED66A2" w:rsidRPr="00ED66A2">
        <w:t xml:space="preserve">Figure </w:t>
      </w:r>
      <w:r w:rsidR="00ED66A2" w:rsidRPr="00ED66A2">
        <w:rPr>
          <w:noProof/>
        </w:rPr>
        <w:t>4</w:t>
      </w:r>
      <w:r w:rsidR="00ED66A2" w:rsidRPr="00ED66A2">
        <w:fldChar w:fldCharType="end"/>
      </w:r>
      <w:r>
        <w:t>. It should be noted that when using a ‘fraction’ of a person this merely relates to them being in the space for some of the hour and not for example half a person in the room for a full hour. In the model</w:t>
      </w:r>
      <w:r w:rsidR="00564DD8">
        <w:t>,</w:t>
      </w:r>
      <w:r>
        <w:t xml:space="preserve"> people are represented as a heat gain. It is assumed that all occupants are adults and account for 70 W/m</w:t>
      </w:r>
      <w:r w:rsidRPr="00ED66A2">
        <w:rPr>
          <w:vertAlign w:val="superscript"/>
        </w:rPr>
        <w:t>2</w:t>
      </w:r>
      <w:r>
        <w:t xml:space="preserve"> of sensible and 70 W/m</w:t>
      </w:r>
      <w:r w:rsidRPr="00ED66A2">
        <w:rPr>
          <w:vertAlign w:val="superscript"/>
        </w:rPr>
        <w:t>2</w:t>
      </w:r>
      <w:r>
        <w:t xml:space="preserve"> of latent heat gain.</w:t>
      </w:r>
    </w:p>
    <w:p w14:paraId="56772D23" w14:textId="77777777" w:rsidR="00264588" w:rsidRDefault="00264588" w:rsidP="00264588">
      <w:pPr>
        <w:pStyle w:val="NumPara"/>
        <w:numPr>
          <w:ilvl w:val="0"/>
          <w:numId w:val="0"/>
        </w:numPr>
        <w:jc w:val="center"/>
      </w:pPr>
    </w:p>
    <w:p w14:paraId="142139FA" w14:textId="6D04986C" w:rsidR="00264588" w:rsidRPr="00564DD8" w:rsidRDefault="00264588" w:rsidP="00564DD8">
      <w:pPr>
        <w:pStyle w:val="NumPara"/>
        <w:numPr>
          <w:ilvl w:val="0"/>
          <w:numId w:val="0"/>
        </w:numPr>
        <w:jc w:val="center"/>
      </w:pPr>
      <w:r>
        <w:rPr>
          <w:noProof/>
          <w:lang w:eastAsia="en-GB"/>
        </w:rPr>
        <w:lastRenderedPageBreak/>
        <w:drawing>
          <wp:inline distT="0" distB="0" distL="0" distR="0" wp14:anchorId="4B98AFB3" wp14:editId="3B9951C6">
            <wp:extent cx="5719313" cy="374386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B9D6FA" w14:textId="081F273A" w:rsidR="00264588" w:rsidRPr="00ED66A2" w:rsidRDefault="00ED66A2" w:rsidP="00ED66A2">
      <w:pPr>
        <w:pStyle w:val="Caption"/>
        <w:jc w:val="center"/>
      </w:pPr>
      <w:bookmarkStart w:id="16" w:name="_Ref422220452"/>
      <w:r w:rsidRPr="00ED66A2">
        <w:t xml:space="preserve">Figure </w:t>
      </w:r>
      <w:r w:rsidR="008A45D9">
        <w:fldChar w:fldCharType="begin"/>
      </w:r>
      <w:r w:rsidR="008A45D9">
        <w:instrText xml:space="preserve"> SEQ Figure \* ARABIC </w:instrText>
      </w:r>
      <w:r w:rsidR="008A45D9">
        <w:fldChar w:fldCharType="separate"/>
      </w:r>
      <w:r w:rsidR="00144E48">
        <w:rPr>
          <w:noProof/>
        </w:rPr>
        <w:t>4</w:t>
      </w:r>
      <w:r w:rsidR="008A45D9">
        <w:rPr>
          <w:noProof/>
        </w:rPr>
        <w:fldChar w:fldCharType="end"/>
      </w:r>
      <w:bookmarkEnd w:id="16"/>
      <w:r w:rsidRPr="00ED66A2">
        <w:t xml:space="preserve"> </w:t>
      </w:r>
      <w:r w:rsidR="00264588" w:rsidRPr="00ED66A2">
        <w:t>Occupancy schedules used in the thermal analysis.</w:t>
      </w:r>
    </w:p>
    <w:p w14:paraId="497926A3" w14:textId="77777777" w:rsidR="00264588" w:rsidRDefault="00264588" w:rsidP="00264588">
      <w:pPr>
        <w:pStyle w:val="NumPara"/>
        <w:numPr>
          <w:ilvl w:val="0"/>
          <w:numId w:val="0"/>
        </w:numPr>
        <w:ind w:left="567"/>
      </w:pPr>
    </w:p>
    <w:p w14:paraId="47CC11AF" w14:textId="04ECF447" w:rsidR="00264588" w:rsidRDefault="00264588" w:rsidP="00167E57">
      <w:pPr>
        <w:pStyle w:val="NumPara"/>
      </w:pPr>
      <w:r>
        <w:t>Other internal heat gains come from equipment and lighting. These also operate on the same schedules as the occu</w:t>
      </w:r>
      <w:r w:rsidR="00ED66A2">
        <w:t>pancy shown in</w:t>
      </w:r>
      <w:r w:rsidR="00C04763">
        <w:t xml:space="preserve"> </w:t>
      </w:r>
      <w:r w:rsidR="00C04763">
        <w:fldChar w:fldCharType="begin"/>
      </w:r>
      <w:r w:rsidR="00C04763">
        <w:instrText xml:space="preserve"> REF _Ref422220452 \h </w:instrText>
      </w:r>
      <w:r w:rsidR="00C04763">
        <w:fldChar w:fldCharType="separate"/>
      </w:r>
      <w:r w:rsidR="00C04763" w:rsidRPr="00ED66A2">
        <w:t xml:space="preserve">Figure </w:t>
      </w:r>
      <w:r w:rsidR="00C04763" w:rsidRPr="00ED66A2">
        <w:rPr>
          <w:noProof/>
        </w:rPr>
        <w:t>4</w:t>
      </w:r>
      <w:r w:rsidR="00C04763">
        <w:fldChar w:fldCharType="end"/>
      </w:r>
      <w:r>
        <w:t xml:space="preserve">. There are however different standard lighting levels </w:t>
      </w:r>
      <w:r w:rsidR="00C04763">
        <w:t xml:space="preserve">and different types of equipment </w:t>
      </w:r>
      <w:r>
        <w:t>in</w:t>
      </w:r>
      <w:r w:rsidR="00C04763">
        <w:t xml:space="preserve">stalled within each space, resulting in different </w:t>
      </w:r>
      <w:r w:rsidR="00167E57">
        <w:t xml:space="preserve">levels of </w:t>
      </w:r>
      <w:r w:rsidR="00C04763">
        <w:t>internal heat gains</w:t>
      </w:r>
      <w:r>
        <w:t>. A summary of t</w:t>
      </w:r>
      <w:r w:rsidR="00C04763">
        <w:t xml:space="preserve">he heat gains associated with each zone type is contained within </w:t>
      </w:r>
      <w:r w:rsidR="00C04763">
        <w:fldChar w:fldCharType="begin"/>
      </w:r>
      <w:r w:rsidR="00C04763">
        <w:instrText xml:space="preserve"> REF _Ref422220598 \h </w:instrText>
      </w:r>
      <w:r w:rsidR="00C04763">
        <w:fldChar w:fldCharType="separate"/>
      </w:r>
      <w:r w:rsidR="00C04763">
        <w:t xml:space="preserve">Table </w:t>
      </w:r>
      <w:r w:rsidR="00C04763">
        <w:rPr>
          <w:noProof/>
        </w:rPr>
        <w:t>3</w:t>
      </w:r>
      <w:r w:rsidR="00C04763">
        <w:fldChar w:fldCharType="end"/>
      </w:r>
      <w:r w:rsidR="00C04763">
        <w:t>. The lighting heat gains</w:t>
      </w:r>
      <w:r>
        <w:t xml:space="preserve"> a</w:t>
      </w:r>
      <w:r w:rsidR="00C04763">
        <w:t>re based upon</w:t>
      </w:r>
      <w:r>
        <w:t xml:space="preserve"> default NCM values for low-energy lighting. The model used for scenario </w:t>
      </w:r>
      <w:r w:rsidR="00C04763">
        <w:t>1.</w:t>
      </w:r>
      <w:r>
        <w:t>2</w:t>
      </w:r>
      <w:r w:rsidR="00167E57">
        <w:t xml:space="preserve"> uses identical heat gain inputs</w:t>
      </w:r>
      <w:r>
        <w:t xml:space="preserve"> but has occupancy, equipment and lighting operations beginning at 10:00am in both the lounge and study areas. </w:t>
      </w:r>
    </w:p>
    <w:p w14:paraId="7ACF3193" w14:textId="77777777" w:rsidR="00264588" w:rsidRDefault="00264588" w:rsidP="00264588">
      <w:pPr>
        <w:pStyle w:val="NumPara"/>
        <w:numPr>
          <w:ilvl w:val="0"/>
          <w:numId w:val="0"/>
        </w:numPr>
        <w:ind w:left="567"/>
      </w:pPr>
    </w:p>
    <w:tbl>
      <w:tblPr>
        <w:tblStyle w:val="TableGrid"/>
        <w:tblW w:w="0" w:type="auto"/>
        <w:tblInd w:w="108" w:type="dxa"/>
        <w:tblLook w:val="04A0" w:firstRow="1" w:lastRow="0" w:firstColumn="1" w:lastColumn="0" w:noHBand="0" w:noVBand="1"/>
      </w:tblPr>
      <w:tblGrid>
        <w:gridCol w:w="1985"/>
        <w:gridCol w:w="2410"/>
        <w:gridCol w:w="2428"/>
        <w:gridCol w:w="2249"/>
      </w:tblGrid>
      <w:tr w:rsidR="00264588" w14:paraId="63C3198D" w14:textId="77777777" w:rsidTr="00C04763">
        <w:tc>
          <w:tcPr>
            <w:tcW w:w="1985" w:type="dxa"/>
          </w:tcPr>
          <w:p w14:paraId="79ADCDC8" w14:textId="77777777" w:rsidR="00264588" w:rsidRDefault="00264588" w:rsidP="008C717F">
            <w:pPr>
              <w:jc w:val="center"/>
            </w:pPr>
          </w:p>
        </w:tc>
        <w:tc>
          <w:tcPr>
            <w:tcW w:w="2410" w:type="dxa"/>
          </w:tcPr>
          <w:p w14:paraId="1BBC7BC0" w14:textId="77777777" w:rsidR="00264588" w:rsidRDefault="00264588" w:rsidP="008C717F">
            <w:pPr>
              <w:jc w:val="center"/>
            </w:pPr>
            <w:r>
              <w:t>Equipment W/m</w:t>
            </w:r>
            <w:r w:rsidRPr="00C341FF">
              <w:rPr>
                <w:vertAlign w:val="superscript"/>
              </w:rPr>
              <w:t>2</w:t>
            </w:r>
          </w:p>
        </w:tc>
        <w:tc>
          <w:tcPr>
            <w:tcW w:w="2428" w:type="dxa"/>
          </w:tcPr>
          <w:p w14:paraId="28E44599" w14:textId="77777777" w:rsidR="00264588" w:rsidRDefault="00264588" w:rsidP="008C717F">
            <w:pPr>
              <w:jc w:val="center"/>
            </w:pPr>
            <w:r>
              <w:t>Lighting W/m</w:t>
            </w:r>
            <w:r w:rsidRPr="00C341FF">
              <w:rPr>
                <w:vertAlign w:val="superscript"/>
              </w:rPr>
              <w:t>2</w:t>
            </w:r>
            <w:r>
              <w:t>/(100lux)</w:t>
            </w:r>
          </w:p>
        </w:tc>
        <w:tc>
          <w:tcPr>
            <w:tcW w:w="2249" w:type="dxa"/>
          </w:tcPr>
          <w:p w14:paraId="584ED80C" w14:textId="77777777" w:rsidR="00264588" w:rsidRDefault="00264588" w:rsidP="008C717F">
            <w:pPr>
              <w:jc w:val="center"/>
            </w:pPr>
            <w:r>
              <w:t>Lux level</w:t>
            </w:r>
          </w:p>
        </w:tc>
      </w:tr>
      <w:tr w:rsidR="00264588" w14:paraId="74122A04" w14:textId="77777777" w:rsidTr="00C04763">
        <w:tc>
          <w:tcPr>
            <w:tcW w:w="1985" w:type="dxa"/>
          </w:tcPr>
          <w:p w14:paraId="4EB82438" w14:textId="77777777" w:rsidR="00264588" w:rsidRDefault="00264588" w:rsidP="008C717F">
            <w:r>
              <w:t>Bathrooms</w:t>
            </w:r>
          </w:p>
        </w:tc>
        <w:tc>
          <w:tcPr>
            <w:tcW w:w="2410" w:type="dxa"/>
          </w:tcPr>
          <w:p w14:paraId="095244B3" w14:textId="77777777" w:rsidR="00264588" w:rsidRDefault="00264588" w:rsidP="008C717F">
            <w:pPr>
              <w:jc w:val="center"/>
            </w:pPr>
            <w:r>
              <w:t>1.67</w:t>
            </w:r>
          </w:p>
        </w:tc>
        <w:tc>
          <w:tcPr>
            <w:tcW w:w="2428" w:type="dxa"/>
          </w:tcPr>
          <w:p w14:paraId="34223E07" w14:textId="77777777" w:rsidR="00264588" w:rsidRDefault="00264588" w:rsidP="008C717F">
            <w:pPr>
              <w:jc w:val="center"/>
            </w:pPr>
            <w:r>
              <w:t>5.20</w:t>
            </w:r>
          </w:p>
        </w:tc>
        <w:tc>
          <w:tcPr>
            <w:tcW w:w="2249" w:type="dxa"/>
          </w:tcPr>
          <w:p w14:paraId="20B25276" w14:textId="77777777" w:rsidR="00264588" w:rsidRDefault="00264588" w:rsidP="008C717F">
            <w:pPr>
              <w:jc w:val="center"/>
            </w:pPr>
            <w:r>
              <w:t>150</w:t>
            </w:r>
          </w:p>
        </w:tc>
      </w:tr>
      <w:tr w:rsidR="00264588" w14:paraId="53C04277" w14:textId="77777777" w:rsidTr="00C04763">
        <w:tc>
          <w:tcPr>
            <w:tcW w:w="1985" w:type="dxa"/>
          </w:tcPr>
          <w:p w14:paraId="77E2E1A6" w14:textId="77777777" w:rsidR="00264588" w:rsidRDefault="00264588" w:rsidP="008C717F">
            <w:r>
              <w:t>Bedrooms</w:t>
            </w:r>
          </w:p>
        </w:tc>
        <w:tc>
          <w:tcPr>
            <w:tcW w:w="2410" w:type="dxa"/>
          </w:tcPr>
          <w:p w14:paraId="55F7836E" w14:textId="77777777" w:rsidR="00264588" w:rsidRDefault="00264588" w:rsidP="008C717F">
            <w:pPr>
              <w:jc w:val="center"/>
            </w:pPr>
            <w:r>
              <w:t>3.58</w:t>
            </w:r>
          </w:p>
        </w:tc>
        <w:tc>
          <w:tcPr>
            <w:tcW w:w="2428" w:type="dxa"/>
          </w:tcPr>
          <w:p w14:paraId="137A02FB" w14:textId="77777777" w:rsidR="00264588" w:rsidRDefault="00264588" w:rsidP="008C717F">
            <w:pPr>
              <w:jc w:val="center"/>
            </w:pPr>
            <w:r>
              <w:t>5.20</w:t>
            </w:r>
          </w:p>
        </w:tc>
        <w:tc>
          <w:tcPr>
            <w:tcW w:w="2249" w:type="dxa"/>
          </w:tcPr>
          <w:p w14:paraId="4AD11FDD" w14:textId="77777777" w:rsidR="00264588" w:rsidRDefault="00264588" w:rsidP="008C717F">
            <w:pPr>
              <w:jc w:val="center"/>
            </w:pPr>
            <w:r>
              <w:t>100</w:t>
            </w:r>
          </w:p>
        </w:tc>
      </w:tr>
      <w:tr w:rsidR="00264588" w14:paraId="18A98E34" w14:textId="77777777" w:rsidTr="00C04763">
        <w:tc>
          <w:tcPr>
            <w:tcW w:w="1985" w:type="dxa"/>
          </w:tcPr>
          <w:p w14:paraId="11C2BFA0" w14:textId="77777777" w:rsidR="00264588" w:rsidRDefault="00264588" w:rsidP="008C717F">
            <w:r>
              <w:t>Circulation</w:t>
            </w:r>
          </w:p>
        </w:tc>
        <w:tc>
          <w:tcPr>
            <w:tcW w:w="2410" w:type="dxa"/>
          </w:tcPr>
          <w:p w14:paraId="773E2248" w14:textId="77777777" w:rsidR="00264588" w:rsidRDefault="00264588" w:rsidP="008C717F">
            <w:pPr>
              <w:jc w:val="center"/>
            </w:pPr>
            <w:r>
              <w:t>1.57</w:t>
            </w:r>
          </w:p>
        </w:tc>
        <w:tc>
          <w:tcPr>
            <w:tcW w:w="2428" w:type="dxa"/>
          </w:tcPr>
          <w:p w14:paraId="25B61719" w14:textId="77777777" w:rsidR="00264588" w:rsidRDefault="00264588" w:rsidP="008C717F">
            <w:pPr>
              <w:jc w:val="center"/>
            </w:pPr>
            <w:r>
              <w:t>5.20</w:t>
            </w:r>
          </w:p>
        </w:tc>
        <w:tc>
          <w:tcPr>
            <w:tcW w:w="2249" w:type="dxa"/>
          </w:tcPr>
          <w:p w14:paraId="55A0E622" w14:textId="77777777" w:rsidR="00264588" w:rsidRDefault="00264588" w:rsidP="008C717F">
            <w:pPr>
              <w:jc w:val="center"/>
            </w:pPr>
            <w:r>
              <w:t>100</w:t>
            </w:r>
          </w:p>
        </w:tc>
      </w:tr>
      <w:tr w:rsidR="00264588" w14:paraId="216F5DBF" w14:textId="77777777" w:rsidTr="00C04763">
        <w:tc>
          <w:tcPr>
            <w:tcW w:w="1985" w:type="dxa"/>
          </w:tcPr>
          <w:p w14:paraId="3BC1314A" w14:textId="77777777" w:rsidR="00264588" w:rsidRDefault="00264588" w:rsidP="008C717F">
            <w:r>
              <w:t>Kitchen</w:t>
            </w:r>
          </w:p>
        </w:tc>
        <w:tc>
          <w:tcPr>
            <w:tcW w:w="2410" w:type="dxa"/>
          </w:tcPr>
          <w:p w14:paraId="7D8CB9E6" w14:textId="77777777" w:rsidR="00264588" w:rsidRDefault="00264588" w:rsidP="008C717F">
            <w:pPr>
              <w:jc w:val="center"/>
            </w:pPr>
            <w:r>
              <w:t>30.28</w:t>
            </w:r>
          </w:p>
        </w:tc>
        <w:tc>
          <w:tcPr>
            <w:tcW w:w="2428" w:type="dxa"/>
          </w:tcPr>
          <w:p w14:paraId="1AC49A7A" w14:textId="77777777" w:rsidR="00264588" w:rsidRDefault="00264588" w:rsidP="008C717F">
            <w:pPr>
              <w:jc w:val="center"/>
            </w:pPr>
            <w:r>
              <w:t>5.20</w:t>
            </w:r>
          </w:p>
        </w:tc>
        <w:tc>
          <w:tcPr>
            <w:tcW w:w="2249" w:type="dxa"/>
          </w:tcPr>
          <w:p w14:paraId="0366FFC8" w14:textId="77777777" w:rsidR="00264588" w:rsidRDefault="00264588" w:rsidP="008C717F">
            <w:pPr>
              <w:jc w:val="center"/>
            </w:pPr>
            <w:r>
              <w:t>300</w:t>
            </w:r>
          </w:p>
        </w:tc>
      </w:tr>
      <w:tr w:rsidR="00264588" w14:paraId="2089061C" w14:textId="77777777" w:rsidTr="00C04763">
        <w:tc>
          <w:tcPr>
            <w:tcW w:w="1985" w:type="dxa"/>
          </w:tcPr>
          <w:p w14:paraId="486C23CE" w14:textId="77777777" w:rsidR="00264588" w:rsidRDefault="00264588" w:rsidP="008C717F">
            <w:r>
              <w:t>Lounge/Study</w:t>
            </w:r>
          </w:p>
        </w:tc>
        <w:tc>
          <w:tcPr>
            <w:tcW w:w="2410" w:type="dxa"/>
          </w:tcPr>
          <w:p w14:paraId="77A6713F" w14:textId="77777777" w:rsidR="00264588" w:rsidRDefault="00264588" w:rsidP="008C717F">
            <w:pPr>
              <w:jc w:val="center"/>
            </w:pPr>
            <w:r>
              <w:t>3.90</w:t>
            </w:r>
          </w:p>
        </w:tc>
        <w:tc>
          <w:tcPr>
            <w:tcW w:w="2428" w:type="dxa"/>
          </w:tcPr>
          <w:p w14:paraId="47536ECE" w14:textId="77777777" w:rsidR="00264588" w:rsidRDefault="00264588" w:rsidP="008C717F">
            <w:pPr>
              <w:jc w:val="center"/>
            </w:pPr>
            <w:r>
              <w:t>5.20</w:t>
            </w:r>
          </w:p>
        </w:tc>
        <w:tc>
          <w:tcPr>
            <w:tcW w:w="2249" w:type="dxa"/>
          </w:tcPr>
          <w:p w14:paraId="66CEA47C" w14:textId="77777777" w:rsidR="00264588" w:rsidRDefault="00264588" w:rsidP="008C717F">
            <w:pPr>
              <w:jc w:val="center"/>
            </w:pPr>
            <w:r>
              <w:t>150</w:t>
            </w:r>
          </w:p>
        </w:tc>
      </w:tr>
    </w:tbl>
    <w:p w14:paraId="24BA3168" w14:textId="295074EF" w:rsidR="00264588" w:rsidRPr="00A024FA" w:rsidRDefault="00C04763" w:rsidP="00C04763">
      <w:pPr>
        <w:pStyle w:val="Caption"/>
        <w:jc w:val="center"/>
      </w:pPr>
      <w:bookmarkStart w:id="17" w:name="_Ref422220598"/>
      <w:r>
        <w:t xml:space="preserve">Table </w:t>
      </w:r>
      <w:r w:rsidR="008A45D9">
        <w:fldChar w:fldCharType="begin"/>
      </w:r>
      <w:r w:rsidR="008A45D9">
        <w:instrText xml:space="preserve"> SEQ Table \* ARABIC </w:instrText>
      </w:r>
      <w:r w:rsidR="008A45D9">
        <w:fldChar w:fldCharType="separate"/>
      </w:r>
      <w:r w:rsidR="008D0405">
        <w:rPr>
          <w:noProof/>
        </w:rPr>
        <w:t>3</w:t>
      </w:r>
      <w:r w:rsidR="008A45D9">
        <w:rPr>
          <w:noProof/>
        </w:rPr>
        <w:fldChar w:fldCharType="end"/>
      </w:r>
      <w:bookmarkEnd w:id="17"/>
      <w:r>
        <w:t xml:space="preserve"> </w:t>
      </w:r>
      <w:r w:rsidR="00264588">
        <w:t>Summary of equipment and lighting internal heat gain inputs.</w:t>
      </w:r>
    </w:p>
    <w:p w14:paraId="16061AC1" w14:textId="77777777" w:rsidR="00264588" w:rsidRDefault="00264588" w:rsidP="00264588">
      <w:pPr>
        <w:pStyle w:val="NumPara"/>
        <w:numPr>
          <w:ilvl w:val="0"/>
          <w:numId w:val="0"/>
        </w:numPr>
        <w:ind w:left="567"/>
        <w:jc w:val="center"/>
      </w:pPr>
    </w:p>
    <w:p w14:paraId="033D2BE5" w14:textId="3D2D596D" w:rsidR="00264588" w:rsidRDefault="00264588" w:rsidP="00167E57">
      <w:pPr>
        <w:pStyle w:val="NumPara"/>
      </w:pPr>
      <w:r>
        <w:t>All of the models have the same fabric and HVAC inputs. The</w:t>
      </w:r>
      <w:r w:rsidR="00167E57">
        <w:t xml:space="preserve"> U-values for the building fabric have been </w:t>
      </w:r>
      <w:r w:rsidR="00167E57" w:rsidRPr="00167E57">
        <w:t>obtained from the as-built SAP w</w:t>
      </w:r>
      <w:r w:rsidR="00167E57">
        <w:t xml:space="preserve">orksheet dated 11th August 2011 </w:t>
      </w:r>
      <w:r>
        <w:t>(shown in Table 1)</w:t>
      </w:r>
      <w:r w:rsidR="00167E57">
        <w:t>, with an</w:t>
      </w:r>
      <w:r>
        <w:t xml:space="preserve"> adjustment </w:t>
      </w:r>
      <w:r w:rsidR="00167E57">
        <w:t xml:space="preserve">made </w:t>
      </w:r>
      <w:r>
        <w:t xml:space="preserve">for thermal bridging based upon a calculated y-value of 0.023. </w:t>
      </w:r>
      <w:r w:rsidR="00167E57">
        <w:t xml:space="preserve">The y-value is based upon the findings of the thermal bridging calculations discussed earlier. </w:t>
      </w:r>
      <w:r>
        <w:t xml:space="preserve">A gas combination boiler with a seasonal efficiency of 89% has been used in the models as the sole heat source for both space and </w:t>
      </w:r>
      <w:r w:rsidR="00167E57">
        <w:t xml:space="preserve">domestic </w:t>
      </w:r>
      <w:r>
        <w:t>hot water</w:t>
      </w:r>
      <w:r w:rsidR="00167E57">
        <w:t xml:space="preserve"> heating</w:t>
      </w:r>
      <w:r>
        <w:t xml:space="preserve">. A heating set point of 21°C (internal temperature) and a cooling set point (the point at which free cooling is provided through bypass of the heat recovery system) of 25°C (internal temperature) </w:t>
      </w:r>
      <w:r w:rsidR="00167E57">
        <w:t>has been assumed in the</w:t>
      </w:r>
      <w:r>
        <w:t xml:space="preserve"> models. The heat rec</w:t>
      </w:r>
      <w:r w:rsidR="003E5E05">
        <w:t xml:space="preserve">overy system is assumed to have a thermal </w:t>
      </w:r>
      <w:r>
        <w:t xml:space="preserve">efficiency of 90%. The balanced MVHR system is assumed to operate continuously delivering 0.5 air changes per hour in all spaces with extracts in the kitchen and bathroom areas. A specific fan power of 0.46 Watts per litre per second (W/l/s) has been used </w:t>
      </w:r>
      <w:r>
        <w:lastRenderedPageBreak/>
        <w:t>in accordance with the original SAP worksheets provided by the client (</w:t>
      </w:r>
      <w:proofErr w:type="spellStart"/>
      <w:r>
        <w:t>Golinski</w:t>
      </w:r>
      <w:proofErr w:type="spellEnd"/>
      <w:r>
        <w:t>, 2011). Air exchanges that are a result of infiltration are also referenced from the SAP worksheet and are assumed to provide 0.17 air changes per hour throughout the dwelling.</w:t>
      </w:r>
    </w:p>
    <w:p w14:paraId="5CC99222" w14:textId="3582BD08" w:rsidR="00264588" w:rsidRDefault="00264588" w:rsidP="00264588">
      <w:pPr>
        <w:pStyle w:val="NumPara"/>
      </w:pPr>
      <w:r>
        <w:t>Results analysis is based upon total annual energy consumption for space heating, domestic hot water, ventilation system energy (referred to as ‘</w:t>
      </w:r>
      <w:r w:rsidR="00221C36">
        <w:t>ventilation</w:t>
      </w:r>
      <w:r>
        <w:t xml:space="preserve">’ in the results), lighting and equipment. Overheating has been evaluated using two different metrics. </w:t>
      </w:r>
      <w:r w:rsidRPr="000C19B8">
        <w:t xml:space="preserve">Under traditional measures of overheating used for non-domestic buildings, a room is considered to provide uncomfortable conditions when the internal temperature exceeds 25°C for more than 5% of </w:t>
      </w:r>
      <w:r w:rsidR="003E5E05">
        <w:t xml:space="preserve">the </w:t>
      </w:r>
      <w:r w:rsidRPr="000C19B8">
        <w:t xml:space="preserve">occupied hours and exceeds 28°C for more than 1% of </w:t>
      </w:r>
      <w:r w:rsidR="003E5E05">
        <w:t xml:space="preserve">the </w:t>
      </w:r>
      <w:r w:rsidRPr="000C19B8">
        <w:t>occupied hours</w:t>
      </w:r>
      <w:r>
        <w:t xml:space="preserve"> (CIBSE, 2006c)</w:t>
      </w:r>
      <w:r w:rsidRPr="000C19B8">
        <w:t>. This is a more rigorous test of potential overheating than is currently used for domestic buildings</w:t>
      </w:r>
      <w:r w:rsidR="00221C36">
        <w:t xml:space="preserve"> in SAP</w:t>
      </w:r>
      <w:r w:rsidRPr="000C19B8">
        <w:t>.</w:t>
      </w:r>
      <w:r>
        <w:t xml:space="preserve"> It has been assumed that external shutters will be closed during all daylight hours in the overheating analysis. This is again in accordance with specifications set within the SAP calculations provided by the client (</w:t>
      </w:r>
      <w:proofErr w:type="spellStart"/>
      <w:r>
        <w:t>Golinski</w:t>
      </w:r>
      <w:proofErr w:type="spellEnd"/>
      <w:r>
        <w:t>, 2011).</w:t>
      </w:r>
    </w:p>
    <w:p w14:paraId="3BF8070F" w14:textId="46C7FDA8" w:rsidR="00264588" w:rsidRDefault="00264588" w:rsidP="00264588">
      <w:pPr>
        <w:pStyle w:val="NumPara"/>
      </w:pPr>
      <w:r>
        <w:t>The absolute metrics used to assess overheating mentioned above were superseded in 2013 in favour of adaptable comfort metrics. The finite metrics were defined in the CIBSE Guide A document (CIBSE, 2006c) but have been updated to align with other European and American metrics. The justification for this and the calculation methods are defined in the document “TM52: The limits of thermal comfort: avoiding overheating in European buildings” (CIBSE, 2013). This sets out three criteria to evaluate overheating based upon the theory of adaptive comfort</w:t>
      </w:r>
      <w:r w:rsidR="003E5E05">
        <w:t>,</w:t>
      </w:r>
      <w:r>
        <w:t xml:space="preserve"> which acknowledges that people are more tolerant of higher internal temperatures when external temperatures are higher themselves. Both assessment methods have been used here to provide a comparison. The absolute metrics help to illustrate </w:t>
      </w:r>
      <w:r w:rsidR="003E5E05">
        <w:t xml:space="preserve">the </w:t>
      </w:r>
      <w:r>
        <w:t>actual temperatures that will be experienced in the dwelling</w:t>
      </w:r>
      <w:r w:rsidR="003E5E05">
        <w:t>,</w:t>
      </w:r>
      <w:r>
        <w:t xml:space="preserve"> whereas the adaptive comfort metrics provide a more holistic illustration of personal thermal comfort.</w:t>
      </w:r>
    </w:p>
    <w:p w14:paraId="353399B9" w14:textId="762FF997" w:rsidR="00264588" w:rsidRDefault="003E5E05" w:rsidP="003E5E05">
      <w:pPr>
        <w:pStyle w:val="NumPara"/>
      </w:pPr>
      <w:r>
        <w:t xml:space="preserve">The </w:t>
      </w:r>
      <w:r w:rsidRPr="003E5E05">
        <w:t>adaptable comfort metrics</w:t>
      </w:r>
      <w:r>
        <w:t xml:space="preserve"> measure: </w:t>
      </w:r>
      <w:r w:rsidR="00264588">
        <w:t xml:space="preserve">hours of </w:t>
      </w:r>
      <w:proofErr w:type="spellStart"/>
      <w:r w:rsidR="00264588">
        <w:t>exceedence</w:t>
      </w:r>
      <w:proofErr w:type="spellEnd"/>
      <w:r w:rsidR="00264588">
        <w:t xml:space="preserve">; the daily weighted </w:t>
      </w:r>
      <w:proofErr w:type="spellStart"/>
      <w:r w:rsidR="00264588">
        <w:t>exceedence</w:t>
      </w:r>
      <w:proofErr w:type="spellEnd"/>
      <w:r w:rsidR="00264588">
        <w:t>; and the upper limit temperature. These are defined below:</w:t>
      </w:r>
    </w:p>
    <w:p w14:paraId="2B2F3A61" w14:textId="77777777" w:rsidR="003E5E05" w:rsidRDefault="003E5E05" w:rsidP="003E5E05">
      <w:pPr>
        <w:numPr>
          <w:ilvl w:val="1"/>
          <w:numId w:val="1"/>
        </w:numPr>
        <w:tabs>
          <w:tab w:val="num" w:pos="786"/>
        </w:tabs>
        <w:spacing w:before="60" w:after="60"/>
      </w:pPr>
      <w:r w:rsidRPr="003E5E05">
        <w:rPr>
          <w:b/>
        </w:rPr>
        <w:t>Hours of exceedance –</w:t>
      </w:r>
      <w:r>
        <w:t xml:space="preserve"> S</w:t>
      </w:r>
      <w:r w:rsidR="00264588">
        <w:t>ets a limit for the number of hours that the operative temperature can exceed the threshold comfort temperature (upper limit of the range of comfort temperature) by one degree or more during the occupied hours of a typical non-heating season (1st May to the 30th September). The number of hours during which the difference between internal and external temperatures (ΔT – Delta T) is greater than or equal to one degree (K) during the period May to September inclusive</w:t>
      </w:r>
      <w:r>
        <w:t>,</w:t>
      </w:r>
      <w:r w:rsidR="00264588">
        <w:t xml:space="preserve"> shall not be more than 3% of occupied hours.</w:t>
      </w:r>
    </w:p>
    <w:p w14:paraId="0EF8317F" w14:textId="2A229B3A" w:rsidR="003E5E05" w:rsidRDefault="003E5E05" w:rsidP="003E5E05">
      <w:pPr>
        <w:numPr>
          <w:ilvl w:val="1"/>
          <w:numId w:val="1"/>
        </w:numPr>
        <w:tabs>
          <w:tab w:val="num" w:pos="786"/>
        </w:tabs>
        <w:spacing w:before="60" w:after="60"/>
      </w:pPr>
      <w:r w:rsidRPr="003E5E05">
        <w:rPr>
          <w:b/>
        </w:rPr>
        <w:t>Daily weighted exceedance –</w:t>
      </w:r>
      <w:r>
        <w:t xml:space="preserve"> D</w:t>
      </w:r>
      <w:r w:rsidR="00264588">
        <w:t>eals with the severity of overheating, which can be as important as its frequency, the level of which is a function of both temperature rise and its duration. This criterion sets a daily limit for acceptability. To allow for the severity of overheating</w:t>
      </w:r>
      <w:r w:rsidR="007C7F8D">
        <w:t>,</w:t>
      </w:r>
      <w:r w:rsidR="00264588">
        <w:t xml:space="preserve"> the weighted </w:t>
      </w:r>
      <w:proofErr w:type="spellStart"/>
      <w:r w:rsidR="00264588">
        <w:t>exceedence</w:t>
      </w:r>
      <w:proofErr w:type="spellEnd"/>
      <w:r w:rsidR="00264588">
        <w:t xml:space="preserve"> shall be less than or equal to six in any one day.</w:t>
      </w:r>
    </w:p>
    <w:p w14:paraId="651C869D" w14:textId="1DEEC7CB" w:rsidR="003E5E05" w:rsidRDefault="003E5E05" w:rsidP="003E5E05">
      <w:pPr>
        <w:numPr>
          <w:ilvl w:val="1"/>
          <w:numId w:val="1"/>
        </w:numPr>
        <w:tabs>
          <w:tab w:val="num" w:pos="786"/>
        </w:tabs>
        <w:spacing w:before="60" w:after="60"/>
      </w:pPr>
      <w:r w:rsidRPr="003E5E05">
        <w:rPr>
          <w:b/>
        </w:rPr>
        <w:t>Upper limit temperature –</w:t>
      </w:r>
      <w:r>
        <w:t xml:space="preserve"> S</w:t>
      </w:r>
      <w:r w:rsidR="00264588">
        <w:t>ets an absolute maximum daily temperature for a room, beyond which the level of</w:t>
      </w:r>
      <w:r w:rsidR="00FE1E0B">
        <w:t xml:space="preserve"> overheating is unacceptable. It</w:t>
      </w:r>
      <w:r w:rsidR="00264588">
        <w:t xml:space="preserve"> sets an absolute maximum value for the indoor operative temperature</w:t>
      </w:r>
      <w:r w:rsidR="00FE1E0B">
        <w:t>;</w:t>
      </w:r>
      <w:r w:rsidR="00264588">
        <w:t xml:space="preserve"> the value of ΔT shall not exceed 4K.</w:t>
      </w:r>
    </w:p>
    <w:p w14:paraId="4E409615" w14:textId="77777777" w:rsidR="00264588" w:rsidRDefault="00264588" w:rsidP="00264588">
      <w:pPr>
        <w:pStyle w:val="Heading2"/>
      </w:pPr>
      <w:bookmarkStart w:id="18" w:name="_Toc422233806"/>
      <w:r>
        <w:t>Limitations</w:t>
      </w:r>
      <w:bookmarkEnd w:id="18"/>
    </w:p>
    <w:p w14:paraId="2412F9F3" w14:textId="77777777" w:rsidR="00FE1E0B" w:rsidRDefault="00264588" w:rsidP="00FE1E0B">
      <w:pPr>
        <w:pStyle w:val="NumPara"/>
      </w:pPr>
      <w:r>
        <w:t xml:space="preserve">It is important </w:t>
      </w:r>
      <w:r w:rsidRPr="002D526F">
        <w:t xml:space="preserve">to </w:t>
      </w:r>
      <w:r>
        <w:t>note</w:t>
      </w:r>
      <w:r w:rsidRPr="002D526F">
        <w:t xml:space="preserve"> that th</w:t>
      </w:r>
      <w:r w:rsidR="00221C36">
        <w:t>e</w:t>
      </w:r>
      <w:r w:rsidRPr="002D526F">
        <w:t xml:space="preserve"> DTS </w:t>
      </w:r>
      <w:r w:rsidR="00221C36">
        <w:t xml:space="preserve">models </w:t>
      </w:r>
      <w:r>
        <w:t>used here</w:t>
      </w:r>
      <w:r w:rsidRPr="002D526F">
        <w:t xml:space="preserve"> are not approved for regulatory compliance calculations for dwellings; they </w:t>
      </w:r>
      <w:r w:rsidR="00FE1E0B">
        <w:t xml:space="preserve">are only approved </w:t>
      </w:r>
      <w:r w:rsidRPr="002D526F">
        <w:t xml:space="preserve">for </w:t>
      </w:r>
      <w:r w:rsidR="00FE1E0B">
        <w:t xml:space="preserve">regulatory compliance use in </w:t>
      </w:r>
      <w:r w:rsidRPr="002D526F">
        <w:t>non-domestic buildings</w:t>
      </w:r>
      <w:r>
        <w:t>.</w:t>
      </w:r>
      <w:r w:rsidRPr="002D526F">
        <w:t xml:space="preserve"> </w:t>
      </w:r>
      <w:r>
        <w:t>This also applies to</w:t>
      </w:r>
      <w:r w:rsidRPr="002D526F">
        <w:t xml:space="preserve"> the weather files </w:t>
      </w:r>
      <w:r>
        <w:t>used in the simulation</w:t>
      </w:r>
      <w:r w:rsidRPr="002D526F">
        <w:t>. Th</w:t>
      </w:r>
      <w:r>
        <w:t xml:space="preserve">is type of modelling does </w:t>
      </w:r>
      <w:r w:rsidR="00FE1E0B">
        <w:t xml:space="preserve">enable a much </w:t>
      </w:r>
      <w:r w:rsidRPr="002D526F">
        <w:t xml:space="preserve">more detailed energy and thermal performance analysis </w:t>
      </w:r>
      <w:r w:rsidR="00FE1E0B">
        <w:t xml:space="preserve">to be undertaken than would otherwise be the case if a </w:t>
      </w:r>
      <w:r w:rsidRPr="002D526F">
        <w:t>SAP calculation</w:t>
      </w:r>
      <w:r w:rsidR="00FE1E0B">
        <w:t xml:space="preserve"> was used</w:t>
      </w:r>
      <w:r w:rsidRPr="002D526F">
        <w:t>.</w:t>
      </w:r>
      <w:r>
        <w:t xml:space="preserve"> This is particularly relevant to the overheating analysis included in this report. </w:t>
      </w:r>
    </w:p>
    <w:p w14:paraId="1ECA8BB5" w14:textId="53483C39" w:rsidR="00546C0D" w:rsidRDefault="00264588" w:rsidP="00FE1E0B">
      <w:pPr>
        <w:pStyle w:val="NumPara"/>
      </w:pPr>
      <w:r>
        <w:t xml:space="preserve">As mentioned previously, there </w:t>
      </w:r>
      <w:r w:rsidR="00FE1E0B">
        <w:t xml:space="preserve">are </w:t>
      </w:r>
      <w:r>
        <w:t>limitation</w:t>
      </w:r>
      <w:r w:rsidR="00FE1E0B">
        <w:t xml:space="preserve">s associated with replicating the </w:t>
      </w:r>
      <w:r>
        <w:t xml:space="preserve">geometry </w:t>
      </w:r>
      <w:r w:rsidR="00FE1E0B">
        <w:t xml:space="preserve">of the prototype dwelling within the modelling software. As such, </w:t>
      </w:r>
      <w:r>
        <w:t>a faceted</w:t>
      </w:r>
      <w:r w:rsidR="00FE1E0B">
        <w:t>,</w:t>
      </w:r>
      <w:r>
        <w:t xml:space="preserve"> rather th</w:t>
      </w:r>
      <w:r w:rsidR="00FE1E0B">
        <w:t>an perfect sphere, has been constructed within the model</w:t>
      </w:r>
      <w:r>
        <w:t>. However, this does not result in any additional thermal bridging</w:t>
      </w:r>
      <w:r w:rsidR="00144E48">
        <w:t>,</w:t>
      </w:r>
      <w:r>
        <w:t xml:space="preserve"> as this value is defined independently of the geometry in this type of model.</w:t>
      </w:r>
    </w:p>
    <w:p w14:paraId="5B5E5DB1" w14:textId="153B45D4" w:rsidR="00546C0D" w:rsidRDefault="00546C0D" w:rsidP="00264588">
      <w:pPr>
        <w:pStyle w:val="NumPara"/>
      </w:pPr>
      <w:r>
        <w:t>The software used as part of this analysis has limited scope for the assessment of renewable energy generation. In this instance</w:t>
      </w:r>
      <w:r w:rsidR="00144E48">
        <w:t>,</w:t>
      </w:r>
      <w:r>
        <w:t xml:space="preserve"> the potential for photovoltaic (PV) panels and wind turbines has been evaluated. The way in which these technologies are modelled in the DTS software is relatively simple. There is no specific function for mounting these technologies on the building in the model space. Inputs are limited to the size of the respective systems, their orientation, inclination (in the case of PV) and height (in the case of wind turbines).</w:t>
      </w:r>
    </w:p>
    <w:p w14:paraId="4E3D3F51" w14:textId="77777777" w:rsidR="00264588" w:rsidRDefault="00546C0D" w:rsidP="00546C0D">
      <w:pPr>
        <w:pStyle w:val="NumPara"/>
        <w:numPr>
          <w:ilvl w:val="0"/>
          <w:numId w:val="0"/>
        </w:numPr>
        <w:ind w:left="567"/>
      </w:pPr>
      <w:r>
        <w:t xml:space="preserve"> </w:t>
      </w:r>
      <w:r w:rsidR="00264588">
        <w:t xml:space="preserve"> </w:t>
      </w:r>
    </w:p>
    <w:p w14:paraId="1EB2F579" w14:textId="77777777" w:rsidR="00264588" w:rsidRDefault="00264588" w:rsidP="00264588">
      <w:pPr>
        <w:pStyle w:val="Heading2"/>
      </w:pPr>
      <w:bookmarkStart w:id="19" w:name="_Toc422233807"/>
      <w:r>
        <w:lastRenderedPageBreak/>
        <w:t>Results</w:t>
      </w:r>
      <w:bookmarkEnd w:id="19"/>
    </w:p>
    <w:p w14:paraId="527FDDC6" w14:textId="77777777" w:rsidR="00264588" w:rsidRPr="00A12418" w:rsidRDefault="00264588" w:rsidP="00264588">
      <w:pPr>
        <w:pStyle w:val="NumPara"/>
        <w:numPr>
          <w:ilvl w:val="0"/>
          <w:numId w:val="0"/>
        </w:numPr>
        <w:ind w:left="567"/>
        <w:rPr>
          <w:b/>
          <w:i/>
        </w:rPr>
      </w:pPr>
      <w:r w:rsidRPr="00A12418">
        <w:rPr>
          <w:b/>
          <w:i/>
        </w:rPr>
        <w:t>Annual energy consumption and heating load</w:t>
      </w:r>
    </w:p>
    <w:p w14:paraId="5C49664F" w14:textId="79723B25" w:rsidR="00AC4C43" w:rsidRDefault="00264588" w:rsidP="00144E48">
      <w:pPr>
        <w:pStyle w:val="NumPara"/>
      </w:pPr>
      <w:r>
        <w:t>Energy performance results from the annual simulation for scenarios 1</w:t>
      </w:r>
      <w:r w:rsidR="00144E48">
        <w:t>.1</w:t>
      </w:r>
      <w:r>
        <w:t xml:space="preserve"> and </w:t>
      </w:r>
      <w:r w:rsidR="00144E48">
        <w:t xml:space="preserve">1.2 are presented in </w:t>
      </w:r>
      <w:r w:rsidR="00144E48">
        <w:fldChar w:fldCharType="begin"/>
      </w:r>
      <w:r w:rsidR="00144E48">
        <w:instrText xml:space="preserve"> REF _Ref422224492 \h </w:instrText>
      </w:r>
      <w:r w:rsidR="00144E48">
        <w:fldChar w:fldCharType="separate"/>
      </w:r>
      <w:r w:rsidR="00144E48" w:rsidRPr="00144E48">
        <w:t xml:space="preserve">Figure </w:t>
      </w:r>
      <w:r w:rsidR="00144E48" w:rsidRPr="00144E48">
        <w:rPr>
          <w:noProof/>
        </w:rPr>
        <w:t>5</w:t>
      </w:r>
      <w:r w:rsidR="00144E48">
        <w:fldChar w:fldCharType="end"/>
      </w:r>
      <w:r>
        <w:t xml:space="preserve">. These charts include total consumption, space heating and hot water, ventilation, lighting and equipment. The space heating and hot water values have been combined in </w:t>
      </w:r>
      <w:r w:rsidR="00144E48">
        <w:fldChar w:fldCharType="begin"/>
      </w:r>
      <w:r w:rsidR="00144E48">
        <w:instrText xml:space="preserve"> REF _Ref422224492 \h </w:instrText>
      </w:r>
      <w:r w:rsidR="00144E48">
        <w:fldChar w:fldCharType="separate"/>
      </w:r>
      <w:r w:rsidR="00144E48" w:rsidRPr="00144E48">
        <w:t xml:space="preserve">Figure </w:t>
      </w:r>
      <w:r w:rsidR="00144E48" w:rsidRPr="00144E48">
        <w:rPr>
          <w:noProof/>
        </w:rPr>
        <w:t>5</w:t>
      </w:r>
      <w:r w:rsidR="00144E48">
        <w:fldChar w:fldCharType="end"/>
      </w:r>
      <w:r w:rsidR="00144E48">
        <w:t xml:space="preserve"> </w:t>
      </w:r>
      <w:r>
        <w:t>as the space heating value in isolation is too low to be visualised at this scale. The chart illustrates results for each iteration of the model at 30</w:t>
      </w:r>
      <w:r>
        <w:rPr>
          <w:rFonts w:cs="Arial"/>
        </w:rPr>
        <w:t>°</w:t>
      </w:r>
      <w:r>
        <w:t xml:space="preserve"> increments. Additional charts have been included in </w:t>
      </w:r>
      <w:r w:rsidR="00144E48">
        <w:fldChar w:fldCharType="begin"/>
      </w:r>
      <w:r w:rsidR="00144E48">
        <w:instrText xml:space="preserve"> REF _Ref422224564 \h </w:instrText>
      </w:r>
      <w:r w:rsidR="00144E48">
        <w:fldChar w:fldCharType="separate"/>
      </w:r>
      <w:r w:rsidR="00144E48" w:rsidRPr="00144E48">
        <w:t xml:space="preserve">Figure </w:t>
      </w:r>
      <w:r w:rsidR="00144E48" w:rsidRPr="00144E48">
        <w:rPr>
          <w:noProof/>
        </w:rPr>
        <w:t>6</w:t>
      </w:r>
      <w:r w:rsidR="00144E48">
        <w:fldChar w:fldCharType="end"/>
      </w:r>
      <w:r w:rsidR="00144E48">
        <w:t xml:space="preserve"> </w:t>
      </w:r>
      <w:r>
        <w:t>to illustrate space heating consumption only, again at 30</w:t>
      </w:r>
      <w:r>
        <w:rPr>
          <w:rFonts w:cs="Arial"/>
        </w:rPr>
        <w:t>°</w:t>
      </w:r>
      <w:r>
        <w:t xml:space="preserve"> increments.</w:t>
      </w:r>
    </w:p>
    <w:p w14:paraId="06E6D7A5" w14:textId="77777777" w:rsidR="00264588" w:rsidRDefault="007A34D2" w:rsidP="007A34D2">
      <w:pPr>
        <w:pStyle w:val="NumPara"/>
        <w:numPr>
          <w:ilvl w:val="0"/>
          <w:numId w:val="0"/>
        </w:numPr>
        <w:ind w:left="567"/>
        <w:jc w:val="center"/>
      </w:pPr>
      <w:r>
        <w:rPr>
          <w:noProof/>
          <w:lang w:eastAsia="en-GB"/>
        </w:rPr>
        <w:drawing>
          <wp:inline distT="0" distB="0" distL="0" distR="0" wp14:anchorId="03E2FA6A" wp14:editId="35AD740C">
            <wp:extent cx="5057775" cy="3105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EB7A7B" w14:textId="77777777" w:rsidR="00264588" w:rsidRDefault="00264588" w:rsidP="00264588">
      <w:pPr>
        <w:pStyle w:val="NumPara"/>
        <w:numPr>
          <w:ilvl w:val="0"/>
          <w:numId w:val="0"/>
        </w:numPr>
        <w:ind w:left="567"/>
      </w:pPr>
    </w:p>
    <w:p w14:paraId="44C69A99" w14:textId="48137FC7" w:rsidR="00264588" w:rsidRDefault="00264588" w:rsidP="00264588">
      <w:pPr>
        <w:pStyle w:val="NumPara"/>
        <w:numPr>
          <w:ilvl w:val="0"/>
          <w:numId w:val="0"/>
        </w:numPr>
        <w:ind w:left="567"/>
        <w:jc w:val="center"/>
      </w:pPr>
      <w:r>
        <w:t>(a) Scenario 1</w:t>
      </w:r>
      <w:r w:rsidR="00144E48">
        <w:t>.1</w:t>
      </w:r>
      <w:r>
        <w:t>: annual kWh consumed</w:t>
      </w:r>
      <w:r w:rsidR="003D6602">
        <w:t>.</w:t>
      </w:r>
    </w:p>
    <w:p w14:paraId="1225B83A" w14:textId="77777777" w:rsidR="00264588" w:rsidRDefault="00264588" w:rsidP="00264588">
      <w:pPr>
        <w:pStyle w:val="NumPara"/>
        <w:numPr>
          <w:ilvl w:val="0"/>
          <w:numId w:val="0"/>
        </w:numPr>
        <w:ind w:left="567"/>
      </w:pPr>
    </w:p>
    <w:p w14:paraId="4C1937FA" w14:textId="77777777" w:rsidR="00264588" w:rsidRDefault="007A34D2" w:rsidP="00546C0D">
      <w:pPr>
        <w:pStyle w:val="NumPara"/>
        <w:numPr>
          <w:ilvl w:val="0"/>
          <w:numId w:val="0"/>
        </w:numPr>
        <w:ind w:left="567"/>
        <w:jc w:val="center"/>
      </w:pPr>
      <w:r>
        <w:rPr>
          <w:noProof/>
          <w:lang w:eastAsia="en-GB"/>
        </w:rPr>
        <w:drawing>
          <wp:inline distT="0" distB="0" distL="0" distR="0" wp14:anchorId="5A49CB65" wp14:editId="5C0CD621">
            <wp:extent cx="5114925" cy="30289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85406B" w14:textId="77777777" w:rsidR="00264588" w:rsidRDefault="00264588" w:rsidP="00264588">
      <w:pPr>
        <w:pStyle w:val="NumPara"/>
        <w:numPr>
          <w:ilvl w:val="0"/>
          <w:numId w:val="0"/>
        </w:numPr>
        <w:ind w:left="567"/>
      </w:pPr>
    </w:p>
    <w:p w14:paraId="59053777" w14:textId="157F19F5" w:rsidR="00264588" w:rsidRDefault="00264588" w:rsidP="00264588">
      <w:pPr>
        <w:pStyle w:val="NumPara"/>
        <w:numPr>
          <w:ilvl w:val="0"/>
          <w:numId w:val="0"/>
        </w:numPr>
        <w:ind w:left="567"/>
        <w:jc w:val="center"/>
      </w:pPr>
      <w:r>
        <w:t xml:space="preserve">(b) Scenario </w:t>
      </w:r>
      <w:r w:rsidR="00144E48">
        <w:t>1.</w:t>
      </w:r>
      <w:r>
        <w:t>2: annual kWh consumed</w:t>
      </w:r>
      <w:r w:rsidR="003D6602">
        <w:t>.</w:t>
      </w:r>
    </w:p>
    <w:p w14:paraId="382DADF7" w14:textId="77777777" w:rsidR="00264588" w:rsidRDefault="00264588" w:rsidP="00264588">
      <w:pPr>
        <w:pStyle w:val="NumPara"/>
        <w:numPr>
          <w:ilvl w:val="0"/>
          <w:numId w:val="0"/>
        </w:numPr>
        <w:ind w:left="567"/>
      </w:pPr>
    </w:p>
    <w:p w14:paraId="4B77BF7C" w14:textId="11AA33F7" w:rsidR="00264588" w:rsidRPr="00144E48" w:rsidRDefault="00144E48" w:rsidP="00144E48">
      <w:pPr>
        <w:pStyle w:val="Caption"/>
        <w:jc w:val="center"/>
      </w:pPr>
      <w:bookmarkStart w:id="20" w:name="_Ref422224492"/>
      <w:r w:rsidRPr="00144E48">
        <w:t xml:space="preserve">Figure </w:t>
      </w:r>
      <w:r w:rsidR="008A45D9">
        <w:fldChar w:fldCharType="begin"/>
      </w:r>
      <w:r w:rsidR="008A45D9">
        <w:instrText xml:space="preserve"> SEQ Figure \* ARABIC </w:instrText>
      </w:r>
      <w:r w:rsidR="008A45D9">
        <w:fldChar w:fldCharType="separate"/>
      </w:r>
      <w:r>
        <w:rPr>
          <w:noProof/>
        </w:rPr>
        <w:t>5</w:t>
      </w:r>
      <w:r w:rsidR="008A45D9">
        <w:rPr>
          <w:noProof/>
        </w:rPr>
        <w:fldChar w:fldCharType="end"/>
      </w:r>
      <w:bookmarkEnd w:id="20"/>
      <w:r w:rsidRPr="00144E48">
        <w:t xml:space="preserve"> </w:t>
      </w:r>
      <w:r w:rsidR="00264588" w:rsidRPr="00144E48">
        <w:t>Total and end-use annual energy consumption at 30</w:t>
      </w:r>
      <w:r w:rsidR="00264588" w:rsidRPr="00144E48">
        <w:rPr>
          <w:rFonts w:cs="Arial"/>
        </w:rPr>
        <w:t>°</w:t>
      </w:r>
      <w:r w:rsidR="00264588" w:rsidRPr="00144E48">
        <w:t xml:space="preserve"> increments</w:t>
      </w:r>
      <w:r w:rsidRPr="00144E48">
        <w:t>.</w:t>
      </w:r>
    </w:p>
    <w:p w14:paraId="4BF9E152" w14:textId="77777777" w:rsidR="00264588" w:rsidRDefault="00264588" w:rsidP="00264588">
      <w:pPr>
        <w:pStyle w:val="NumPara"/>
        <w:numPr>
          <w:ilvl w:val="0"/>
          <w:numId w:val="0"/>
        </w:numPr>
        <w:ind w:left="567"/>
      </w:pPr>
    </w:p>
    <w:p w14:paraId="4C45E87F" w14:textId="77777777" w:rsidR="00264588" w:rsidRDefault="007A34D2" w:rsidP="007A34D2">
      <w:pPr>
        <w:pStyle w:val="NumPara"/>
        <w:numPr>
          <w:ilvl w:val="0"/>
          <w:numId w:val="0"/>
        </w:numPr>
        <w:ind w:left="567"/>
        <w:jc w:val="center"/>
      </w:pPr>
      <w:r>
        <w:rPr>
          <w:noProof/>
          <w:lang w:eastAsia="en-GB"/>
        </w:rPr>
        <w:drawing>
          <wp:inline distT="0" distB="0" distL="0" distR="0" wp14:anchorId="737F942A" wp14:editId="006409D8">
            <wp:extent cx="4629150" cy="36671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F52495" w14:textId="77777777" w:rsidR="00546C0D" w:rsidRDefault="00546C0D" w:rsidP="00264588">
      <w:pPr>
        <w:pStyle w:val="NumPara"/>
        <w:numPr>
          <w:ilvl w:val="0"/>
          <w:numId w:val="0"/>
        </w:numPr>
        <w:ind w:left="567"/>
        <w:jc w:val="center"/>
      </w:pPr>
    </w:p>
    <w:p w14:paraId="478936CE" w14:textId="16B0BE3E" w:rsidR="00264588" w:rsidRDefault="00264588" w:rsidP="00264588">
      <w:pPr>
        <w:pStyle w:val="NumPara"/>
        <w:numPr>
          <w:ilvl w:val="0"/>
          <w:numId w:val="0"/>
        </w:numPr>
        <w:ind w:left="567"/>
        <w:jc w:val="center"/>
      </w:pPr>
      <w:r w:rsidRPr="00564382">
        <w:t>(a)</w:t>
      </w:r>
      <w:r>
        <w:t xml:space="preserve"> Scenario 1</w:t>
      </w:r>
      <w:r w:rsidR="00144E48">
        <w:t>.1</w:t>
      </w:r>
      <w:r>
        <w:t>: annual space heating kWh consumed</w:t>
      </w:r>
      <w:r w:rsidR="003D6602">
        <w:t>.</w:t>
      </w:r>
    </w:p>
    <w:p w14:paraId="76084C08" w14:textId="77777777" w:rsidR="00264588" w:rsidRDefault="00264588" w:rsidP="00264588">
      <w:pPr>
        <w:pStyle w:val="NumPara"/>
        <w:numPr>
          <w:ilvl w:val="0"/>
          <w:numId w:val="0"/>
        </w:numPr>
        <w:ind w:left="567"/>
      </w:pPr>
    </w:p>
    <w:p w14:paraId="3759CEE2" w14:textId="77777777" w:rsidR="00264588" w:rsidRDefault="007A34D2" w:rsidP="007A34D2">
      <w:pPr>
        <w:pStyle w:val="NumPara"/>
        <w:numPr>
          <w:ilvl w:val="0"/>
          <w:numId w:val="0"/>
        </w:numPr>
        <w:ind w:left="567"/>
        <w:jc w:val="center"/>
      </w:pPr>
      <w:r>
        <w:rPr>
          <w:noProof/>
          <w:lang w:eastAsia="en-GB"/>
        </w:rPr>
        <w:drawing>
          <wp:inline distT="0" distB="0" distL="0" distR="0" wp14:anchorId="18DA5D3E" wp14:editId="0C37C8BA">
            <wp:extent cx="4657725" cy="37338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62973C" w14:textId="77777777" w:rsidR="00546C0D" w:rsidRDefault="00546C0D" w:rsidP="00264588">
      <w:pPr>
        <w:pStyle w:val="NumPara"/>
        <w:numPr>
          <w:ilvl w:val="0"/>
          <w:numId w:val="0"/>
        </w:numPr>
        <w:ind w:left="567"/>
        <w:jc w:val="center"/>
      </w:pPr>
    </w:p>
    <w:p w14:paraId="6050982F" w14:textId="5787FAE3" w:rsidR="00264588" w:rsidRPr="00564382" w:rsidRDefault="00264588" w:rsidP="00264588">
      <w:pPr>
        <w:pStyle w:val="NumPara"/>
        <w:numPr>
          <w:ilvl w:val="0"/>
          <w:numId w:val="0"/>
        </w:numPr>
        <w:ind w:left="567"/>
        <w:jc w:val="center"/>
      </w:pPr>
      <w:r w:rsidRPr="00564382">
        <w:t>(</w:t>
      </w:r>
      <w:r>
        <w:t>b</w:t>
      </w:r>
      <w:r w:rsidRPr="00564382">
        <w:t>)</w:t>
      </w:r>
      <w:r>
        <w:t xml:space="preserve"> Scenario </w:t>
      </w:r>
      <w:r w:rsidR="00144E48">
        <w:t>1.</w:t>
      </w:r>
      <w:r>
        <w:t>2: annual space heating kWh consumed</w:t>
      </w:r>
      <w:r w:rsidR="003D6602">
        <w:t>.</w:t>
      </w:r>
    </w:p>
    <w:p w14:paraId="0EEB368B" w14:textId="77777777" w:rsidR="00264588" w:rsidRDefault="00264588" w:rsidP="00264588">
      <w:pPr>
        <w:pStyle w:val="NumPara"/>
        <w:numPr>
          <w:ilvl w:val="0"/>
          <w:numId w:val="0"/>
        </w:numPr>
        <w:ind w:left="567"/>
      </w:pPr>
    </w:p>
    <w:p w14:paraId="70982273" w14:textId="71967C48" w:rsidR="00264588" w:rsidRPr="00144E48" w:rsidRDefault="00144E48" w:rsidP="00144E48">
      <w:pPr>
        <w:pStyle w:val="Caption"/>
        <w:jc w:val="center"/>
      </w:pPr>
      <w:bookmarkStart w:id="21" w:name="_Ref422224564"/>
      <w:r w:rsidRPr="00144E48">
        <w:t xml:space="preserve">Figure </w:t>
      </w:r>
      <w:r w:rsidR="008A45D9">
        <w:fldChar w:fldCharType="begin"/>
      </w:r>
      <w:r w:rsidR="008A45D9">
        <w:instrText xml:space="preserve"> SEQ Figure \* ARABIC </w:instrText>
      </w:r>
      <w:r w:rsidR="008A45D9">
        <w:fldChar w:fldCharType="separate"/>
      </w:r>
      <w:r w:rsidRPr="00144E48">
        <w:rPr>
          <w:noProof/>
        </w:rPr>
        <w:t>6</w:t>
      </w:r>
      <w:r w:rsidR="008A45D9">
        <w:rPr>
          <w:noProof/>
        </w:rPr>
        <w:fldChar w:fldCharType="end"/>
      </w:r>
      <w:bookmarkEnd w:id="21"/>
      <w:r w:rsidRPr="00144E48">
        <w:t xml:space="preserve"> </w:t>
      </w:r>
      <w:r w:rsidR="00264588" w:rsidRPr="00144E48">
        <w:t>Total and end-use annual energy consumption at 30</w:t>
      </w:r>
      <w:r w:rsidR="00264588" w:rsidRPr="00144E48">
        <w:rPr>
          <w:rFonts w:cs="Arial"/>
        </w:rPr>
        <w:t>°</w:t>
      </w:r>
      <w:r w:rsidR="00264588" w:rsidRPr="00144E48">
        <w:t xml:space="preserve"> increments.</w:t>
      </w:r>
    </w:p>
    <w:p w14:paraId="176E7936" w14:textId="77777777" w:rsidR="00264588" w:rsidRDefault="00264588" w:rsidP="00264588">
      <w:pPr>
        <w:pStyle w:val="NumPara"/>
        <w:numPr>
          <w:ilvl w:val="0"/>
          <w:numId w:val="0"/>
        </w:numPr>
        <w:ind w:left="567"/>
      </w:pPr>
    </w:p>
    <w:p w14:paraId="042CC198" w14:textId="54A00B3D" w:rsidR="00264588" w:rsidRPr="003D6602" w:rsidRDefault="00144E48" w:rsidP="003D6602">
      <w:pPr>
        <w:pStyle w:val="NumPara"/>
        <w:rPr>
          <w:rFonts w:cs="Arial"/>
        </w:rPr>
      </w:pPr>
      <w:r>
        <w:t xml:space="preserve">As can be seen from </w:t>
      </w:r>
      <w:r>
        <w:fldChar w:fldCharType="begin"/>
      </w:r>
      <w:r>
        <w:instrText xml:space="preserve"> REF _Ref422224492 \h </w:instrText>
      </w:r>
      <w:r>
        <w:fldChar w:fldCharType="separate"/>
      </w:r>
      <w:r w:rsidRPr="00144E48">
        <w:t xml:space="preserve">Figure </w:t>
      </w:r>
      <w:r>
        <w:rPr>
          <w:noProof/>
        </w:rPr>
        <w:t>5</w:t>
      </w:r>
      <w:r>
        <w:fldChar w:fldCharType="end"/>
      </w:r>
      <w:r>
        <w:fldChar w:fldCharType="begin"/>
      </w:r>
      <w:r>
        <w:instrText xml:space="preserve"> REF _Ref422224564 \h </w:instrText>
      </w:r>
      <w:r>
        <w:fldChar w:fldCharType="separate"/>
      </w:r>
      <w:r>
        <w:t xml:space="preserve"> and </w:t>
      </w:r>
      <w:r w:rsidRPr="00144E48">
        <w:rPr>
          <w:noProof/>
        </w:rPr>
        <w:t>6</w:t>
      </w:r>
      <w:r>
        <w:fldChar w:fldCharType="end"/>
      </w:r>
      <w:r w:rsidR="00264588">
        <w:t xml:space="preserve">, the rotation of the </w:t>
      </w:r>
      <w:r>
        <w:t xml:space="preserve">dwelling </w:t>
      </w:r>
      <w:r w:rsidR="00264588">
        <w:t xml:space="preserve">has a relatively small impact on total </w:t>
      </w:r>
      <w:r>
        <w:t xml:space="preserve">energy </w:t>
      </w:r>
      <w:r w:rsidR="00264588">
        <w:t xml:space="preserve">consumption and the </w:t>
      </w:r>
      <w:r>
        <w:t xml:space="preserve">amount of </w:t>
      </w:r>
      <w:r w:rsidR="00264588">
        <w:t xml:space="preserve">energy required </w:t>
      </w:r>
      <w:r>
        <w:t xml:space="preserve">for space heating. </w:t>
      </w:r>
      <w:r w:rsidR="00264588">
        <w:t xml:space="preserve">It is in fact only space heating </w:t>
      </w:r>
      <w:r>
        <w:t xml:space="preserve">energy </w:t>
      </w:r>
      <w:r w:rsidR="00264588">
        <w:t>consumption t</w:t>
      </w:r>
      <w:r>
        <w:t>hat changes between each iteration,</w:t>
      </w:r>
      <w:r w:rsidR="00264588">
        <w:t xml:space="preserve"> as this is the only orien</w:t>
      </w:r>
      <w:r>
        <w:t>tation dependant variable. The results indicate that there</w:t>
      </w:r>
      <w:r w:rsidR="003D6602">
        <w:t xml:space="preserve"> is a total of 75.5</w:t>
      </w:r>
      <w:r w:rsidR="00264588">
        <w:t xml:space="preserve"> kWh/annum difference </w:t>
      </w:r>
      <w:r>
        <w:t>in scenario 1</w:t>
      </w:r>
      <w:r w:rsidR="003D6602">
        <w:t>.1</w:t>
      </w:r>
      <w:r>
        <w:t xml:space="preserve"> and </w:t>
      </w:r>
      <w:r w:rsidR="003D6602">
        <w:t>81 kWh/annum in scenario 1.2</w:t>
      </w:r>
      <w:r w:rsidR="003D6602">
        <w:rPr>
          <w:rFonts w:cs="Arial"/>
        </w:rPr>
        <w:t xml:space="preserve"> </w:t>
      </w:r>
      <w:r w:rsidR="00264588">
        <w:t xml:space="preserve">between the best performing </w:t>
      </w:r>
      <w:r>
        <w:t>(</w:t>
      </w:r>
      <w:r w:rsidR="00264588">
        <w:t>0</w:t>
      </w:r>
      <w:r w:rsidR="00264588" w:rsidRPr="003D6602">
        <w:rPr>
          <w:rFonts w:cs="Arial"/>
        </w:rPr>
        <w:t>°) and worst performi</w:t>
      </w:r>
      <w:r w:rsidRPr="003D6602">
        <w:rPr>
          <w:rFonts w:cs="Arial"/>
        </w:rPr>
        <w:t>ng orientation (210°)</w:t>
      </w:r>
      <w:r w:rsidR="00264588" w:rsidRPr="003D6602">
        <w:rPr>
          <w:rFonts w:cs="Arial"/>
        </w:rPr>
        <w:t>. The total energy consumption differs only slightly between scenarios 1</w:t>
      </w:r>
      <w:r w:rsidRPr="003D6602">
        <w:rPr>
          <w:rFonts w:cs="Arial"/>
        </w:rPr>
        <w:t>.1</w:t>
      </w:r>
      <w:r w:rsidR="00264588" w:rsidRPr="003D6602">
        <w:rPr>
          <w:rFonts w:cs="Arial"/>
        </w:rPr>
        <w:t xml:space="preserve"> and </w:t>
      </w:r>
      <w:r w:rsidRPr="003D6602">
        <w:rPr>
          <w:rFonts w:cs="Arial"/>
        </w:rPr>
        <w:t>1.</w:t>
      </w:r>
      <w:r w:rsidR="00264588" w:rsidRPr="003D6602">
        <w:rPr>
          <w:rFonts w:cs="Arial"/>
        </w:rPr>
        <w:t xml:space="preserve">2 with a mean difference of </w:t>
      </w:r>
      <w:r w:rsidR="0089604C" w:rsidRPr="003D6602">
        <w:rPr>
          <w:rFonts w:cs="Arial"/>
        </w:rPr>
        <w:t>82</w:t>
      </w:r>
      <w:r w:rsidR="00264588" w:rsidRPr="003D6602">
        <w:rPr>
          <w:rFonts w:cs="Arial"/>
        </w:rPr>
        <w:t xml:space="preserve"> kWh</w:t>
      </w:r>
      <w:r w:rsidR="003D6602">
        <w:rPr>
          <w:rFonts w:cs="Arial"/>
        </w:rPr>
        <w:t>/annum</w:t>
      </w:r>
      <w:r w:rsidR="00264588" w:rsidRPr="003D6602">
        <w:rPr>
          <w:rFonts w:cs="Arial"/>
        </w:rPr>
        <w:t xml:space="preserve"> for all orientations of the models.</w:t>
      </w:r>
    </w:p>
    <w:p w14:paraId="440BA7CE" w14:textId="0F29E0C1" w:rsidR="00264588" w:rsidRDefault="00264588" w:rsidP="00264588">
      <w:pPr>
        <w:pStyle w:val="NumPara"/>
      </w:pPr>
      <w:r>
        <w:t>Unheated storage voids are included in the design of the dwelling and these effectively act as buffer zones in terms of heat loss. These have not been included in the conditioned floor area of the DTS model which is equal to 127.64m</w:t>
      </w:r>
      <w:r w:rsidRPr="00B36EDE">
        <w:rPr>
          <w:vertAlign w:val="superscript"/>
        </w:rPr>
        <w:t>2</w:t>
      </w:r>
      <w:r>
        <w:t xml:space="preserve">. Using this area, the total mean energy consumption of the </w:t>
      </w:r>
      <w:r w:rsidR="007A34D2">
        <w:t xml:space="preserve">baseline SAP </w:t>
      </w:r>
      <w:r>
        <w:t>dwelling for all orientations in scenario 1</w:t>
      </w:r>
      <w:r w:rsidR="003D6602">
        <w:t>.1</w:t>
      </w:r>
      <w:r>
        <w:t xml:space="preserve"> is 113.96 kWh/m</w:t>
      </w:r>
      <w:r w:rsidRPr="00F72883">
        <w:rPr>
          <w:vertAlign w:val="superscript"/>
        </w:rPr>
        <w:t>2</w:t>
      </w:r>
      <w:r>
        <w:t>/year of which 19.11 kWh/m</w:t>
      </w:r>
      <w:r w:rsidRPr="00F72883">
        <w:rPr>
          <w:vertAlign w:val="superscript"/>
        </w:rPr>
        <w:t>2</w:t>
      </w:r>
      <w:r>
        <w:t>/year is consumed through space heating. The maximum consumption is at an orientation of 210° and is estimated at 114.23 kWh/m</w:t>
      </w:r>
      <w:r w:rsidRPr="00F72883">
        <w:rPr>
          <w:vertAlign w:val="superscript"/>
        </w:rPr>
        <w:t>2</w:t>
      </w:r>
      <w:r>
        <w:t>/year (19.37 kWh/m</w:t>
      </w:r>
      <w:r w:rsidRPr="009D2991">
        <w:rPr>
          <w:vertAlign w:val="superscript"/>
        </w:rPr>
        <w:t>2</w:t>
      </w:r>
      <w:r>
        <w:t>/year space heating); the minimum is at 0° and is estimated at 113.64 kWh/m</w:t>
      </w:r>
      <w:r w:rsidRPr="00F72883">
        <w:rPr>
          <w:vertAlign w:val="superscript"/>
        </w:rPr>
        <w:t>2</w:t>
      </w:r>
      <w:r>
        <w:t>/year (18.78 kWh/m</w:t>
      </w:r>
      <w:r w:rsidRPr="009D2991">
        <w:rPr>
          <w:vertAlign w:val="superscript"/>
        </w:rPr>
        <w:t>2</w:t>
      </w:r>
      <w:r>
        <w:t>/year space heating).</w:t>
      </w:r>
    </w:p>
    <w:p w14:paraId="0E315D89" w14:textId="76D409B8" w:rsidR="007A34D2" w:rsidRPr="00CF366D" w:rsidRDefault="007A34D2" w:rsidP="00264588">
      <w:pPr>
        <w:pStyle w:val="NumPara"/>
      </w:pPr>
      <w:r>
        <w:t xml:space="preserve">The total mean energy consumption of the dwelling for all orientations in scenario </w:t>
      </w:r>
      <w:r w:rsidR="003D6602">
        <w:t>1.</w:t>
      </w:r>
      <w:r>
        <w:t>2 is 1</w:t>
      </w:r>
      <w:r w:rsidR="00523369">
        <w:t>22</w:t>
      </w:r>
      <w:r>
        <w:t>.</w:t>
      </w:r>
      <w:r w:rsidR="00523369">
        <w:t>75</w:t>
      </w:r>
      <w:r>
        <w:t xml:space="preserve"> kWh/m</w:t>
      </w:r>
      <w:r w:rsidRPr="00F72883">
        <w:rPr>
          <w:vertAlign w:val="superscript"/>
        </w:rPr>
        <w:t>2</w:t>
      </w:r>
      <w:r>
        <w:t xml:space="preserve">/year of which </w:t>
      </w:r>
      <w:r w:rsidR="00523369">
        <w:t>18</w:t>
      </w:r>
      <w:r>
        <w:t>.</w:t>
      </w:r>
      <w:r w:rsidR="00523369">
        <w:t>71</w:t>
      </w:r>
      <w:r>
        <w:t xml:space="preserve"> kWh/m</w:t>
      </w:r>
      <w:r w:rsidRPr="00F72883">
        <w:rPr>
          <w:vertAlign w:val="superscript"/>
        </w:rPr>
        <w:t>2</w:t>
      </w:r>
      <w:r>
        <w:t>/year is consumed through space heating. The maximum consumption is at an orientation of 210° and is estimated at 1</w:t>
      </w:r>
      <w:r w:rsidR="00523369">
        <w:t>23</w:t>
      </w:r>
      <w:r>
        <w:t>.</w:t>
      </w:r>
      <w:r w:rsidR="00523369">
        <w:t>04</w:t>
      </w:r>
      <w:r>
        <w:t xml:space="preserve"> kWh/m</w:t>
      </w:r>
      <w:r w:rsidRPr="00F72883">
        <w:rPr>
          <w:vertAlign w:val="superscript"/>
        </w:rPr>
        <w:t>2</w:t>
      </w:r>
      <w:r>
        <w:t>/year (1</w:t>
      </w:r>
      <w:r w:rsidR="00523369">
        <w:t>8</w:t>
      </w:r>
      <w:r>
        <w:t>.</w:t>
      </w:r>
      <w:r w:rsidR="00523369">
        <w:t>99</w:t>
      </w:r>
      <w:r>
        <w:t xml:space="preserve"> kWh/m</w:t>
      </w:r>
      <w:r w:rsidRPr="009D2991">
        <w:rPr>
          <w:vertAlign w:val="superscript"/>
        </w:rPr>
        <w:t>2</w:t>
      </w:r>
      <w:r>
        <w:t>/year space heating); the minimum is at 0° and is estimated at 1</w:t>
      </w:r>
      <w:r w:rsidR="00523369">
        <w:t>22</w:t>
      </w:r>
      <w:r>
        <w:t>.</w:t>
      </w:r>
      <w:r w:rsidR="00523369">
        <w:t>40</w:t>
      </w:r>
      <w:r>
        <w:t xml:space="preserve"> kWh/m</w:t>
      </w:r>
      <w:r w:rsidRPr="00F72883">
        <w:rPr>
          <w:vertAlign w:val="superscript"/>
        </w:rPr>
        <w:t>2</w:t>
      </w:r>
      <w:r>
        <w:t>/year (18.</w:t>
      </w:r>
      <w:r w:rsidR="00523369">
        <w:t>35</w:t>
      </w:r>
      <w:r>
        <w:t xml:space="preserve"> kWh/m</w:t>
      </w:r>
      <w:r w:rsidRPr="009D2991">
        <w:rPr>
          <w:vertAlign w:val="superscript"/>
        </w:rPr>
        <w:t>2</w:t>
      </w:r>
      <w:r>
        <w:t>/year space heating).</w:t>
      </w:r>
      <w:r w:rsidR="00523369">
        <w:t xml:space="preserve"> The longer periods of occupancy and consumption from equipment and lighting </w:t>
      </w:r>
      <w:r w:rsidR="003D6602">
        <w:t xml:space="preserve">result in an </w:t>
      </w:r>
      <w:r w:rsidR="00523369">
        <w:t xml:space="preserve">increase </w:t>
      </w:r>
      <w:r w:rsidR="003D6602">
        <w:t xml:space="preserve">in the </w:t>
      </w:r>
      <w:r w:rsidR="00523369">
        <w:t xml:space="preserve">overall energy use in scenario </w:t>
      </w:r>
      <w:r w:rsidR="003D6602">
        <w:t>1.</w:t>
      </w:r>
      <w:r w:rsidR="00523369">
        <w:t xml:space="preserve">2. However, the energy </w:t>
      </w:r>
      <w:r w:rsidR="003D6602">
        <w:t xml:space="preserve">use attributable to </w:t>
      </w:r>
      <w:r w:rsidR="00523369">
        <w:t>space heating is reduced slightly</w:t>
      </w:r>
      <w:r w:rsidR="003D6602">
        <w:t>,</w:t>
      </w:r>
      <w:r w:rsidR="00523369">
        <w:t xml:space="preserve"> </w:t>
      </w:r>
      <w:r w:rsidR="003D6602">
        <w:t xml:space="preserve">despite the extended periods during which space heating is required, </w:t>
      </w:r>
      <w:r w:rsidR="00523369">
        <w:t>due to th</w:t>
      </w:r>
      <w:r w:rsidR="003D6602">
        <w:t>e increased internal heat gains.</w:t>
      </w:r>
    </w:p>
    <w:p w14:paraId="16DE0021" w14:textId="77777777" w:rsidR="00264588" w:rsidRPr="002D3A66" w:rsidRDefault="00264588" w:rsidP="00264588">
      <w:pPr>
        <w:pStyle w:val="NumPara"/>
        <w:numPr>
          <w:ilvl w:val="0"/>
          <w:numId w:val="0"/>
        </w:numPr>
        <w:ind w:left="567"/>
        <w:rPr>
          <w:b/>
          <w:i/>
        </w:rPr>
      </w:pPr>
      <w:r w:rsidRPr="002D3A66">
        <w:rPr>
          <w:b/>
          <w:i/>
        </w:rPr>
        <w:t xml:space="preserve">Overheating </w:t>
      </w:r>
    </w:p>
    <w:p w14:paraId="5DB79DAC" w14:textId="46BA6F85" w:rsidR="00264588" w:rsidRDefault="003D6602" w:rsidP="008B56E0">
      <w:pPr>
        <w:pStyle w:val="NumPara"/>
      </w:pPr>
      <w:r>
        <w:t>The p</w:t>
      </w:r>
      <w:r w:rsidR="00264588">
        <w:t>otential for overheating has been evaluated using the metrics described in paragr</w:t>
      </w:r>
      <w:r>
        <w:t>aphs 28 and 39</w:t>
      </w:r>
      <w:r w:rsidR="00264588">
        <w:t xml:space="preserve"> using the Leeds DSY simulation weather file. Although overheating can be assessed in all </w:t>
      </w:r>
      <w:r>
        <w:t xml:space="preserve">of the </w:t>
      </w:r>
      <w:r w:rsidR="00264588">
        <w:t>rooms</w:t>
      </w:r>
      <w:r>
        <w:t xml:space="preserve"> within the prototype dwelling</w:t>
      </w:r>
      <w:r w:rsidR="00264588">
        <w:t>, this analysis focuses on</w:t>
      </w:r>
      <w:r>
        <w:t>ly on</w:t>
      </w:r>
      <w:r w:rsidR="00264588">
        <w:t xml:space="preserve"> those </w:t>
      </w:r>
      <w:r>
        <w:t>rooms with the highest levels of occupancy, namely</w:t>
      </w:r>
      <w:r w:rsidR="00264588">
        <w:t xml:space="preserve">: L3 Bedroom, L6 Bedroom, L5 Study, L5 Lounge and L5 Kitchen. Cooling is provided by </w:t>
      </w:r>
      <w:r>
        <w:t>a summertime bypass incorporated with</w:t>
      </w:r>
      <w:r w:rsidR="00264588">
        <w:t>i</w:t>
      </w:r>
      <w:r w:rsidR="008B56E0">
        <w:t>n the MVHR system which operates</w:t>
      </w:r>
      <w:r w:rsidR="00264588">
        <w:t xml:space="preserve"> only when </w:t>
      </w:r>
      <w:r>
        <w:t>the internal temperature</w:t>
      </w:r>
      <w:r w:rsidR="00264588">
        <w:t xml:space="preserve"> reach</w:t>
      </w:r>
      <w:r>
        <w:t>es</w:t>
      </w:r>
      <w:r w:rsidR="00264588">
        <w:t xml:space="preserve"> 25</w:t>
      </w:r>
      <w:r w:rsidR="00264588">
        <w:rPr>
          <w:rFonts w:cs="Arial"/>
        </w:rPr>
        <w:t>°</w:t>
      </w:r>
      <w:r w:rsidR="00264588">
        <w:t>C</w:t>
      </w:r>
      <w:r w:rsidR="008B56E0">
        <w:t xml:space="preserve">. </w:t>
      </w:r>
      <w:r>
        <w:t>I</w:t>
      </w:r>
      <w:r w:rsidR="00264588">
        <w:t xml:space="preserve">t is </w:t>
      </w:r>
      <w:r>
        <w:t xml:space="preserve">also </w:t>
      </w:r>
      <w:r w:rsidR="00264588">
        <w:t xml:space="preserve">assumed that </w:t>
      </w:r>
      <w:r>
        <w:t xml:space="preserve">the </w:t>
      </w:r>
      <w:r w:rsidR="00264588">
        <w:t xml:space="preserve">external shutters are closed during daylight hours as per the SAP </w:t>
      </w:r>
      <w:r w:rsidRPr="003D6602">
        <w:t>worksheet dated 11th August 2011.</w:t>
      </w:r>
      <w:r w:rsidR="003B52CB">
        <w:t xml:space="preserve"> </w:t>
      </w:r>
      <w:r w:rsidR="003B52CB">
        <w:fldChar w:fldCharType="begin"/>
      </w:r>
      <w:r w:rsidR="003B52CB">
        <w:instrText xml:space="preserve"> REF _Ref422225695 \h </w:instrText>
      </w:r>
      <w:r w:rsidR="003B52CB">
        <w:fldChar w:fldCharType="separate"/>
      </w:r>
      <w:r w:rsidR="003B52CB" w:rsidRPr="003D6602">
        <w:t xml:space="preserve">Table </w:t>
      </w:r>
      <w:r w:rsidR="003B52CB">
        <w:rPr>
          <w:noProof/>
        </w:rPr>
        <w:t>4</w:t>
      </w:r>
      <w:r w:rsidR="003B52CB">
        <w:fldChar w:fldCharType="end"/>
      </w:r>
      <w:r w:rsidR="003B52CB">
        <w:t xml:space="preserve"> and </w:t>
      </w:r>
      <w:r w:rsidR="003B52CB">
        <w:fldChar w:fldCharType="begin"/>
      </w:r>
      <w:r w:rsidR="003B52CB">
        <w:instrText xml:space="preserve"> REF _Ref422225696 \h </w:instrText>
      </w:r>
      <w:r w:rsidR="003B52CB">
        <w:fldChar w:fldCharType="separate"/>
      </w:r>
      <w:r w:rsidR="003B52CB" w:rsidRPr="003D6602">
        <w:t xml:space="preserve">Table </w:t>
      </w:r>
      <w:r w:rsidR="003B52CB">
        <w:rPr>
          <w:noProof/>
        </w:rPr>
        <w:t>5</w:t>
      </w:r>
      <w:r w:rsidR="003B52CB">
        <w:fldChar w:fldCharType="end"/>
      </w:r>
      <w:r w:rsidR="003B52CB">
        <w:t xml:space="preserve"> </w:t>
      </w:r>
      <w:r w:rsidR="00264588">
        <w:t xml:space="preserve">present </w:t>
      </w:r>
      <w:r w:rsidR="003B52CB">
        <w:t xml:space="preserve">the </w:t>
      </w:r>
      <w:r w:rsidR="00264588">
        <w:t xml:space="preserve">results for </w:t>
      </w:r>
      <w:r w:rsidR="003B52CB">
        <w:t xml:space="preserve">the </w:t>
      </w:r>
      <w:r w:rsidR="00264588">
        <w:t xml:space="preserve">overheating </w:t>
      </w:r>
      <w:r w:rsidR="003B52CB">
        <w:t xml:space="preserve">analysis </w:t>
      </w:r>
      <w:r w:rsidR="00264588">
        <w:t>under the absolute metric for scenarios 1</w:t>
      </w:r>
      <w:r w:rsidR="003B52CB">
        <w:t>.1</w:t>
      </w:r>
      <w:r w:rsidR="00264588">
        <w:t xml:space="preserve"> and 2</w:t>
      </w:r>
      <w:r w:rsidR="003B52CB">
        <w:t>.1 respectively, whilst</w:t>
      </w:r>
      <w:r w:rsidR="00264588">
        <w:t xml:space="preserve"> </w:t>
      </w:r>
      <w:r w:rsidR="003B52CB">
        <w:fldChar w:fldCharType="begin"/>
      </w:r>
      <w:r w:rsidR="003B52CB">
        <w:instrText xml:space="preserve"> REF _Ref422225728 \h </w:instrText>
      </w:r>
      <w:r w:rsidR="003B52CB">
        <w:fldChar w:fldCharType="separate"/>
      </w:r>
      <w:r w:rsidR="003B52CB" w:rsidRPr="003D6602">
        <w:t xml:space="preserve">Table </w:t>
      </w:r>
      <w:r w:rsidR="003B52CB">
        <w:rPr>
          <w:noProof/>
        </w:rPr>
        <w:t>6</w:t>
      </w:r>
      <w:r w:rsidR="003B52CB">
        <w:fldChar w:fldCharType="end"/>
      </w:r>
      <w:r w:rsidR="003B52CB">
        <w:t xml:space="preserve"> and </w:t>
      </w:r>
      <w:r w:rsidR="003B52CB">
        <w:fldChar w:fldCharType="begin"/>
      </w:r>
      <w:r w:rsidR="003B52CB">
        <w:instrText xml:space="preserve"> REF _Ref422225730 \h </w:instrText>
      </w:r>
      <w:r w:rsidR="003B52CB">
        <w:fldChar w:fldCharType="separate"/>
      </w:r>
      <w:r w:rsidR="003B52CB" w:rsidRPr="003D6602">
        <w:t xml:space="preserve">Table </w:t>
      </w:r>
      <w:r w:rsidR="003B52CB" w:rsidRPr="003D6602">
        <w:rPr>
          <w:noProof/>
        </w:rPr>
        <w:t>7</w:t>
      </w:r>
      <w:r w:rsidR="003B52CB">
        <w:fldChar w:fldCharType="end"/>
      </w:r>
      <w:r w:rsidR="003B52CB">
        <w:t xml:space="preserve"> present the</w:t>
      </w:r>
      <w:r w:rsidR="00264588">
        <w:t xml:space="preserve"> </w:t>
      </w:r>
      <w:r w:rsidR="003B52CB">
        <w:t>overheating analysis results using</w:t>
      </w:r>
      <w:r w:rsidR="00264588">
        <w:t xml:space="preserve"> the adaptive comfort metrics. In all of the tables</w:t>
      </w:r>
      <w:r w:rsidR="003B52CB">
        <w:t>,</w:t>
      </w:r>
      <w:r w:rsidR="00264588">
        <w:t xml:space="preserve"> cells shaded in red indicate a fail case. For the adaptive comfort metrics, a room is considered to have</w:t>
      </w:r>
      <w:r w:rsidR="003B52CB">
        <w:t xml:space="preserve"> failed if</w:t>
      </w:r>
      <w:r w:rsidR="00264588">
        <w:t xml:space="preserve"> two out of the three criteria are failed.</w:t>
      </w:r>
    </w:p>
    <w:p w14:paraId="6828A55A" w14:textId="77777777" w:rsidR="00264588" w:rsidRDefault="00264588" w:rsidP="00264588">
      <w:pPr>
        <w:pStyle w:val="NumPara"/>
        <w:numPr>
          <w:ilvl w:val="0"/>
          <w:numId w:val="0"/>
        </w:numPr>
      </w:pPr>
    </w:p>
    <w:p w14:paraId="7A5C4DAD" w14:textId="77777777" w:rsidR="00264588" w:rsidRDefault="00264588" w:rsidP="00264588">
      <w:pPr>
        <w:pStyle w:val="NumPara"/>
        <w:numPr>
          <w:ilvl w:val="0"/>
          <w:numId w:val="0"/>
        </w:numPr>
      </w:pPr>
      <w:r w:rsidRPr="00720F09">
        <w:rPr>
          <w:noProof/>
          <w:lang w:eastAsia="en-GB"/>
        </w:rPr>
        <w:drawing>
          <wp:inline distT="0" distB="0" distL="0" distR="0" wp14:anchorId="531C4810" wp14:editId="7F057E8F">
            <wp:extent cx="5940425" cy="2259912"/>
            <wp:effectExtent l="0" t="0" r="317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259912"/>
                    </a:xfrm>
                    <a:prstGeom prst="rect">
                      <a:avLst/>
                    </a:prstGeom>
                    <a:noFill/>
                    <a:ln>
                      <a:noFill/>
                    </a:ln>
                  </pic:spPr>
                </pic:pic>
              </a:graphicData>
            </a:graphic>
          </wp:inline>
        </w:drawing>
      </w:r>
    </w:p>
    <w:p w14:paraId="67DDC779" w14:textId="3A77EEE2" w:rsidR="00264588" w:rsidRPr="003D6602" w:rsidRDefault="003D6602" w:rsidP="003D6602">
      <w:pPr>
        <w:pStyle w:val="Caption"/>
        <w:jc w:val="center"/>
      </w:pPr>
      <w:bookmarkStart w:id="22" w:name="_Ref422225695"/>
      <w:r w:rsidRPr="003D6602">
        <w:t xml:space="preserve">Table </w:t>
      </w:r>
      <w:r w:rsidR="008A45D9">
        <w:fldChar w:fldCharType="begin"/>
      </w:r>
      <w:r w:rsidR="008A45D9">
        <w:instrText xml:space="preserve"> SEQ Table \* ARABIC </w:instrText>
      </w:r>
      <w:r w:rsidR="008A45D9">
        <w:fldChar w:fldCharType="separate"/>
      </w:r>
      <w:r w:rsidR="008D0405">
        <w:rPr>
          <w:noProof/>
        </w:rPr>
        <w:t>4</w:t>
      </w:r>
      <w:r w:rsidR="008A45D9">
        <w:rPr>
          <w:noProof/>
        </w:rPr>
        <w:fldChar w:fldCharType="end"/>
      </w:r>
      <w:bookmarkEnd w:id="22"/>
      <w:r w:rsidRPr="003D6602">
        <w:t xml:space="preserve"> </w:t>
      </w:r>
      <w:r w:rsidR="00264588" w:rsidRPr="003D6602">
        <w:t>Predicted overheating for scenario 1</w:t>
      </w:r>
      <w:r w:rsidR="007F28D2">
        <w:t>.1</w:t>
      </w:r>
      <w:r w:rsidR="00264588" w:rsidRPr="003D6602">
        <w:t xml:space="preserve"> using absolute metrics.</w:t>
      </w:r>
    </w:p>
    <w:p w14:paraId="423A59E7" w14:textId="77777777" w:rsidR="00264588" w:rsidRDefault="00264588" w:rsidP="00264588">
      <w:pPr>
        <w:pStyle w:val="NumPara"/>
        <w:numPr>
          <w:ilvl w:val="0"/>
          <w:numId w:val="0"/>
        </w:numPr>
        <w:jc w:val="center"/>
        <w:rPr>
          <w:b/>
        </w:rPr>
      </w:pPr>
    </w:p>
    <w:p w14:paraId="5397D0CD" w14:textId="77777777" w:rsidR="00264588" w:rsidRDefault="00264588" w:rsidP="00264588">
      <w:pPr>
        <w:pStyle w:val="NumPara"/>
        <w:numPr>
          <w:ilvl w:val="0"/>
          <w:numId w:val="0"/>
        </w:numPr>
        <w:jc w:val="center"/>
        <w:rPr>
          <w:b/>
        </w:rPr>
      </w:pPr>
      <w:r w:rsidRPr="009D2991">
        <w:rPr>
          <w:noProof/>
          <w:lang w:eastAsia="en-GB"/>
        </w:rPr>
        <w:lastRenderedPageBreak/>
        <w:drawing>
          <wp:inline distT="0" distB="0" distL="0" distR="0" wp14:anchorId="10D523D2" wp14:editId="5BCBEA1B">
            <wp:extent cx="5940425" cy="2363357"/>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363357"/>
                    </a:xfrm>
                    <a:prstGeom prst="rect">
                      <a:avLst/>
                    </a:prstGeom>
                    <a:noFill/>
                    <a:ln>
                      <a:noFill/>
                    </a:ln>
                  </pic:spPr>
                </pic:pic>
              </a:graphicData>
            </a:graphic>
          </wp:inline>
        </w:drawing>
      </w:r>
    </w:p>
    <w:p w14:paraId="5BC7E14A" w14:textId="2614258D" w:rsidR="00264588" w:rsidRPr="003D6602" w:rsidRDefault="003D6602" w:rsidP="003D6602">
      <w:pPr>
        <w:pStyle w:val="Caption"/>
        <w:jc w:val="center"/>
      </w:pPr>
      <w:bookmarkStart w:id="23" w:name="_Ref422225696"/>
      <w:r w:rsidRPr="003D6602">
        <w:t xml:space="preserve">Table </w:t>
      </w:r>
      <w:r w:rsidR="008A45D9">
        <w:fldChar w:fldCharType="begin"/>
      </w:r>
      <w:r w:rsidR="008A45D9">
        <w:instrText xml:space="preserve"> SEQ Table \* ARABIC </w:instrText>
      </w:r>
      <w:r w:rsidR="008A45D9">
        <w:fldChar w:fldCharType="separate"/>
      </w:r>
      <w:r w:rsidR="008D0405">
        <w:rPr>
          <w:noProof/>
        </w:rPr>
        <w:t>5</w:t>
      </w:r>
      <w:r w:rsidR="008A45D9">
        <w:rPr>
          <w:noProof/>
        </w:rPr>
        <w:fldChar w:fldCharType="end"/>
      </w:r>
      <w:bookmarkEnd w:id="23"/>
      <w:r w:rsidRPr="003D6602">
        <w:t xml:space="preserve"> </w:t>
      </w:r>
      <w:r w:rsidR="00264588" w:rsidRPr="003D6602">
        <w:t xml:space="preserve">Predicted overheating for scenario </w:t>
      </w:r>
      <w:r w:rsidR="007F28D2">
        <w:t>1.</w:t>
      </w:r>
      <w:r w:rsidR="00264588" w:rsidRPr="003D6602">
        <w:t>2 using absolute metrics.</w:t>
      </w:r>
    </w:p>
    <w:p w14:paraId="1E1AB658" w14:textId="77777777" w:rsidR="007A34D2" w:rsidRDefault="007A34D2" w:rsidP="00264588">
      <w:pPr>
        <w:pStyle w:val="NumPara"/>
        <w:numPr>
          <w:ilvl w:val="0"/>
          <w:numId w:val="0"/>
        </w:numPr>
        <w:jc w:val="center"/>
        <w:rPr>
          <w:b/>
        </w:rPr>
      </w:pPr>
    </w:p>
    <w:p w14:paraId="01D20C03" w14:textId="77777777" w:rsidR="00264588" w:rsidRDefault="00264588" w:rsidP="00264588">
      <w:pPr>
        <w:pStyle w:val="NumPara"/>
        <w:numPr>
          <w:ilvl w:val="0"/>
          <w:numId w:val="0"/>
        </w:numPr>
        <w:jc w:val="center"/>
        <w:rPr>
          <w:b/>
        </w:rPr>
      </w:pPr>
      <w:r w:rsidRPr="00F63173">
        <w:rPr>
          <w:noProof/>
          <w:lang w:eastAsia="en-GB"/>
        </w:rPr>
        <w:drawing>
          <wp:inline distT="0" distB="0" distL="0" distR="0" wp14:anchorId="38E0FE34" wp14:editId="2A84D60D">
            <wp:extent cx="5940425" cy="2215201"/>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215201"/>
                    </a:xfrm>
                    <a:prstGeom prst="rect">
                      <a:avLst/>
                    </a:prstGeom>
                    <a:noFill/>
                    <a:ln>
                      <a:noFill/>
                    </a:ln>
                  </pic:spPr>
                </pic:pic>
              </a:graphicData>
            </a:graphic>
          </wp:inline>
        </w:drawing>
      </w:r>
    </w:p>
    <w:p w14:paraId="599F2BF7" w14:textId="6DF156B4" w:rsidR="00264588" w:rsidRPr="003D6602" w:rsidRDefault="003D6602" w:rsidP="003D6602">
      <w:pPr>
        <w:pStyle w:val="Caption"/>
        <w:jc w:val="center"/>
      </w:pPr>
      <w:bookmarkStart w:id="24" w:name="_Ref422225728"/>
      <w:r w:rsidRPr="003D6602">
        <w:t xml:space="preserve">Table </w:t>
      </w:r>
      <w:r w:rsidR="008A45D9">
        <w:fldChar w:fldCharType="begin"/>
      </w:r>
      <w:r w:rsidR="008A45D9">
        <w:instrText xml:space="preserve"> SEQ Table \* ARABIC </w:instrText>
      </w:r>
      <w:r w:rsidR="008A45D9">
        <w:fldChar w:fldCharType="separate"/>
      </w:r>
      <w:r w:rsidR="008D0405">
        <w:rPr>
          <w:noProof/>
        </w:rPr>
        <w:t>6</w:t>
      </w:r>
      <w:r w:rsidR="008A45D9">
        <w:rPr>
          <w:noProof/>
        </w:rPr>
        <w:fldChar w:fldCharType="end"/>
      </w:r>
      <w:bookmarkEnd w:id="24"/>
      <w:r w:rsidRPr="003D6602">
        <w:t xml:space="preserve"> </w:t>
      </w:r>
      <w:r w:rsidR="00264588" w:rsidRPr="003D6602">
        <w:t xml:space="preserve">Predicted overheating for scenario </w:t>
      </w:r>
      <w:r w:rsidR="007F28D2">
        <w:t>1.</w:t>
      </w:r>
      <w:r w:rsidR="00264588" w:rsidRPr="003D6602">
        <w:t>1 using adaptive comfort metrics.</w:t>
      </w:r>
    </w:p>
    <w:p w14:paraId="4A66967F" w14:textId="77777777" w:rsidR="00264588" w:rsidRDefault="00264588" w:rsidP="00264588">
      <w:pPr>
        <w:pStyle w:val="NumPara"/>
        <w:numPr>
          <w:ilvl w:val="0"/>
          <w:numId w:val="0"/>
        </w:numPr>
        <w:jc w:val="center"/>
        <w:rPr>
          <w:b/>
        </w:rPr>
      </w:pPr>
    </w:p>
    <w:p w14:paraId="5CA851F6" w14:textId="77777777" w:rsidR="00264588" w:rsidRDefault="00264588" w:rsidP="00264588">
      <w:pPr>
        <w:pStyle w:val="NumPara"/>
        <w:numPr>
          <w:ilvl w:val="0"/>
          <w:numId w:val="0"/>
        </w:numPr>
        <w:jc w:val="center"/>
        <w:rPr>
          <w:b/>
        </w:rPr>
      </w:pPr>
      <w:r w:rsidRPr="00F63173">
        <w:rPr>
          <w:noProof/>
          <w:lang w:eastAsia="en-GB"/>
        </w:rPr>
        <w:drawing>
          <wp:inline distT="0" distB="0" distL="0" distR="0" wp14:anchorId="45147D4D" wp14:editId="3E17BEE0">
            <wp:extent cx="5940425" cy="2316599"/>
            <wp:effectExtent l="0" t="0" r="317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316599"/>
                    </a:xfrm>
                    <a:prstGeom prst="rect">
                      <a:avLst/>
                    </a:prstGeom>
                    <a:noFill/>
                    <a:ln>
                      <a:noFill/>
                    </a:ln>
                  </pic:spPr>
                </pic:pic>
              </a:graphicData>
            </a:graphic>
          </wp:inline>
        </w:drawing>
      </w:r>
    </w:p>
    <w:p w14:paraId="54FA209C" w14:textId="5E983857" w:rsidR="00264588" w:rsidRPr="003D6602" w:rsidRDefault="003D6602" w:rsidP="003D6602">
      <w:pPr>
        <w:pStyle w:val="Caption"/>
        <w:jc w:val="center"/>
      </w:pPr>
      <w:bookmarkStart w:id="25" w:name="_Ref422225730"/>
      <w:r w:rsidRPr="003D6602">
        <w:t xml:space="preserve">Table </w:t>
      </w:r>
      <w:r w:rsidR="008A45D9">
        <w:fldChar w:fldCharType="begin"/>
      </w:r>
      <w:r w:rsidR="008A45D9">
        <w:instrText xml:space="preserve"> SEQ Table \* ARABIC </w:instrText>
      </w:r>
      <w:r w:rsidR="008A45D9">
        <w:fldChar w:fldCharType="separate"/>
      </w:r>
      <w:r w:rsidR="008D0405">
        <w:rPr>
          <w:noProof/>
        </w:rPr>
        <w:t>7</w:t>
      </w:r>
      <w:r w:rsidR="008A45D9">
        <w:rPr>
          <w:noProof/>
        </w:rPr>
        <w:fldChar w:fldCharType="end"/>
      </w:r>
      <w:bookmarkEnd w:id="25"/>
      <w:r w:rsidRPr="003D6602">
        <w:t xml:space="preserve"> </w:t>
      </w:r>
      <w:r w:rsidR="00264588" w:rsidRPr="003D6602">
        <w:t xml:space="preserve">Predicted overheating for scenario </w:t>
      </w:r>
      <w:r w:rsidR="007F28D2">
        <w:t>1.</w:t>
      </w:r>
      <w:r w:rsidR="00264588" w:rsidRPr="003D6602">
        <w:t>2 using adaptive comfort metrics.</w:t>
      </w:r>
    </w:p>
    <w:p w14:paraId="1AC1D591" w14:textId="77777777" w:rsidR="00264588" w:rsidRPr="00F63173" w:rsidRDefault="00264588" w:rsidP="00264588">
      <w:pPr>
        <w:pStyle w:val="NumPara"/>
        <w:numPr>
          <w:ilvl w:val="0"/>
          <w:numId w:val="0"/>
        </w:numPr>
        <w:rPr>
          <w:b/>
        </w:rPr>
      </w:pPr>
    </w:p>
    <w:p w14:paraId="192AEDCD" w14:textId="5D80726E" w:rsidR="00264588" w:rsidRDefault="007A34D2" w:rsidP="00264588">
      <w:pPr>
        <w:pStyle w:val="NumPara"/>
      </w:pPr>
      <w:r>
        <w:t>A</w:t>
      </w:r>
      <w:r w:rsidR="007F28D2">
        <w:t xml:space="preserve">s can be seen in </w:t>
      </w:r>
      <w:r w:rsidR="007F28D2">
        <w:fldChar w:fldCharType="begin"/>
      </w:r>
      <w:r w:rsidR="007F28D2">
        <w:instrText xml:space="preserve"> REF _Ref422225695 \h </w:instrText>
      </w:r>
      <w:r w:rsidR="007F28D2">
        <w:fldChar w:fldCharType="separate"/>
      </w:r>
      <w:r w:rsidR="007F28D2" w:rsidRPr="003D6602">
        <w:t xml:space="preserve">Table </w:t>
      </w:r>
      <w:r w:rsidR="007F28D2">
        <w:rPr>
          <w:noProof/>
        </w:rPr>
        <w:t>4</w:t>
      </w:r>
      <w:r w:rsidR="007F28D2">
        <w:fldChar w:fldCharType="end"/>
      </w:r>
      <w:r w:rsidR="007F28D2">
        <w:t xml:space="preserve"> and </w:t>
      </w:r>
      <w:r w:rsidR="007F28D2">
        <w:fldChar w:fldCharType="begin"/>
      </w:r>
      <w:r w:rsidR="007F28D2">
        <w:instrText xml:space="preserve"> REF _Ref422225696 \h </w:instrText>
      </w:r>
      <w:r w:rsidR="007F28D2">
        <w:fldChar w:fldCharType="separate"/>
      </w:r>
      <w:r w:rsidR="007F28D2" w:rsidRPr="003D6602">
        <w:t xml:space="preserve">Table </w:t>
      </w:r>
      <w:r w:rsidR="007F28D2">
        <w:rPr>
          <w:noProof/>
        </w:rPr>
        <w:t>5</w:t>
      </w:r>
      <w:r w:rsidR="007F28D2">
        <w:fldChar w:fldCharType="end"/>
      </w:r>
      <w:r w:rsidR="007F28D2">
        <w:t>,</w:t>
      </w:r>
      <w:r>
        <w:t xml:space="preserve"> all of the selected rooms in the dwelling exceed the thresholds for the percentage of occupied hours </w:t>
      </w:r>
      <w:r w:rsidR="007F28D2">
        <w:t>in both scenarios using the</w:t>
      </w:r>
      <w:r>
        <w:t xml:space="preserve"> absolute metrics. Overheating is particularly pronounced i</w:t>
      </w:r>
      <w:r w:rsidR="00A26AFC">
        <w:t xml:space="preserve">n the study, lounge and kitchen with a large percentage of hours exceeding the thresholds in all cases. </w:t>
      </w:r>
    </w:p>
    <w:p w14:paraId="1EF187F3" w14:textId="244A9127" w:rsidR="00100D1C" w:rsidRDefault="00A26AFC" w:rsidP="00A26AFC">
      <w:pPr>
        <w:pStyle w:val="NumPara"/>
      </w:pPr>
      <w:r>
        <w:lastRenderedPageBreak/>
        <w:t>When evaluated using the adaptive comfort metrics</w:t>
      </w:r>
      <w:r w:rsidR="007F28D2">
        <w:t>,</w:t>
      </w:r>
      <w:r>
        <w:t xml:space="preserve"> the results are less severe. The L3 bedroom is not considered to overheat in either scenario in any orientation. In scenario 1</w:t>
      </w:r>
      <w:r w:rsidR="007F28D2">
        <w:t>.1</w:t>
      </w:r>
      <w:r>
        <w:t>, the L6 bedroom passes in all orientations and only fails when orientated between 0</w:t>
      </w:r>
      <w:r>
        <w:rPr>
          <w:rFonts w:cs="Arial"/>
        </w:rPr>
        <w:t>°</w:t>
      </w:r>
      <w:r>
        <w:t xml:space="preserve"> – 90</w:t>
      </w:r>
      <w:r>
        <w:rPr>
          <w:rFonts w:cs="Arial"/>
        </w:rPr>
        <w:t>°</w:t>
      </w:r>
      <w:r>
        <w:t xml:space="preserve"> in scenario </w:t>
      </w:r>
      <w:r w:rsidR="007F28D2">
        <w:t>1.</w:t>
      </w:r>
      <w:r>
        <w:t xml:space="preserve">2. Although the overheating is perceived to </w:t>
      </w:r>
      <w:r w:rsidR="007F28D2">
        <w:t xml:space="preserve">be </w:t>
      </w:r>
      <w:r>
        <w:t xml:space="preserve">less severe for the study, lounge and kitchen when measured </w:t>
      </w:r>
      <w:r w:rsidR="007F28D2">
        <w:t xml:space="preserve">using </w:t>
      </w:r>
      <w:r>
        <w:t xml:space="preserve">the adaptive comfort criteria, these spaces are </w:t>
      </w:r>
      <w:r w:rsidR="007F28D2">
        <w:t xml:space="preserve">still </w:t>
      </w:r>
      <w:r>
        <w:t>considered to ov</w:t>
      </w:r>
      <w:r w:rsidR="007F28D2">
        <w:t xml:space="preserve">erheat to an unacceptable level, </w:t>
      </w:r>
      <w:r>
        <w:t xml:space="preserve">as they fail two out of the three criteria in all cases. </w:t>
      </w:r>
    </w:p>
    <w:p w14:paraId="32F92AC7" w14:textId="77777777" w:rsidR="007744E1" w:rsidRPr="002D3A66" w:rsidRDefault="007744E1" w:rsidP="007744E1">
      <w:pPr>
        <w:pStyle w:val="NumPara"/>
        <w:numPr>
          <w:ilvl w:val="0"/>
          <w:numId w:val="0"/>
        </w:numPr>
        <w:ind w:left="567"/>
        <w:rPr>
          <w:b/>
          <w:i/>
        </w:rPr>
      </w:pPr>
      <w:r>
        <w:rPr>
          <w:b/>
          <w:i/>
        </w:rPr>
        <w:t>Renewable energy generation</w:t>
      </w:r>
      <w:r w:rsidRPr="002D3A66">
        <w:rPr>
          <w:b/>
          <w:i/>
        </w:rPr>
        <w:t xml:space="preserve"> </w:t>
      </w:r>
    </w:p>
    <w:p w14:paraId="1BEAE24C" w14:textId="72C9CC7B" w:rsidR="00FC5FF4" w:rsidRDefault="007744E1" w:rsidP="00FC5FF4">
      <w:pPr>
        <w:pStyle w:val="NumPara"/>
      </w:pPr>
      <w:r>
        <w:t>The potential for renewable energy sources to provide enough electricity to power the dwelling</w:t>
      </w:r>
      <w:r w:rsidR="00546C0D">
        <w:t xml:space="preserve"> for one year has been assessed as part of this work. The limitations described in paragraph 32 restrict the scope of this analysis. It should also be noted that energy generated through the renewable systems would only mean that the building used zero net energy</w:t>
      </w:r>
      <w:r w:rsidR="00960F07">
        <w:t>,</w:t>
      </w:r>
      <w:r w:rsidR="00546C0D">
        <w:t xml:space="preserve"> as electricity generated on site could not necessarily be used at the time of production</w:t>
      </w:r>
      <w:r w:rsidR="00FC5FF4">
        <w:t xml:space="preserve">. It is likely that the majority of it would need to be exported to the national grid at </w:t>
      </w:r>
      <w:r w:rsidR="00960F07">
        <w:t xml:space="preserve">the </w:t>
      </w:r>
      <w:r w:rsidR="00FC5FF4">
        <w:t>time of generation. Without some form of energy storage system</w:t>
      </w:r>
      <w:r w:rsidR="00960F07">
        <w:t>,</w:t>
      </w:r>
      <w:r w:rsidR="00FC5FF4">
        <w:t xml:space="preserve"> it would not be possible for the building to operate autonomously in terms of electricity. The maximum electricity required by the baseline SAP model (scenario 1</w:t>
      </w:r>
      <w:r w:rsidR="00960F07">
        <w:t>.1</w:t>
      </w:r>
      <w:r w:rsidR="00FC5FF4">
        <w:t>) has been used as the target generation value in this instance; this is equal to 14,580 kWh. The amount of electricity generated has not been optimised to meet this exact amount; the simulated arrays were simply adjusted at 5m</w:t>
      </w:r>
      <w:r w:rsidR="00FC5FF4" w:rsidRPr="00FC5FF4">
        <w:rPr>
          <w:vertAlign w:val="superscript"/>
        </w:rPr>
        <w:t>2</w:t>
      </w:r>
      <w:r w:rsidR="00FC5FF4">
        <w:t xml:space="preserve"> increments to most closely match the 14,580 kWh baseline.</w:t>
      </w:r>
    </w:p>
    <w:p w14:paraId="1CF83476" w14:textId="228EDC4F" w:rsidR="007744E1" w:rsidRDefault="00FC5FF4" w:rsidP="007744E1">
      <w:pPr>
        <w:pStyle w:val="NumPara"/>
      </w:pPr>
      <w:r>
        <w:t xml:space="preserve">There are four different types of PV generation systems that can be modelled using the DTS software. These include </w:t>
      </w:r>
      <w:proofErr w:type="gramStart"/>
      <w:r>
        <w:t>Amorphous</w:t>
      </w:r>
      <w:proofErr w:type="gramEnd"/>
      <w:r>
        <w:t xml:space="preserve"> silicon, </w:t>
      </w:r>
      <w:proofErr w:type="spellStart"/>
      <w:r>
        <w:t>Monocrystaline</w:t>
      </w:r>
      <w:proofErr w:type="spellEnd"/>
      <w:r>
        <w:t xml:space="preserve"> silicon, </w:t>
      </w:r>
      <w:r w:rsidR="005C11D7">
        <w:t>‘</w:t>
      </w:r>
      <w:r>
        <w:t>other thin films</w:t>
      </w:r>
      <w:r w:rsidR="005C11D7">
        <w:t>’</w:t>
      </w:r>
      <w:r>
        <w:t xml:space="preserve"> and polycrystalline systems. Results for each system</w:t>
      </w:r>
      <w:r w:rsidR="00960F07">
        <w:t xml:space="preserve"> type are shown below in </w:t>
      </w:r>
      <w:r w:rsidR="00960F07">
        <w:fldChar w:fldCharType="begin"/>
      </w:r>
      <w:r w:rsidR="00960F07">
        <w:instrText xml:space="preserve"> REF _Ref422227897 \h </w:instrText>
      </w:r>
      <w:r w:rsidR="00960F07">
        <w:fldChar w:fldCharType="separate"/>
      </w:r>
      <w:r w:rsidR="00960F07" w:rsidRPr="00960F07">
        <w:t xml:space="preserve">Table </w:t>
      </w:r>
      <w:r w:rsidR="00960F07" w:rsidRPr="00960F07">
        <w:rPr>
          <w:noProof/>
        </w:rPr>
        <w:t>8</w:t>
      </w:r>
      <w:r w:rsidR="00960F07">
        <w:fldChar w:fldCharType="end"/>
      </w:r>
      <w:r>
        <w:t>. They have been ranked from the smallest to the largest array required. All systems are assumed to be south facing (at an orientation of 180</w:t>
      </w:r>
      <w:r>
        <w:rPr>
          <w:rFonts w:cs="Arial"/>
        </w:rPr>
        <w:t>°</w:t>
      </w:r>
      <w:r>
        <w:t>) and to be at an inclination of 30</w:t>
      </w:r>
      <w:r>
        <w:rPr>
          <w:rFonts w:cs="Arial"/>
        </w:rPr>
        <w:t>°</w:t>
      </w:r>
      <w:r>
        <w:t xml:space="preserve"> so that they are optimised for summer time collection.</w:t>
      </w:r>
      <w:r w:rsidR="00A25490">
        <w:t xml:space="preserve"> It is also assumed that there is no over-shading. As L6 of the dwelling (the top floor) has a surface area of approximately 49m</w:t>
      </w:r>
      <w:r w:rsidR="00A25490" w:rsidRPr="00A25490">
        <w:rPr>
          <w:vertAlign w:val="superscript"/>
        </w:rPr>
        <w:t>2</w:t>
      </w:r>
      <w:r w:rsidR="00960F07">
        <w:t xml:space="preserve">, </w:t>
      </w:r>
      <w:r w:rsidR="00A25490">
        <w:t xml:space="preserve">it is very unlikely that a building mounted PV system could produce enough electricity to offset the total electricity consumed in one year. </w:t>
      </w:r>
    </w:p>
    <w:p w14:paraId="790144D7" w14:textId="77777777" w:rsidR="00FC5FF4" w:rsidRDefault="00FC5FF4" w:rsidP="00FC5FF4">
      <w:pPr>
        <w:pStyle w:val="NumPara"/>
        <w:numPr>
          <w:ilvl w:val="0"/>
          <w:numId w:val="0"/>
        </w:numPr>
        <w:ind w:left="567"/>
      </w:pPr>
    </w:p>
    <w:tbl>
      <w:tblPr>
        <w:tblStyle w:val="TableGrid"/>
        <w:tblW w:w="0" w:type="auto"/>
        <w:tblInd w:w="567" w:type="dxa"/>
        <w:tblLook w:val="04A0" w:firstRow="1" w:lastRow="0" w:firstColumn="1" w:lastColumn="0" w:noHBand="0" w:noVBand="1"/>
      </w:tblPr>
      <w:tblGrid>
        <w:gridCol w:w="3652"/>
        <w:gridCol w:w="2693"/>
        <w:gridCol w:w="2659"/>
      </w:tblGrid>
      <w:tr w:rsidR="00DC2CF4" w14:paraId="7CA824F1" w14:textId="77777777" w:rsidTr="00DC2CF4">
        <w:tc>
          <w:tcPr>
            <w:tcW w:w="3652" w:type="dxa"/>
          </w:tcPr>
          <w:p w14:paraId="40BAF23A" w14:textId="77777777" w:rsidR="00FC5FF4" w:rsidRDefault="00FC5FF4" w:rsidP="00FC5FF4">
            <w:pPr>
              <w:pStyle w:val="NumPara"/>
              <w:numPr>
                <w:ilvl w:val="0"/>
                <w:numId w:val="0"/>
              </w:numPr>
            </w:pPr>
            <w:r>
              <w:t>System:</w:t>
            </w:r>
          </w:p>
        </w:tc>
        <w:tc>
          <w:tcPr>
            <w:tcW w:w="2693" w:type="dxa"/>
          </w:tcPr>
          <w:p w14:paraId="5EEB7A4D" w14:textId="77777777" w:rsidR="00FC5FF4" w:rsidRDefault="00DC2CF4" w:rsidP="00DC2CF4">
            <w:pPr>
              <w:pStyle w:val="NumPara"/>
              <w:numPr>
                <w:ilvl w:val="0"/>
                <w:numId w:val="0"/>
              </w:numPr>
              <w:jc w:val="center"/>
            </w:pPr>
            <w:r>
              <w:t>Size (m</w:t>
            </w:r>
            <w:r w:rsidRPr="00DC2CF4">
              <w:rPr>
                <w:vertAlign w:val="superscript"/>
              </w:rPr>
              <w:t>2</w:t>
            </w:r>
            <w:r>
              <w:t>)</w:t>
            </w:r>
          </w:p>
        </w:tc>
        <w:tc>
          <w:tcPr>
            <w:tcW w:w="2659" w:type="dxa"/>
          </w:tcPr>
          <w:p w14:paraId="0ABFD702" w14:textId="77777777" w:rsidR="00FC5FF4" w:rsidRDefault="00DC2CF4" w:rsidP="00DC2CF4">
            <w:pPr>
              <w:pStyle w:val="NumPara"/>
              <w:numPr>
                <w:ilvl w:val="0"/>
                <w:numId w:val="0"/>
              </w:numPr>
              <w:jc w:val="center"/>
            </w:pPr>
            <w:r>
              <w:t>Energy generated (kWh):</w:t>
            </w:r>
          </w:p>
        </w:tc>
      </w:tr>
      <w:tr w:rsidR="00DC2CF4" w14:paraId="46B1CE1F" w14:textId="77777777" w:rsidTr="00DC2CF4">
        <w:tc>
          <w:tcPr>
            <w:tcW w:w="3652" w:type="dxa"/>
          </w:tcPr>
          <w:p w14:paraId="599E1AC0" w14:textId="77777777" w:rsidR="00FC5FF4" w:rsidRDefault="00DC2CF4" w:rsidP="00FC5FF4">
            <w:pPr>
              <w:pStyle w:val="NumPara"/>
              <w:numPr>
                <w:ilvl w:val="0"/>
                <w:numId w:val="0"/>
              </w:numPr>
            </w:pPr>
            <w:proofErr w:type="spellStart"/>
            <w:r>
              <w:t>Monocrystaline</w:t>
            </w:r>
            <w:proofErr w:type="spellEnd"/>
            <w:r>
              <w:t xml:space="preserve"> silicon</w:t>
            </w:r>
          </w:p>
        </w:tc>
        <w:tc>
          <w:tcPr>
            <w:tcW w:w="2693" w:type="dxa"/>
          </w:tcPr>
          <w:p w14:paraId="2175127E" w14:textId="77777777" w:rsidR="00FC5FF4" w:rsidRDefault="00DC2CF4" w:rsidP="00DC2CF4">
            <w:pPr>
              <w:pStyle w:val="NumPara"/>
              <w:numPr>
                <w:ilvl w:val="0"/>
                <w:numId w:val="0"/>
              </w:numPr>
              <w:jc w:val="center"/>
            </w:pPr>
            <w:r>
              <w:t>155</w:t>
            </w:r>
          </w:p>
        </w:tc>
        <w:tc>
          <w:tcPr>
            <w:tcW w:w="2659" w:type="dxa"/>
          </w:tcPr>
          <w:p w14:paraId="23531DFA" w14:textId="77777777" w:rsidR="00FC5FF4" w:rsidRDefault="00DC2CF4" w:rsidP="00DC2CF4">
            <w:pPr>
              <w:pStyle w:val="NumPara"/>
              <w:numPr>
                <w:ilvl w:val="0"/>
                <w:numId w:val="0"/>
              </w:numPr>
              <w:jc w:val="center"/>
            </w:pPr>
            <w:r>
              <w:t>15,014</w:t>
            </w:r>
          </w:p>
        </w:tc>
      </w:tr>
      <w:tr w:rsidR="00DC2CF4" w14:paraId="4AF871D9" w14:textId="77777777" w:rsidTr="00DC2CF4">
        <w:tc>
          <w:tcPr>
            <w:tcW w:w="3652" w:type="dxa"/>
          </w:tcPr>
          <w:p w14:paraId="2E3D4DFC" w14:textId="77777777" w:rsidR="00FC5FF4" w:rsidRDefault="00DC2CF4" w:rsidP="00FC5FF4">
            <w:pPr>
              <w:pStyle w:val="NumPara"/>
              <w:numPr>
                <w:ilvl w:val="0"/>
                <w:numId w:val="0"/>
              </w:numPr>
            </w:pPr>
            <w:proofErr w:type="spellStart"/>
            <w:r>
              <w:t>Polycrystaline</w:t>
            </w:r>
            <w:proofErr w:type="spellEnd"/>
            <w:r>
              <w:t xml:space="preserve"> silicon</w:t>
            </w:r>
          </w:p>
        </w:tc>
        <w:tc>
          <w:tcPr>
            <w:tcW w:w="2693" w:type="dxa"/>
          </w:tcPr>
          <w:p w14:paraId="00E58468" w14:textId="77777777" w:rsidR="00FC5FF4" w:rsidRDefault="00DC2CF4" w:rsidP="00DC2CF4">
            <w:pPr>
              <w:pStyle w:val="NumPara"/>
              <w:numPr>
                <w:ilvl w:val="0"/>
                <w:numId w:val="0"/>
              </w:numPr>
              <w:jc w:val="center"/>
            </w:pPr>
            <w:r>
              <w:t>180</w:t>
            </w:r>
          </w:p>
        </w:tc>
        <w:tc>
          <w:tcPr>
            <w:tcW w:w="2659" w:type="dxa"/>
          </w:tcPr>
          <w:p w14:paraId="001544AE" w14:textId="77777777" w:rsidR="00FC5FF4" w:rsidRDefault="00DC2CF4" w:rsidP="00DC2CF4">
            <w:pPr>
              <w:pStyle w:val="NumPara"/>
              <w:numPr>
                <w:ilvl w:val="0"/>
                <w:numId w:val="0"/>
              </w:numPr>
              <w:jc w:val="center"/>
            </w:pPr>
            <w:r>
              <w:t>14,753</w:t>
            </w:r>
          </w:p>
        </w:tc>
      </w:tr>
      <w:tr w:rsidR="00DC2CF4" w14:paraId="3111E76C" w14:textId="77777777" w:rsidTr="00DC2CF4">
        <w:tc>
          <w:tcPr>
            <w:tcW w:w="3652" w:type="dxa"/>
          </w:tcPr>
          <w:p w14:paraId="38345E5F" w14:textId="77777777" w:rsidR="00FC5FF4" w:rsidRDefault="00DC2CF4" w:rsidP="00FC5FF4">
            <w:pPr>
              <w:pStyle w:val="NumPara"/>
              <w:numPr>
                <w:ilvl w:val="0"/>
                <w:numId w:val="0"/>
              </w:numPr>
            </w:pPr>
            <w:r>
              <w:t>Other thin films</w:t>
            </w:r>
          </w:p>
        </w:tc>
        <w:tc>
          <w:tcPr>
            <w:tcW w:w="2693" w:type="dxa"/>
          </w:tcPr>
          <w:p w14:paraId="4C15293E" w14:textId="77777777" w:rsidR="00FC5FF4" w:rsidRDefault="00DC2CF4" w:rsidP="00DC2CF4">
            <w:pPr>
              <w:pStyle w:val="NumPara"/>
              <w:numPr>
                <w:ilvl w:val="0"/>
                <w:numId w:val="0"/>
              </w:numPr>
              <w:jc w:val="center"/>
            </w:pPr>
            <w:r>
              <w:t>280</w:t>
            </w:r>
          </w:p>
        </w:tc>
        <w:tc>
          <w:tcPr>
            <w:tcW w:w="2659" w:type="dxa"/>
          </w:tcPr>
          <w:p w14:paraId="62DC1B58" w14:textId="77777777" w:rsidR="00FC5FF4" w:rsidRDefault="00DC2CF4" w:rsidP="00DC2CF4">
            <w:pPr>
              <w:pStyle w:val="NumPara"/>
              <w:numPr>
                <w:ilvl w:val="0"/>
                <w:numId w:val="0"/>
              </w:numPr>
              <w:jc w:val="center"/>
            </w:pPr>
            <w:r>
              <w:t>14,863</w:t>
            </w:r>
          </w:p>
        </w:tc>
      </w:tr>
      <w:tr w:rsidR="00DC2CF4" w14:paraId="5405A5A6" w14:textId="77777777" w:rsidTr="00DC2CF4">
        <w:tc>
          <w:tcPr>
            <w:tcW w:w="3652" w:type="dxa"/>
          </w:tcPr>
          <w:p w14:paraId="16E7D5A8" w14:textId="77777777" w:rsidR="00FC5FF4" w:rsidRDefault="00DC2CF4" w:rsidP="00FC5FF4">
            <w:pPr>
              <w:pStyle w:val="NumPara"/>
              <w:numPr>
                <w:ilvl w:val="0"/>
                <w:numId w:val="0"/>
              </w:numPr>
            </w:pPr>
            <w:r>
              <w:t>Amorphous silicon</w:t>
            </w:r>
          </w:p>
        </w:tc>
        <w:tc>
          <w:tcPr>
            <w:tcW w:w="2693" w:type="dxa"/>
          </w:tcPr>
          <w:p w14:paraId="56FC4314" w14:textId="77777777" w:rsidR="00FC5FF4" w:rsidRDefault="00DC2CF4" w:rsidP="00DC2CF4">
            <w:pPr>
              <w:pStyle w:val="NumPara"/>
              <w:numPr>
                <w:ilvl w:val="0"/>
                <w:numId w:val="0"/>
              </w:numPr>
              <w:jc w:val="center"/>
            </w:pPr>
            <w:r>
              <w:t>400</w:t>
            </w:r>
          </w:p>
        </w:tc>
        <w:tc>
          <w:tcPr>
            <w:tcW w:w="2659" w:type="dxa"/>
          </w:tcPr>
          <w:p w14:paraId="26A6472F" w14:textId="77777777" w:rsidR="00FC5FF4" w:rsidRDefault="00DC2CF4" w:rsidP="00DC2CF4">
            <w:pPr>
              <w:pStyle w:val="NumPara"/>
              <w:numPr>
                <w:ilvl w:val="0"/>
                <w:numId w:val="0"/>
              </w:numPr>
              <w:jc w:val="center"/>
            </w:pPr>
            <w:r>
              <w:t>14,862</w:t>
            </w:r>
          </w:p>
        </w:tc>
      </w:tr>
    </w:tbl>
    <w:p w14:paraId="4F12C294" w14:textId="3EBAADC5" w:rsidR="00DC2CF4" w:rsidRPr="00960F07" w:rsidRDefault="00960F07" w:rsidP="00960F07">
      <w:pPr>
        <w:pStyle w:val="Caption"/>
        <w:jc w:val="center"/>
      </w:pPr>
      <w:bookmarkStart w:id="26" w:name="_Ref422227897"/>
      <w:r w:rsidRPr="00960F07">
        <w:t xml:space="preserve">Table </w:t>
      </w:r>
      <w:r w:rsidR="008A45D9">
        <w:fldChar w:fldCharType="begin"/>
      </w:r>
      <w:r w:rsidR="008A45D9">
        <w:instrText xml:space="preserve"> SEQ Table \* ARABIC </w:instrText>
      </w:r>
      <w:r w:rsidR="008A45D9">
        <w:fldChar w:fldCharType="separate"/>
      </w:r>
      <w:r w:rsidR="008D0405">
        <w:rPr>
          <w:noProof/>
        </w:rPr>
        <w:t>8</w:t>
      </w:r>
      <w:r w:rsidR="008A45D9">
        <w:rPr>
          <w:noProof/>
        </w:rPr>
        <w:fldChar w:fldCharType="end"/>
      </w:r>
      <w:bookmarkEnd w:id="26"/>
      <w:r w:rsidRPr="00960F07">
        <w:t xml:space="preserve"> </w:t>
      </w:r>
      <w:r w:rsidR="00DC2CF4" w:rsidRPr="00960F07">
        <w:t>Estimated electricity generated by alternative PV systems</w:t>
      </w:r>
      <w:r w:rsidRPr="00960F07">
        <w:t>.</w:t>
      </w:r>
    </w:p>
    <w:p w14:paraId="1DBF8F65" w14:textId="77777777" w:rsidR="00FC5FF4" w:rsidRDefault="00FC5FF4" w:rsidP="00FC5FF4">
      <w:pPr>
        <w:pStyle w:val="NumPara"/>
        <w:numPr>
          <w:ilvl w:val="0"/>
          <w:numId w:val="0"/>
        </w:numPr>
        <w:ind w:left="567"/>
      </w:pPr>
    </w:p>
    <w:p w14:paraId="58ECD12F" w14:textId="1F8949F1" w:rsidR="00221C36" w:rsidRDefault="00A25490" w:rsidP="00A80E25">
      <w:pPr>
        <w:pStyle w:val="NumPara"/>
      </w:pPr>
      <w:r>
        <w:t>The size and type of wind turbine that could accompany the building will be highly dependent on planning restriction in specific areas</w:t>
      </w:r>
      <w:r w:rsidR="008D0405">
        <w:t>,</w:t>
      </w:r>
      <w:r>
        <w:t xml:space="preserve"> so the following results should be seen as </w:t>
      </w:r>
      <w:r w:rsidR="008D0405">
        <w:t xml:space="preserve">being </w:t>
      </w:r>
      <w:r>
        <w:t xml:space="preserve">indicative only. The potential to generate power will also be highly dependent on the local topography, the exposure of the site and </w:t>
      </w:r>
      <w:r w:rsidR="008D0405">
        <w:t xml:space="preserve">the form and layout of the </w:t>
      </w:r>
      <w:r>
        <w:t>built environment that surrounds the site. It is assumed in this exercise that the dwelling is in an unsheltered position.</w:t>
      </w:r>
      <w:r w:rsidR="00A80E25">
        <w:t xml:space="preserve"> </w:t>
      </w:r>
    </w:p>
    <w:p w14:paraId="7D489CAB" w14:textId="1E7A0A7B" w:rsidR="005C11D7" w:rsidRDefault="00A80E25" w:rsidP="008D0405">
      <w:pPr>
        <w:pStyle w:val="NumPara"/>
      </w:pPr>
      <w:r>
        <w:t xml:space="preserve">Three </w:t>
      </w:r>
      <w:r w:rsidR="008D0405">
        <w:t>hub heights have been simulated;</w:t>
      </w:r>
      <w:r>
        <w:t xml:space="preserve"> these were set at 10m, 15m and 20m from the ground level. The power rating (kW) required at each height to generate sufficient electricity and the totals generated i</w:t>
      </w:r>
      <w:r w:rsidR="008D0405">
        <w:t xml:space="preserve">n one year are shown in </w:t>
      </w:r>
      <w:r w:rsidR="008D0405">
        <w:fldChar w:fldCharType="begin"/>
      </w:r>
      <w:r w:rsidR="008D0405">
        <w:instrText xml:space="preserve"> REF _Ref422229093 \h </w:instrText>
      </w:r>
      <w:r w:rsidR="008D0405">
        <w:fldChar w:fldCharType="separate"/>
      </w:r>
      <w:r w:rsidR="008D0405" w:rsidRPr="008D0405">
        <w:t xml:space="preserve">Table </w:t>
      </w:r>
      <w:r w:rsidR="008D0405" w:rsidRPr="008D0405">
        <w:rPr>
          <w:noProof/>
        </w:rPr>
        <w:t>9</w:t>
      </w:r>
      <w:r w:rsidR="008D0405">
        <w:fldChar w:fldCharType="end"/>
      </w:r>
      <w:r>
        <w:t>. As with the PV systems, these have not been optimised to match the electricity demand and have been increased in capacity at increments of 5 kW until enough electricity is generated to serve the dwelling for one year.</w:t>
      </w:r>
      <w:r w:rsidR="008D0405">
        <w:t xml:space="preserve"> This </w:t>
      </w:r>
      <w:r w:rsidR="002573D0">
        <w:t xml:space="preserve">most relevant </w:t>
      </w:r>
      <w:r w:rsidR="008D0405">
        <w:t xml:space="preserve">wind turbine would be </w:t>
      </w:r>
      <w:r w:rsidR="002573D0">
        <w:t>the version with a 10m hub height</w:t>
      </w:r>
      <w:r w:rsidR="008D0405">
        <w:t>,</w:t>
      </w:r>
      <w:r w:rsidR="002573D0">
        <w:t xml:space="preserve"> which would generate 14,</w:t>
      </w:r>
      <w:r w:rsidR="00221C36">
        <w:t>334</w:t>
      </w:r>
      <w:r w:rsidR="002573D0">
        <w:t xml:space="preserve"> kWh at a rating of 45kW, just under the baseline electricity demand.</w:t>
      </w:r>
    </w:p>
    <w:p w14:paraId="65AF57DC" w14:textId="77777777" w:rsidR="005C11D7" w:rsidRDefault="005C11D7" w:rsidP="00A80E25">
      <w:pPr>
        <w:pStyle w:val="NumPara"/>
        <w:numPr>
          <w:ilvl w:val="0"/>
          <w:numId w:val="0"/>
        </w:numPr>
        <w:ind w:left="567"/>
      </w:pPr>
    </w:p>
    <w:tbl>
      <w:tblPr>
        <w:tblStyle w:val="TableGrid"/>
        <w:tblW w:w="0" w:type="auto"/>
        <w:tblInd w:w="567" w:type="dxa"/>
        <w:tblLook w:val="04A0" w:firstRow="1" w:lastRow="0" w:firstColumn="1" w:lastColumn="0" w:noHBand="0" w:noVBand="1"/>
      </w:tblPr>
      <w:tblGrid>
        <w:gridCol w:w="3652"/>
        <w:gridCol w:w="2693"/>
        <w:gridCol w:w="2659"/>
      </w:tblGrid>
      <w:tr w:rsidR="005C11D7" w14:paraId="2814E290" w14:textId="77777777" w:rsidTr="00F0659E">
        <w:tc>
          <w:tcPr>
            <w:tcW w:w="3652" w:type="dxa"/>
          </w:tcPr>
          <w:p w14:paraId="12CA89FC" w14:textId="77777777" w:rsidR="005C11D7" w:rsidRDefault="005C11D7" w:rsidP="00F0659E">
            <w:pPr>
              <w:pStyle w:val="NumPara"/>
              <w:numPr>
                <w:ilvl w:val="0"/>
                <w:numId w:val="0"/>
              </w:numPr>
            </w:pPr>
            <w:r>
              <w:t>Hub height (m)</w:t>
            </w:r>
          </w:p>
        </w:tc>
        <w:tc>
          <w:tcPr>
            <w:tcW w:w="2693" w:type="dxa"/>
          </w:tcPr>
          <w:p w14:paraId="7F1C5412" w14:textId="77777777" w:rsidR="005C11D7" w:rsidRDefault="005C11D7" w:rsidP="00F0659E">
            <w:pPr>
              <w:pStyle w:val="NumPara"/>
              <w:numPr>
                <w:ilvl w:val="0"/>
                <w:numId w:val="0"/>
              </w:numPr>
              <w:jc w:val="center"/>
            </w:pPr>
            <w:r>
              <w:t>Power rating (kW)</w:t>
            </w:r>
          </w:p>
        </w:tc>
        <w:tc>
          <w:tcPr>
            <w:tcW w:w="2659" w:type="dxa"/>
          </w:tcPr>
          <w:p w14:paraId="7CD23A56" w14:textId="77777777" w:rsidR="005C11D7" w:rsidRDefault="005C11D7" w:rsidP="00F0659E">
            <w:pPr>
              <w:pStyle w:val="NumPara"/>
              <w:numPr>
                <w:ilvl w:val="0"/>
                <w:numId w:val="0"/>
              </w:numPr>
              <w:jc w:val="center"/>
            </w:pPr>
            <w:r>
              <w:t>Energy generated (kWh):</w:t>
            </w:r>
          </w:p>
        </w:tc>
      </w:tr>
      <w:tr w:rsidR="005C11D7" w14:paraId="5C69DDFC" w14:textId="77777777" w:rsidTr="00F0659E">
        <w:tc>
          <w:tcPr>
            <w:tcW w:w="3652" w:type="dxa"/>
          </w:tcPr>
          <w:p w14:paraId="444488C0" w14:textId="77777777" w:rsidR="005C11D7" w:rsidRDefault="005C11D7" w:rsidP="00F0659E">
            <w:pPr>
              <w:pStyle w:val="NumPara"/>
              <w:numPr>
                <w:ilvl w:val="0"/>
                <w:numId w:val="0"/>
              </w:numPr>
            </w:pPr>
            <w:r>
              <w:t>10</w:t>
            </w:r>
          </w:p>
        </w:tc>
        <w:tc>
          <w:tcPr>
            <w:tcW w:w="2693" w:type="dxa"/>
          </w:tcPr>
          <w:p w14:paraId="143F10CF" w14:textId="77777777" w:rsidR="005C11D7" w:rsidRDefault="00A86AC6" w:rsidP="00F0659E">
            <w:pPr>
              <w:pStyle w:val="NumPara"/>
              <w:numPr>
                <w:ilvl w:val="0"/>
                <w:numId w:val="0"/>
              </w:numPr>
              <w:jc w:val="center"/>
            </w:pPr>
            <w:r>
              <w:t>5</w:t>
            </w:r>
            <w:r w:rsidR="005C11D7">
              <w:t>0</w:t>
            </w:r>
          </w:p>
        </w:tc>
        <w:tc>
          <w:tcPr>
            <w:tcW w:w="2659" w:type="dxa"/>
          </w:tcPr>
          <w:p w14:paraId="52748D9F" w14:textId="77777777" w:rsidR="005C11D7" w:rsidRDefault="00A86AC6" w:rsidP="00F0659E">
            <w:pPr>
              <w:pStyle w:val="NumPara"/>
              <w:numPr>
                <w:ilvl w:val="0"/>
                <w:numId w:val="0"/>
              </w:numPr>
              <w:jc w:val="center"/>
            </w:pPr>
            <w:r>
              <w:t>15,926</w:t>
            </w:r>
          </w:p>
        </w:tc>
      </w:tr>
      <w:tr w:rsidR="005C11D7" w14:paraId="4490C8FD" w14:textId="77777777" w:rsidTr="00F0659E">
        <w:tc>
          <w:tcPr>
            <w:tcW w:w="3652" w:type="dxa"/>
          </w:tcPr>
          <w:p w14:paraId="6475E27D" w14:textId="77777777" w:rsidR="005C11D7" w:rsidRDefault="005C11D7">
            <w:r>
              <w:t>15</w:t>
            </w:r>
          </w:p>
        </w:tc>
        <w:tc>
          <w:tcPr>
            <w:tcW w:w="2693" w:type="dxa"/>
          </w:tcPr>
          <w:p w14:paraId="197EBC5D" w14:textId="77777777" w:rsidR="005C11D7" w:rsidRDefault="002573D0" w:rsidP="00F0659E">
            <w:pPr>
              <w:pStyle w:val="NumPara"/>
              <w:numPr>
                <w:ilvl w:val="0"/>
                <w:numId w:val="0"/>
              </w:numPr>
              <w:jc w:val="center"/>
            </w:pPr>
            <w:r>
              <w:t>35</w:t>
            </w:r>
          </w:p>
        </w:tc>
        <w:tc>
          <w:tcPr>
            <w:tcW w:w="2659" w:type="dxa"/>
          </w:tcPr>
          <w:p w14:paraId="2E0D054B" w14:textId="77777777" w:rsidR="005C11D7" w:rsidRDefault="005C11D7" w:rsidP="00A86AC6">
            <w:pPr>
              <w:pStyle w:val="NumPara"/>
              <w:numPr>
                <w:ilvl w:val="0"/>
                <w:numId w:val="0"/>
              </w:numPr>
              <w:jc w:val="center"/>
            </w:pPr>
            <w:r>
              <w:t>14,</w:t>
            </w:r>
            <w:r w:rsidR="00A86AC6">
              <w:t>583</w:t>
            </w:r>
          </w:p>
        </w:tc>
      </w:tr>
      <w:tr w:rsidR="005C11D7" w14:paraId="47058C24" w14:textId="77777777" w:rsidTr="00F0659E">
        <w:tc>
          <w:tcPr>
            <w:tcW w:w="3652" w:type="dxa"/>
          </w:tcPr>
          <w:p w14:paraId="017B7B57" w14:textId="77777777" w:rsidR="005C11D7" w:rsidRDefault="005C11D7">
            <w:r>
              <w:t>20</w:t>
            </w:r>
          </w:p>
        </w:tc>
        <w:tc>
          <w:tcPr>
            <w:tcW w:w="2693" w:type="dxa"/>
          </w:tcPr>
          <w:p w14:paraId="79375B85" w14:textId="77777777" w:rsidR="005C11D7" w:rsidRDefault="002573D0" w:rsidP="00F0659E">
            <w:pPr>
              <w:pStyle w:val="NumPara"/>
              <w:numPr>
                <w:ilvl w:val="0"/>
                <w:numId w:val="0"/>
              </w:numPr>
              <w:jc w:val="center"/>
            </w:pPr>
            <w:r>
              <w:t>30</w:t>
            </w:r>
          </w:p>
        </w:tc>
        <w:tc>
          <w:tcPr>
            <w:tcW w:w="2659" w:type="dxa"/>
          </w:tcPr>
          <w:p w14:paraId="5BBEEFE2" w14:textId="77777777" w:rsidR="005C11D7" w:rsidRDefault="005C11D7" w:rsidP="002573D0">
            <w:pPr>
              <w:pStyle w:val="NumPara"/>
              <w:numPr>
                <w:ilvl w:val="0"/>
                <w:numId w:val="0"/>
              </w:numPr>
              <w:jc w:val="center"/>
            </w:pPr>
            <w:r>
              <w:t>14,</w:t>
            </w:r>
            <w:r w:rsidR="002573D0">
              <w:t>978</w:t>
            </w:r>
          </w:p>
        </w:tc>
      </w:tr>
    </w:tbl>
    <w:p w14:paraId="73F82F58" w14:textId="44A431A5" w:rsidR="005C11D7" w:rsidRPr="008D0405" w:rsidRDefault="008D0405" w:rsidP="008D0405">
      <w:pPr>
        <w:pStyle w:val="Caption"/>
        <w:jc w:val="center"/>
      </w:pPr>
      <w:bookmarkStart w:id="27" w:name="_Ref422229093"/>
      <w:r w:rsidRPr="008D0405">
        <w:t xml:space="preserve">Table </w:t>
      </w:r>
      <w:r w:rsidR="008A45D9">
        <w:fldChar w:fldCharType="begin"/>
      </w:r>
      <w:r w:rsidR="008A45D9">
        <w:instrText xml:space="preserve"> SEQ Table \* ARABIC </w:instrText>
      </w:r>
      <w:r w:rsidR="008A45D9">
        <w:fldChar w:fldCharType="separate"/>
      </w:r>
      <w:r w:rsidRPr="008D0405">
        <w:rPr>
          <w:noProof/>
        </w:rPr>
        <w:t>9</w:t>
      </w:r>
      <w:r w:rsidR="008A45D9">
        <w:rPr>
          <w:noProof/>
        </w:rPr>
        <w:fldChar w:fldCharType="end"/>
      </w:r>
      <w:bookmarkEnd w:id="27"/>
      <w:r w:rsidRPr="008D0405">
        <w:t xml:space="preserve"> </w:t>
      </w:r>
      <w:r w:rsidR="005C11D7" w:rsidRPr="008D0405">
        <w:t>Estimated electricity generated by alternative PV systems</w:t>
      </w:r>
      <w:r w:rsidRPr="008D0405">
        <w:t>.</w:t>
      </w:r>
    </w:p>
    <w:p w14:paraId="133D3D8E" w14:textId="77777777" w:rsidR="00D00D66" w:rsidRDefault="00100D1C" w:rsidP="00100D1C">
      <w:pPr>
        <w:pStyle w:val="Heading1"/>
      </w:pPr>
      <w:bookmarkStart w:id="28" w:name="_Toc422233808"/>
      <w:r w:rsidRPr="00B460FE">
        <w:lastRenderedPageBreak/>
        <w:t>Conclusions</w:t>
      </w:r>
      <w:r>
        <w:t xml:space="preserve"> and recommendations</w:t>
      </w:r>
      <w:bookmarkEnd w:id="28"/>
    </w:p>
    <w:p w14:paraId="2F6F2A5B" w14:textId="77777777" w:rsidR="00100D1C" w:rsidRDefault="00100D1C" w:rsidP="00100D1C">
      <w:pPr>
        <w:pStyle w:val="NumPara"/>
      </w:pPr>
      <w:r>
        <w:t>The following conclusions can be drawn from the findings of the thermal bridging calculations:</w:t>
      </w:r>
    </w:p>
    <w:p w14:paraId="56B8C09F" w14:textId="77777777" w:rsidR="00100D1C" w:rsidRDefault="00100D1C" w:rsidP="00100D1C">
      <w:pPr>
        <w:numPr>
          <w:ilvl w:val="1"/>
          <w:numId w:val="1"/>
        </w:numPr>
        <w:tabs>
          <w:tab w:val="num" w:pos="786"/>
        </w:tabs>
        <w:spacing w:before="60" w:after="60"/>
      </w:pPr>
      <w:r>
        <w:t>The majority of the junction designs that were thermally modelled performed well in terms of the extent of thermal bridging and risk of condensation and mould growth.</w:t>
      </w:r>
    </w:p>
    <w:p w14:paraId="08C26C41" w14:textId="77777777" w:rsidR="00100D1C" w:rsidRDefault="00100D1C" w:rsidP="00100D1C">
      <w:pPr>
        <w:numPr>
          <w:ilvl w:val="1"/>
          <w:numId w:val="1"/>
        </w:numPr>
        <w:tabs>
          <w:tab w:val="num" w:pos="786"/>
        </w:tabs>
        <w:spacing w:before="60" w:after="60"/>
      </w:pPr>
      <w:r>
        <w:t xml:space="preserve">The jamb junction modelled achieves regulatory compliance but the </w:t>
      </w:r>
      <w:proofErr w:type="spellStart"/>
      <w:r>
        <w:t>ƒ</w:t>
      </w:r>
      <w:r w:rsidRPr="008D0405">
        <w:rPr>
          <w:vertAlign w:val="subscript"/>
        </w:rPr>
        <w:t>Rsi</w:t>
      </w:r>
      <w:proofErr w:type="spellEnd"/>
      <w:r>
        <w:t xml:space="preserve"> is equal to the </w:t>
      </w:r>
      <w:proofErr w:type="spellStart"/>
      <w:r>
        <w:t>ƒ</w:t>
      </w:r>
      <w:r w:rsidRPr="008D0405">
        <w:rPr>
          <w:vertAlign w:val="subscript"/>
        </w:rPr>
        <w:t>CRsi</w:t>
      </w:r>
      <w:proofErr w:type="spellEnd"/>
      <w:r>
        <w:t>.  The design of the jamb junction could be improved to increase the temperature factor and provide a more comfortable margin.</w:t>
      </w:r>
    </w:p>
    <w:p w14:paraId="25BFC0F2" w14:textId="77777777" w:rsidR="00100D1C" w:rsidRDefault="00100D1C" w:rsidP="00100D1C">
      <w:pPr>
        <w:numPr>
          <w:ilvl w:val="1"/>
          <w:numId w:val="1"/>
        </w:numPr>
        <w:tabs>
          <w:tab w:val="num" w:pos="786"/>
        </w:tabs>
        <w:spacing w:before="60" w:after="60"/>
      </w:pPr>
      <w:r>
        <w:t>The services penetration that was thermally modelled presents a risk of condensation. The spigot could be redesigned to thermally isolate the stainless steel element or remove it entirely to eliminate the condensation risk.</w:t>
      </w:r>
    </w:p>
    <w:p w14:paraId="4859DAC1" w14:textId="77777777" w:rsidR="00100D1C" w:rsidRDefault="00100D1C" w:rsidP="00100D1C">
      <w:pPr>
        <w:numPr>
          <w:ilvl w:val="1"/>
          <w:numId w:val="1"/>
        </w:numPr>
        <w:tabs>
          <w:tab w:val="num" w:pos="786"/>
        </w:tabs>
        <w:spacing w:before="60" w:after="60"/>
      </w:pPr>
      <w:r>
        <w:t>The penetration of the lobby floor insulation layer by a brush seal at the lobby door threshold creates an excessive thermal bridge. The junction design could be revised to provide continuity of insulation.</w:t>
      </w:r>
    </w:p>
    <w:p w14:paraId="3A2A0BF5" w14:textId="77777777" w:rsidR="00100D1C" w:rsidRDefault="00100D1C" w:rsidP="00100D1C">
      <w:pPr>
        <w:numPr>
          <w:ilvl w:val="1"/>
          <w:numId w:val="1"/>
        </w:numPr>
        <w:tabs>
          <w:tab w:val="num" w:pos="786"/>
        </w:tabs>
        <w:spacing w:before="60" w:after="60"/>
      </w:pPr>
      <w:r>
        <w:t>The lobby floor/external wall junction was found to have high degree of thermal bridging.  The extent of thermal bridging is a consequence of structural steel and a brush seal penetrating the insulation layers. The junction could be redesigned to reduce the extent of thermal bridging.</w:t>
      </w:r>
    </w:p>
    <w:p w14:paraId="13CAF3C8" w14:textId="77777777" w:rsidR="008C717F" w:rsidRDefault="008C717F" w:rsidP="008C717F">
      <w:pPr>
        <w:pStyle w:val="NumPara"/>
      </w:pPr>
      <w:r>
        <w:t>The following conclusions can be drawn from the findings</w:t>
      </w:r>
      <w:r w:rsidR="0089604C">
        <w:t xml:space="preserve"> of</w:t>
      </w:r>
      <w:r w:rsidR="00403550">
        <w:t xml:space="preserve"> the dynamic thermal simulation calculations</w:t>
      </w:r>
      <w:r w:rsidR="0089604C">
        <w:t>:</w:t>
      </w:r>
    </w:p>
    <w:p w14:paraId="6BF6F71A" w14:textId="05ADEAC3" w:rsidR="0089604C" w:rsidRDefault="0089604C" w:rsidP="0089604C">
      <w:pPr>
        <w:numPr>
          <w:ilvl w:val="1"/>
          <w:numId w:val="1"/>
        </w:numPr>
        <w:tabs>
          <w:tab w:val="num" w:pos="786"/>
        </w:tabs>
        <w:spacing w:before="60" w:after="60"/>
      </w:pPr>
      <w:r>
        <w:t>Rotating the building has a limited impact on its thermal performance. There is a difference of only 76 kWh/annum in scenario 1</w:t>
      </w:r>
      <w:r w:rsidR="00D40D13">
        <w:t>.1 and 81</w:t>
      </w:r>
      <w:r>
        <w:t xml:space="preserve"> kWh/annum in scenario </w:t>
      </w:r>
      <w:r w:rsidR="00D40D13">
        <w:t>1.</w:t>
      </w:r>
      <w:r>
        <w:t xml:space="preserve">2 between the best and worst performing orientations of the dwelling. The building is at its most </w:t>
      </w:r>
      <w:r w:rsidR="001E5FC6">
        <w:t>efficient when orientated at 0</w:t>
      </w:r>
      <w:r w:rsidR="001E5FC6">
        <w:rPr>
          <w:rFonts w:cs="Arial"/>
        </w:rPr>
        <w:t>°</w:t>
      </w:r>
      <w:r w:rsidR="001E5FC6">
        <w:t xml:space="preserve"> and at its least efficient when orientated at 210</w:t>
      </w:r>
      <w:r w:rsidR="001E5FC6">
        <w:rPr>
          <w:rFonts w:cs="Arial"/>
        </w:rPr>
        <w:t>°</w:t>
      </w:r>
      <w:r w:rsidR="001E5FC6">
        <w:t>.</w:t>
      </w:r>
      <w:r w:rsidR="00403550">
        <w:t xml:space="preserve"> It should be noted that a rotation greater than 180</w:t>
      </w:r>
      <w:r w:rsidR="00403550">
        <w:rPr>
          <w:rFonts w:cs="Arial"/>
        </w:rPr>
        <w:t>°</w:t>
      </w:r>
      <w:r w:rsidR="00403550">
        <w:t xml:space="preserve"> would be required to cover this range.</w:t>
      </w:r>
    </w:p>
    <w:p w14:paraId="7C728A2A" w14:textId="77777777" w:rsidR="001E5FC6" w:rsidRDefault="001E5FC6" w:rsidP="0089604C">
      <w:pPr>
        <w:numPr>
          <w:ilvl w:val="1"/>
          <w:numId w:val="1"/>
        </w:numPr>
        <w:tabs>
          <w:tab w:val="num" w:pos="786"/>
        </w:tabs>
        <w:spacing w:before="60" w:after="60"/>
      </w:pPr>
      <w:r>
        <w:t>The space heating of the dwelling for the conditioned floor area is very low with a load of approximately 16 kWh/m</w:t>
      </w:r>
      <w:r w:rsidRPr="001E5FC6">
        <w:rPr>
          <w:vertAlign w:val="superscript"/>
        </w:rPr>
        <w:t>2</w:t>
      </w:r>
      <w:r>
        <w:t xml:space="preserve"> per annum which is close to the </w:t>
      </w:r>
      <w:proofErr w:type="spellStart"/>
      <w:r>
        <w:t>Passivhaus</w:t>
      </w:r>
      <w:proofErr w:type="spellEnd"/>
      <w:r>
        <w:t xml:space="preserve"> target of 15 kWh/m</w:t>
      </w:r>
      <w:r w:rsidRPr="001E5FC6">
        <w:rPr>
          <w:vertAlign w:val="superscript"/>
        </w:rPr>
        <w:t>2</w:t>
      </w:r>
      <w:r>
        <w:t xml:space="preserve"> for space heating.</w:t>
      </w:r>
    </w:p>
    <w:p w14:paraId="512B78D9" w14:textId="268A49FE" w:rsidR="009C029C" w:rsidRDefault="009C029C" w:rsidP="0089604C">
      <w:pPr>
        <w:numPr>
          <w:ilvl w:val="1"/>
          <w:numId w:val="1"/>
        </w:numPr>
        <w:tabs>
          <w:tab w:val="num" w:pos="786"/>
        </w:tabs>
        <w:spacing w:before="60" w:after="60"/>
      </w:pPr>
      <w:r>
        <w:t>Significant overheating would be experienced within the dwelling using the specification tested in this work</w:t>
      </w:r>
      <w:r w:rsidR="001E5FC6">
        <w:t>.</w:t>
      </w:r>
      <w:r>
        <w:t xml:space="preserve"> The summer bypass feature of the MVHR system will not provide enough fresh air to mitigate overheating in either scenario 1</w:t>
      </w:r>
      <w:r w:rsidR="00D40D13">
        <w:t>.1</w:t>
      </w:r>
      <w:r>
        <w:t xml:space="preserve"> or </w:t>
      </w:r>
      <w:r w:rsidR="00D40D13">
        <w:t>1.</w:t>
      </w:r>
      <w:r>
        <w:t>2.</w:t>
      </w:r>
    </w:p>
    <w:p w14:paraId="0BC805F6" w14:textId="77777777" w:rsidR="009C029C" w:rsidRDefault="009C029C" w:rsidP="0089604C">
      <w:pPr>
        <w:numPr>
          <w:ilvl w:val="1"/>
          <w:numId w:val="1"/>
        </w:numPr>
        <w:tabs>
          <w:tab w:val="num" w:pos="786"/>
        </w:tabs>
        <w:spacing w:before="60" w:after="60"/>
      </w:pPr>
      <w:r>
        <w:t>Although the dwelling performs slightly better when using the adaptive comfort criteria to assess overheating</w:t>
      </w:r>
      <w:r w:rsidR="005C11D7">
        <w:t>,</w:t>
      </w:r>
      <w:r>
        <w:t xml:space="preserve"> temperatures would </w:t>
      </w:r>
      <w:r w:rsidR="005C11D7">
        <w:t xml:space="preserve">still </w:t>
      </w:r>
      <w:r>
        <w:t>exceed acceptable levels, particularly in the spaces with the longest periods of occupancy</w:t>
      </w:r>
      <w:r w:rsidR="005C11D7">
        <w:t xml:space="preserve"> (lounge, study and kitchen)</w:t>
      </w:r>
      <w:r>
        <w:t>.</w:t>
      </w:r>
    </w:p>
    <w:p w14:paraId="13995BC7" w14:textId="3EA12C87" w:rsidR="00403550" w:rsidRDefault="009C029C" w:rsidP="0089604C">
      <w:pPr>
        <w:numPr>
          <w:ilvl w:val="1"/>
          <w:numId w:val="1"/>
        </w:numPr>
        <w:tabs>
          <w:tab w:val="num" w:pos="786"/>
        </w:tabs>
        <w:spacing w:before="60" w:after="60"/>
      </w:pPr>
      <w:r>
        <w:t xml:space="preserve">Electricity demand could be met by </w:t>
      </w:r>
      <w:r w:rsidR="00403550">
        <w:t xml:space="preserve">either </w:t>
      </w:r>
      <w:r w:rsidR="005C11D7">
        <w:t>PV</w:t>
      </w:r>
      <w:r w:rsidR="00403550">
        <w:t xml:space="preserve"> or</w:t>
      </w:r>
      <w:r w:rsidR="005C11D7">
        <w:t xml:space="preserve"> a wind turbine</w:t>
      </w:r>
      <w:r w:rsidR="00403550">
        <w:t xml:space="preserve"> installed on site</w:t>
      </w:r>
      <w:r w:rsidR="00D40D13">
        <w:t>,</w:t>
      </w:r>
      <w:r w:rsidR="00403550">
        <w:t xml:space="preserve"> although the software used for this analysis has limited scope for evaluating these systems in detail.</w:t>
      </w:r>
      <w:r w:rsidR="006072B0">
        <w:t xml:space="preserve"> The systems tested here would represent large installations that </w:t>
      </w:r>
      <w:r w:rsidR="00D40D13">
        <w:t xml:space="preserve">would have to </w:t>
      </w:r>
      <w:proofErr w:type="gramStart"/>
      <w:r w:rsidR="006072B0">
        <w:t>mounted</w:t>
      </w:r>
      <w:proofErr w:type="gramEnd"/>
      <w:r w:rsidR="006072B0">
        <w:t xml:space="preserve"> </w:t>
      </w:r>
      <w:r w:rsidR="00D40D13">
        <w:t>remotely from the building</w:t>
      </w:r>
      <w:r w:rsidR="006072B0">
        <w:t>.</w:t>
      </w:r>
    </w:p>
    <w:p w14:paraId="66E457A9" w14:textId="77777777" w:rsidR="008D0405" w:rsidRDefault="008D0405" w:rsidP="008D0405">
      <w:pPr>
        <w:pStyle w:val="NumPara"/>
      </w:pPr>
      <w:r>
        <w:t>The following recommendations are made based on the conclusions of the thermal bridging calculations:</w:t>
      </w:r>
    </w:p>
    <w:p w14:paraId="6103E920" w14:textId="77777777" w:rsidR="008D0405" w:rsidRDefault="008D0405" w:rsidP="008D0405">
      <w:pPr>
        <w:numPr>
          <w:ilvl w:val="1"/>
          <w:numId w:val="1"/>
        </w:numPr>
        <w:tabs>
          <w:tab w:val="num" w:pos="786"/>
        </w:tabs>
        <w:spacing w:before="60" w:after="60"/>
      </w:pPr>
      <w:r>
        <w:t>The jamb junction should be revised to increase the internal surface temperature and further reduce the risk of condensation and mould growth.  This could be achieved by squaring the edges of the glazing units.</w:t>
      </w:r>
    </w:p>
    <w:p w14:paraId="6E135EB1" w14:textId="77777777" w:rsidR="008D0405" w:rsidRDefault="008D0405" w:rsidP="008D0405">
      <w:pPr>
        <w:numPr>
          <w:ilvl w:val="1"/>
          <w:numId w:val="1"/>
        </w:numPr>
        <w:tabs>
          <w:tab w:val="num" w:pos="786"/>
        </w:tabs>
        <w:spacing w:before="60" w:after="60"/>
      </w:pPr>
      <w:r>
        <w:t>The spigot for the services penetration should be redesigned to eliminate the risk of condensation by isolating the stainless steel element or removing it entirely.</w:t>
      </w:r>
    </w:p>
    <w:p w14:paraId="7824A5FB" w14:textId="77777777" w:rsidR="008D0405" w:rsidRDefault="008D0405" w:rsidP="008D0405">
      <w:pPr>
        <w:numPr>
          <w:ilvl w:val="1"/>
          <w:numId w:val="1"/>
        </w:numPr>
        <w:tabs>
          <w:tab w:val="num" w:pos="786"/>
        </w:tabs>
        <w:spacing w:before="60" w:after="60"/>
      </w:pPr>
      <w:r>
        <w:t>The lobby door threshold junction design should be revised to provide continuity of insulation.  This will require the brush seal to have an insulated casing or be repositioned outside of the insulated envelope.</w:t>
      </w:r>
    </w:p>
    <w:p w14:paraId="51279B6E" w14:textId="4B27F4B7" w:rsidR="008D0405" w:rsidRDefault="008D0405" w:rsidP="00D40D13">
      <w:pPr>
        <w:numPr>
          <w:ilvl w:val="1"/>
          <w:numId w:val="1"/>
        </w:numPr>
        <w:tabs>
          <w:tab w:val="num" w:pos="786"/>
        </w:tabs>
        <w:spacing w:before="60" w:after="60"/>
      </w:pPr>
      <w:r>
        <w:t>The design of the lobby floor junction with the lobby wall should be revised to provide a greater continuity of insulation.  This could be achieved by reducing the penetration of the insulation with steelwork and brush seal.</w:t>
      </w:r>
    </w:p>
    <w:p w14:paraId="7D62979D" w14:textId="77777777" w:rsidR="00403550" w:rsidRDefault="00403550" w:rsidP="00403550">
      <w:pPr>
        <w:pStyle w:val="NumPara"/>
      </w:pPr>
      <w:r>
        <w:t>The following recommendations are made based on the conclusions of the dynamic thermal simulations calculations:</w:t>
      </w:r>
    </w:p>
    <w:p w14:paraId="4A5F5653" w14:textId="77777777" w:rsidR="002F712B" w:rsidRDefault="00403550" w:rsidP="00403550">
      <w:pPr>
        <w:numPr>
          <w:ilvl w:val="1"/>
          <w:numId w:val="1"/>
        </w:numPr>
        <w:tabs>
          <w:tab w:val="num" w:pos="786"/>
        </w:tabs>
        <w:spacing w:before="60" w:after="60"/>
      </w:pPr>
      <w:r>
        <w:t xml:space="preserve">It will be useful to establish how much energy is required to rotate the building. </w:t>
      </w:r>
      <w:r w:rsidR="002F712B">
        <w:t>P</w:t>
      </w:r>
      <w:r>
        <w:t xml:space="preserve">otential savings from rotation are relatively low </w:t>
      </w:r>
      <w:r w:rsidR="002F712B">
        <w:t xml:space="preserve">and it would only be worth including this feature </w:t>
      </w:r>
      <w:r>
        <w:t xml:space="preserve">if </w:t>
      </w:r>
      <w:r w:rsidR="002F712B">
        <w:t>the energy required to do this</w:t>
      </w:r>
      <w:r>
        <w:t xml:space="preserve"> w</w:t>
      </w:r>
      <w:r w:rsidR="002F712B">
        <w:t>as</w:t>
      </w:r>
      <w:r>
        <w:t xml:space="preserve"> offset by space heating energy savings</w:t>
      </w:r>
      <w:r w:rsidR="002F712B">
        <w:t>.</w:t>
      </w:r>
    </w:p>
    <w:p w14:paraId="467F8465" w14:textId="56E3E78C" w:rsidR="001E5FC6" w:rsidRDefault="002F712B" w:rsidP="00403550">
      <w:pPr>
        <w:numPr>
          <w:ilvl w:val="1"/>
          <w:numId w:val="1"/>
        </w:numPr>
        <w:tabs>
          <w:tab w:val="num" w:pos="786"/>
        </w:tabs>
        <w:spacing w:before="60" w:after="60"/>
      </w:pPr>
      <w:r>
        <w:lastRenderedPageBreak/>
        <w:t>Potential mitigation measures that can significantly reduce overheating need to be investigated</w:t>
      </w:r>
      <w:r w:rsidR="00D40D13">
        <w:t>,</w:t>
      </w:r>
      <w:r>
        <w:t xml:space="preserve"> as the scenarios tested here would lead to a very uncomfortable thermal environment during the summer months. These</w:t>
      </w:r>
      <w:r w:rsidR="005C11D7">
        <w:t xml:space="preserve"> measures</w:t>
      </w:r>
      <w:r>
        <w:t xml:space="preserve"> could include additional mechanical ventilation, air conditioning or natural ventilation</w:t>
      </w:r>
      <w:r w:rsidR="006072B0">
        <w:t>.</w:t>
      </w:r>
    </w:p>
    <w:p w14:paraId="2506F328" w14:textId="77777777" w:rsidR="006072B0" w:rsidRDefault="006072B0" w:rsidP="00403550">
      <w:pPr>
        <w:numPr>
          <w:ilvl w:val="1"/>
          <w:numId w:val="1"/>
        </w:numPr>
        <w:tabs>
          <w:tab w:val="num" w:pos="786"/>
        </w:tabs>
        <w:spacing w:before="60" w:after="60"/>
      </w:pPr>
      <w:r>
        <w:t>At present, the window design effectively results in a triple glazed unit. It may not be possible to retain this unit and introduce natural ventilation so alternatives may need to be explored.</w:t>
      </w:r>
    </w:p>
    <w:p w14:paraId="16AAFE8E" w14:textId="77777777" w:rsidR="006072B0" w:rsidRDefault="006072B0" w:rsidP="00403550">
      <w:pPr>
        <w:numPr>
          <w:ilvl w:val="1"/>
          <w:numId w:val="1"/>
        </w:numPr>
        <w:tabs>
          <w:tab w:val="num" w:pos="786"/>
        </w:tabs>
        <w:spacing w:before="60" w:after="60"/>
      </w:pPr>
      <w:r>
        <w:t xml:space="preserve">Simulations included in this report were limited to the Leeds area only; </w:t>
      </w:r>
      <w:r w:rsidR="005C11D7">
        <w:t>simulations for</w:t>
      </w:r>
      <w:r>
        <w:t xml:space="preserve"> other areas of the UK will be required to further understand potential performance.</w:t>
      </w:r>
    </w:p>
    <w:p w14:paraId="38F449D4" w14:textId="77777777" w:rsidR="006072B0" w:rsidRDefault="006072B0" w:rsidP="00403550">
      <w:pPr>
        <w:numPr>
          <w:ilvl w:val="1"/>
          <w:numId w:val="1"/>
        </w:numPr>
        <w:tabs>
          <w:tab w:val="num" w:pos="786"/>
        </w:tabs>
        <w:spacing w:before="60" w:after="60"/>
      </w:pPr>
      <w:r>
        <w:t>Bespoke analysis would help to improve building performance for potential clients with non-standard work schedules.</w:t>
      </w:r>
    </w:p>
    <w:p w14:paraId="0EC1255B" w14:textId="77777777" w:rsidR="001C51A0" w:rsidRDefault="001C51A0" w:rsidP="00403550">
      <w:pPr>
        <w:numPr>
          <w:ilvl w:val="1"/>
          <w:numId w:val="1"/>
        </w:numPr>
        <w:tabs>
          <w:tab w:val="num" w:pos="786"/>
        </w:tabs>
        <w:spacing w:before="60" w:after="60"/>
      </w:pPr>
      <w:r>
        <w:t>Further evaluation of renewable energy generation technologies is advised using specialist software and localised weather data.</w:t>
      </w:r>
      <w:r w:rsidR="00A86AC6">
        <w:t xml:space="preserve"> The feasibility of wind turbine height and power rating should be considered for built-up areas.</w:t>
      </w:r>
    </w:p>
    <w:p w14:paraId="22C2D7A5" w14:textId="77777777" w:rsidR="00F73CC3" w:rsidRDefault="00F73CC3" w:rsidP="00F47BDD">
      <w:pPr>
        <w:pStyle w:val="Heading1"/>
      </w:pPr>
      <w:bookmarkStart w:id="29" w:name="_Toc422233809"/>
      <w:r>
        <w:t>References</w:t>
      </w:r>
      <w:bookmarkEnd w:id="29"/>
    </w:p>
    <w:p w14:paraId="27D7A8A3" w14:textId="77777777" w:rsidR="00264588" w:rsidRDefault="00264588" w:rsidP="00264588">
      <w:r>
        <w:t>Anderson, B. (2006) Conventions for U-value Calculations. BR 443. Watford: Building Research Establishment.</w:t>
      </w:r>
    </w:p>
    <w:p w14:paraId="176D4AF0" w14:textId="77777777" w:rsidR="00264588" w:rsidRDefault="00264588" w:rsidP="00264588">
      <w:r w:rsidRPr="00F63173">
        <w:t>ASHRAE (2007) Standard 140-2007: Standard method of test for the evaluation of building energy analysis computer programs. Atlanta: ASHRAE</w:t>
      </w:r>
      <w:r>
        <w:t>.</w:t>
      </w:r>
    </w:p>
    <w:p w14:paraId="56E084DF" w14:textId="77777777" w:rsidR="00264588" w:rsidRDefault="00264588" w:rsidP="00264588">
      <w:r>
        <w:t xml:space="preserve">British Standards Institution (2000) BS EN 12524: Building Materials and Products – </w:t>
      </w:r>
      <w:proofErr w:type="spellStart"/>
      <w:r>
        <w:t>Hygrothermal</w:t>
      </w:r>
      <w:proofErr w:type="spellEnd"/>
      <w:r>
        <w:t xml:space="preserve"> Properties – Tabulated Design Values. Milton Keynes: British Standards Institution.</w:t>
      </w:r>
    </w:p>
    <w:p w14:paraId="7E5634E0" w14:textId="77777777" w:rsidR="00264588" w:rsidRDefault="00264588" w:rsidP="00264588">
      <w:r>
        <w:t>British Standards Institution. (2007) BS EN ISO 6946: Building Components and Building Elements – Thermal Resistance and Thermal Transmittance – Calculation Methods. Milton Keynes: British Standards Institution.</w:t>
      </w:r>
    </w:p>
    <w:p w14:paraId="4C377BB9" w14:textId="77777777" w:rsidR="00264588" w:rsidRDefault="00264588" w:rsidP="00264588">
      <w:r w:rsidRPr="00765FA9">
        <w:t>CIBSE (2006</w:t>
      </w:r>
      <w:r>
        <w:t>a</w:t>
      </w:r>
      <w:r w:rsidRPr="00765FA9">
        <w:t>) TM33: Tests for Software Accreditation &amp; Verification. London: CIBSE</w:t>
      </w:r>
      <w:r>
        <w:t>.</w:t>
      </w:r>
    </w:p>
    <w:p w14:paraId="079235E9" w14:textId="77777777" w:rsidR="00264588" w:rsidRDefault="00264588" w:rsidP="00264588">
      <w:r>
        <w:t>CIBSE (2006b) Guide A: Environmental Design. CIBSE: London.</w:t>
      </w:r>
    </w:p>
    <w:p w14:paraId="0F2AECFC" w14:textId="77777777" w:rsidR="00264588" w:rsidRDefault="00264588" w:rsidP="00264588">
      <w:r>
        <w:t xml:space="preserve">CIBSE (2006c) </w:t>
      </w:r>
      <w:r w:rsidRPr="00F63173">
        <w:t xml:space="preserve">Current CIBSE TRY </w:t>
      </w:r>
      <w:r>
        <w:t>and DSY</w:t>
      </w:r>
      <w:r w:rsidRPr="00F63173">
        <w:t xml:space="preserve"> Hourly Weather Data</w:t>
      </w:r>
      <w:r w:rsidR="00221C36">
        <w:t xml:space="preserve"> (2005 files)</w:t>
      </w:r>
      <w:r>
        <w:t>. London: CIBSE.</w:t>
      </w:r>
    </w:p>
    <w:p w14:paraId="7CD24201" w14:textId="77777777" w:rsidR="00264588" w:rsidRDefault="00264588" w:rsidP="00264588">
      <w:r>
        <w:t>CIBSE (2013) TM52: The limits of thermal comfort: avoiding overheating in European buildings. CIBSE: London.</w:t>
      </w:r>
    </w:p>
    <w:p w14:paraId="293B24FD" w14:textId="77777777" w:rsidR="00264588" w:rsidRDefault="00264588" w:rsidP="00264588">
      <w:r>
        <w:t>Department of Energy and Climate Change (2013) SAP 2012: The Government’s Standard Assessment Procedure for Energy Rating of Dwellings. Watford: Building Research Establishment.</w:t>
      </w:r>
    </w:p>
    <w:p w14:paraId="5D06C4DE" w14:textId="77777777" w:rsidR="00264588" w:rsidRDefault="00264588" w:rsidP="00264588">
      <w:proofErr w:type="spellStart"/>
      <w:r>
        <w:t>Golinksi</w:t>
      </w:r>
      <w:proofErr w:type="spellEnd"/>
      <w:r>
        <w:t xml:space="preserve">, J. (2011) Regulations compliance report for </w:t>
      </w:r>
      <w:r w:rsidRPr="00F63173">
        <w:t>Eco Dwelling Prototype</w:t>
      </w:r>
      <w:r>
        <w:t xml:space="preserve">. Printed </w:t>
      </w:r>
      <w:r w:rsidRPr="00F63173">
        <w:t>11</w:t>
      </w:r>
      <w:r>
        <w:t>th</w:t>
      </w:r>
      <w:r w:rsidRPr="00F63173">
        <w:t xml:space="preserve"> August 2011 at 13:21:08</w:t>
      </w:r>
      <w:r>
        <w:t>.</w:t>
      </w:r>
    </w:p>
    <w:p w14:paraId="67BB5303" w14:textId="77777777" w:rsidR="00264588" w:rsidRDefault="00264588" w:rsidP="00264588">
      <w:r>
        <w:t>HM Government (2013) Approved Document L1A: Conservation of Fuel and Power in New Dwellings. The Building Regulations 2010. London: NBS.</w:t>
      </w:r>
    </w:p>
    <w:p w14:paraId="186C762E" w14:textId="77777777" w:rsidR="00264588" w:rsidRDefault="00264588" w:rsidP="00264588">
      <w:r w:rsidRPr="00765FA9">
        <w:t>Integrated Environmental Solutions. (201</w:t>
      </w:r>
      <w:r>
        <w:t>4</w:t>
      </w:r>
      <w:r w:rsidRPr="00765FA9">
        <w:t>) Virtual Environment, version 201</w:t>
      </w:r>
      <w:r>
        <w:t>4</w:t>
      </w:r>
      <w:r w:rsidRPr="00765FA9">
        <w:t>.</w:t>
      </w:r>
      <w:r>
        <w:t>2</w:t>
      </w:r>
      <w:r w:rsidRPr="00765FA9">
        <w:t>.</w:t>
      </w:r>
      <w:r>
        <w:t>1</w:t>
      </w:r>
      <w:r w:rsidRPr="00765FA9">
        <w:t>.</w:t>
      </w:r>
      <w:r>
        <w:t>0</w:t>
      </w:r>
      <w:r w:rsidRPr="00765FA9">
        <w:t>.</w:t>
      </w:r>
    </w:p>
    <w:p w14:paraId="13FE7F42" w14:textId="77777777" w:rsidR="00264588" w:rsidRDefault="00264588" w:rsidP="00264588">
      <w:proofErr w:type="spellStart"/>
      <w:r>
        <w:t>Physibel</w:t>
      </w:r>
      <w:proofErr w:type="spellEnd"/>
      <w:r>
        <w:t xml:space="preserve"> (2010) TRISCO. </w:t>
      </w:r>
      <w:proofErr w:type="gramStart"/>
      <w:r>
        <w:t>version</w:t>
      </w:r>
      <w:proofErr w:type="gramEnd"/>
      <w:r>
        <w:t xml:space="preserve"> 12.0w [Software]. </w:t>
      </w:r>
      <w:proofErr w:type="spellStart"/>
      <w:r>
        <w:t>Maldegem</w:t>
      </w:r>
      <w:proofErr w:type="spellEnd"/>
      <w:r>
        <w:t xml:space="preserve">: </w:t>
      </w:r>
      <w:proofErr w:type="spellStart"/>
      <w:r>
        <w:t>Physibel</w:t>
      </w:r>
      <w:proofErr w:type="spellEnd"/>
      <w:r>
        <w:t>.</w:t>
      </w:r>
    </w:p>
    <w:p w14:paraId="2564B176" w14:textId="77777777" w:rsidR="00264588" w:rsidRDefault="00264588" w:rsidP="00264588">
      <w:r>
        <w:t>Walker Associates (2015) Personal Communication, June 2015.</w:t>
      </w:r>
    </w:p>
    <w:p w14:paraId="22F8D555" w14:textId="77777777" w:rsidR="00264588" w:rsidRDefault="00264588" w:rsidP="00264588">
      <w:r>
        <w:t>Ward, T. (2006) Assessing the Effects of Thermal Bridging at Junctions and Around Openings. IP 1/06. Watford: Building Research Establishment.</w:t>
      </w:r>
    </w:p>
    <w:p w14:paraId="3F1CF313" w14:textId="77777777" w:rsidR="00264588" w:rsidRDefault="00264588" w:rsidP="00264588">
      <w:r>
        <w:t>Ward, T. and Sanders, C. (2007) Conventions for Calculating Linear Thermal Transmittance and Temperature Factors. BR 497. Watford: Building Research Establishment.</w:t>
      </w:r>
    </w:p>
    <w:p w14:paraId="54A5E788" w14:textId="77777777" w:rsidR="002202AD" w:rsidRDefault="002202AD">
      <w:pPr>
        <w:spacing w:before="0" w:line="240" w:lineRule="auto"/>
        <w:rPr>
          <w:rFonts w:cs="Arial"/>
          <w:b/>
          <w:bCs/>
          <w:kern w:val="32"/>
          <w:sz w:val="28"/>
          <w:szCs w:val="32"/>
        </w:rPr>
      </w:pPr>
      <w:r>
        <w:rPr>
          <w:rFonts w:cs="Arial"/>
          <w:b/>
          <w:bCs/>
          <w:kern w:val="32"/>
          <w:sz w:val="28"/>
          <w:szCs w:val="32"/>
        </w:rPr>
        <w:br w:type="page"/>
      </w:r>
    </w:p>
    <w:p w14:paraId="7BB03F1E" w14:textId="77777777" w:rsidR="008F7338" w:rsidRPr="008F7338" w:rsidRDefault="00B67D2C" w:rsidP="008F7338">
      <w:pPr>
        <w:keepNext/>
        <w:spacing w:before="240" w:after="60"/>
        <w:outlineLvl w:val="0"/>
        <w:rPr>
          <w:rFonts w:cs="Arial"/>
          <w:b/>
          <w:bCs/>
          <w:kern w:val="32"/>
          <w:sz w:val="28"/>
          <w:szCs w:val="32"/>
        </w:rPr>
      </w:pPr>
      <w:r>
        <w:rPr>
          <w:rFonts w:cs="Arial"/>
          <w:b/>
          <w:bCs/>
          <w:kern w:val="32"/>
          <w:sz w:val="28"/>
          <w:szCs w:val="32"/>
        </w:rPr>
        <w:lastRenderedPageBreak/>
        <w:t>Appendix A</w:t>
      </w:r>
    </w:p>
    <w:p w14:paraId="337265A0" w14:textId="77777777" w:rsidR="003C091F" w:rsidRDefault="003C091F">
      <w:pPr>
        <w:spacing w:before="0" w:line="240" w:lineRule="auto"/>
      </w:pPr>
    </w:p>
    <w:p w14:paraId="46B16B30" w14:textId="77777777" w:rsidR="002202AD" w:rsidRDefault="002202AD">
      <w:pPr>
        <w:spacing w:before="0" w:line="240" w:lineRule="auto"/>
      </w:pPr>
      <w:r w:rsidRPr="002202AD">
        <w:rPr>
          <w:noProof/>
          <w:lang w:eastAsia="en-GB"/>
        </w:rPr>
        <w:drawing>
          <wp:inline distT="0" distB="0" distL="0" distR="0" wp14:anchorId="3002714A" wp14:editId="68C0FC85">
            <wp:extent cx="5727700" cy="841946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8419465"/>
                    </a:xfrm>
                    <a:prstGeom prst="rect">
                      <a:avLst/>
                    </a:prstGeom>
                    <a:noFill/>
                    <a:ln>
                      <a:noFill/>
                    </a:ln>
                  </pic:spPr>
                </pic:pic>
              </a:graphicData>
            </a:graphic>
          </wp:inline>
        </w:drawing>
      </w:r>
    </w:p>
    <w:p w14:paraId="1F69F5E5" w14:textId="77777777" w:rsidR="00651FE0" w:rsidRDefault="00651FE0">
      <w:pPr>
        <w:spacing w:before="0" w:line="240" w:lineRule="auto"/>
      </w:pPr>
    </w:p>
    <w:p w14:paraId="3F0B036B" w14:textId="77777777" w:rsidR="00651FE0" w:rsidRDefault="00651FE0">
      <w:pPr>
        <w:spacing w:before="0" w:line="240" w:lineRule="auto"/>
      </w:pPr>
    </w:p>
    <w:p w14:paraId="248F06AD" w14:textId="77777777" w:rsidR="00651FE0" w:rsidRDefault="00651FE0">
      <w:pPr>
        <w:spacing w:before="0" w:line="240" w:lineRule="auto"/>
      </w:pPr>
      <w:r w:rsidRPr="00651FE0">
        <w:rPr>
          <w:noProof/>
          <w:lang w:eastAsia="en-GB"/>
        </w:rPr>
        <w:drawing>
          <wp:inline distT="0" distB="0" distL="0" distR="0" wp14:anchorId="4EA475F3" wp14:editId="164DB9E1">
            <wp:extent cx="5727700" cy="860933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8609330"/>
                    </a:xfrm>
                    <a:prstGeom prst="rect">
                      <a:avLst/>
                    </a:prstGeom>
                    <a:noFill/>
                    <a:ln>
                      <a:noFill/>
                    </a:ln>
                  </pic:spPr>
                </pic:pic>
              </a:graphicData>
            </a:graphic>
          </wp:inline>
        </w:drawing>
      </w:r>
    </w:p>
    <w:p w14:paraId="1DFFD66B" w14:textId="77777777" w:rsidR="00651FE0" w:rsidRDefault="00651FE0">
      <w:pPr>
        <w:spacing w:before="0" w:line="240" w:lineRule="auto"/>
      </w:pPr>
    </w:p>
    <w:p w14:paraId="7AD189DB" w14:textId="77777777" w:rsidR="00651FE0" w:rsidRDefault="00651FE0">
      <w:pPr>
        <w:spacing w:before="0" w:line="240" w:lineRule="auto"/>
      </w:pPr>
    </w:p>
    <w:p w14:paraId="53A27F3C" w14:textId="77777777" w:rsidR="00651FE0" w:rsidRDefault="00651FE0">
      <w:pPr>
        <w:spacing w:before="0" w:line="240" w:lineRule="auto"/>
      </w:pPr>
      <w:r w:rsidRPr="00651FE0">
        <w:rPr>
          <w:noProof/>
          <w:lang w:eastAsia="en-GB"/>
        </w:rPr>
        <w:drawing>
          <wp:inline distT="0" distB="0" distL="0" distR="0" wp14:anchorId="3EE0B4F8" wp14:editId="4D8B6BD4">
            <wp:extent cx="5727700" cy="803973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8039735"/>
                    </a:xfrm>
                    <a:prstGeom prst="rect">
                      <a:avLst/>
                    </a:prstGeom>
                    <a:noFill/>
                    <a:ln>
                      <a:noFill/>
                    </a:ln>
                  </pic:spPr>
                </pic:pic>
              </a:graphicData>
            </a:graphic>
          </wp:inline>
        </w:drawing>
      </w:r>
    </w:p>
    <w:p w14:paraId="1BF7F133" w14:textId="77777777" w:rsidR="00651FE0" w:rsidRDefault="00651FE0">
      <w:pPr>
        <w:spacing w:before="0" w:line="240" w:lineRule="auto"/>
      </w:pPr>
    </w:p>
    <w:p w14:paraId="11ECE12F" w14:textId="77777777" w:rsidR="00651FE0" w:rsidRDefault="00651FE0">
      <w:pPr>
        <w:spacing w:before="0" w:line="240" w:lineRule="auto"/>
      </w:pPr>
    </w:p>
    <w:p w14:paraId="47878FA1" w14:textId="77777777" w:rsidR="00651FE0" w:rsidRDefault="00651FE0">
      <w:pPr>
        <w:spacing w:before="0" w:line="240" w:lineRule="auto"/>
      </w:pPr>
    </w:p>
    <w:p w14:paraId="369DFF3C" w14:textId="77777777" w:rsidR="00651FE0" w:rsidRDefault="00651FE0">
      <w:pPr>
        <w:spacing w:before="0" w:line="240" w:lineRule="auto"/>
      </w:pPr>
    </w:p>
    <w:p w14:paraId="66558247" w14:textId="77777777" w:rsidR="00651FE0" w:rsidRDefault="00651FE0">
      <w:pPr>
        <w:spacing w:before="0" w:line="240" w:lineRule="auto"/>
      </w:pPr>
    </w:p>
    <w:p w14:paraId="7973C3B1" w14:textId="77777777" w:rsidR="00651FE0" w:rsidRDefault="00651FE0">
      <w:pPr>
        <w:spacing w:before="0" w:line="240" w:lineRule="auto"/>
      </w:pPr>
    </w:p>
    <w:p w14:paraId="69275EB3" w14:textId="77777777" w:rsidR="00651FE0" w:rsidRDefault="00651FE0">
      <w:pPr>
        <w:spacing w:before="0" w:line="240" w:lineRule="auto"/>
      </w:pPr>
      <w:r w:rsidRPr="00651FE0">
        <w:rPr>
          <w:noProof/>
          <w:lang w:eastAsia="en-GB"/>
        </w:rPr>
        <w:drawing>
          <wp:inline distT="0" distB="0" distL="0" distR="0" wp14:anchorId="78B486C5" wp14:editId="40A31CD7">
            <wp:extent cx="5727700" cy="80397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8039735"/>
                    </a:xfrm>
                    <a:prstGeom prst="rect">
                      <a:avLst/>
                    </a:prstGeom>
                    <a:noFill/>
                    <a:ln>
                      <a:noFill/>
                    </a:ln>
                  </pic:spPr>
                </pic:pic>
              </a:graphicData>
            </a:graphic>
          </wp:inline>
        </w:drawing>
      </w:r>
    </w:p>
    <w:p w14:paraId="2668ED8B" w14:textId="77777777" w:rsidR="00651FE0" w:rsidRDefault="00651FE0">
      <w:pPr>
        <w:spacing w:before="0" w:line="240" w:lineRule="auto"/>
      </w:pPr>
    </w:p>
    <w:p w14:paraId="226DB248" w14:textId="77777777" w:rsidR="00651FE0" w:rsidRDefault="00651FE0">
      <w:pPr>
        <w:spacing w:before="0" w:line="240" w:lineRule="auto"/>
      </w:pPr>
    </w:p>
    <w:p w14:paraId="655D4441" w14:textId="77777777" w:rsidR="00651FE0" w:rsidRDefault="00651FE0">
      <w:pPr>
        <w:spacing w:before="0" w:line="240" w:lineRule="auto"/>
      </w:pPr>
    </w:p>
    <w:p w14:paraId="4610521F" w14:textId="77777777" w:rsidR="00651FE0" w:rsidRDefault="00651FE0">
      <w:pPr>
        <w:spacing w:before="0" w:line="240" w:lineRule="auto"/>
      </w:pPr>
    </w:p>
    <w:p w14:paraId="7B2B474D" w14:textId="77777777" w:rsidR="00651FE0" w:rsidRDefault="00651FE0">
      <w:pPr>
        <w:spacing w:before="0" w:line="240" w:lineRule="auto"/>
      </w:pPr>
    </w:p>
    <w:p w14:paraId="465B3F39" w14:textId="77777777" w:rsidR="00651FE0" w:rsidRDefault="00651FE0">
      <w:pPr>
        <w:spacing w:before="0" w:line="240" w:lineRule="auto"/>
      </w:pPr>
    </w:p>
    <w:p w14:paraId="35953710" w14:textId="77777777" w:rsidR="00651FE0" w:rsidRDefault="00651FE0">
      <w:pPr>
        <w:spacing w:before="0" w:line="240" w:lineRule="auto"/>
      </w:pPr>
      <w:r w:rsidRPr="00651FE0">
        <w:rPr>
          <w:noProof/>
          <w:lang w:eastAsia="en-GB"/>
        </w:rPr>
        <w:drawing>
          <wp:inline distT="0" distB="0" distL="0" distR="0" wp14:anchorId="4C9645E3" wp14:editId="3C03F0E1">
            <wp:extent cx="5727700" cy="80397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8039735"/>
                    </a:xfrm>
                    <a:prstGeom prst="rect">
                      <a:avLst/>
                    </a:prstGeom>
                    <a:noFill/>
                    <a:ln>
                      <a:noFill/>
                    </a:ln>
                  </pic:spPr>
                </pic:pic>
              </a:graphicData>
            </a:graphic>
          </wp:inline>
        </w:drawing>
      </w:r>
    </w:p>
    <w:p w14:paraId="386E33FC" w14:textId="77777777" w:rsidR="00651FE0" w:rsidRDefault="00651FE0">
      <w:pPr>
        <w:spacing w:before="0" w:line="240" w:lineRule="auto"/>
      </w:pPr>
    </w:p>
    <w:p w14:paraId="76CD15D9" w14:textId="77777777" w:rsidR="00651FE0" w:rsidRDefault="00651FE0">
      <w:pPr>
        <w:spacing w:before="0" w:line="240" w:lineRule="auto"/>
      </w:pPr>
    </w:p>
    <w:p w14:paraId="34CC14BA" w14:textId="77777777" w:rsidR="00651FE0" w:rsidRDefault="00651FE0">
      <w:pPr>
        <w:spacing w:before="0" w:line="240" w:lineRule="auto"/>
      </w:pPr>
    </w:p>
    <w:p w14:paraId="1443F6D2" w14:textId="77777777" w:rsidR="00651FE0" w:rsidRDefault="00651FE0">
      <w:pPr>
        <w:spacing w:before="0" w:line="240" w:lineRule="auto"/>
      </w:pPr>
    </w:p>
    <w:p w14:paraId="0E608233" w14:textId="77777777" w:rsidR="00651FE0" w:rsidRDefault="00651FE0">
      <w:pPr>
        <w:spacing w:before="0" w:line="240" w:lineRule="auto"/>
      </w:pPr>
    </w:p>
    <w:p w14:paraId="276FA2F0" w14:textId="77777777" w:rsidR="00651FE0" w:rsidRDefault="00651FE0">
      <w:pPr>
        <w:spacing w:before="0" w:line="240" w:lineRule="auto"/>
      </w:pPr>
    </w:p>
    <w:p w14:paraId="00CAA4D0" w14:textId="77777777" w:rsidR="00651FE0" w:rsidRDefault="00651FE0">
      <w:pPr>
        <w:spacing w:before="0" w:line="240" w:lineRule="auto"/>
      </w:pPr>
      <w:r w:rsidRPr="00651FE0">
        <w:rPr>
          <w:noProof/>
          <w:lang w:eastAsia="en-GB"/>
        </w:rPr>
        <w:drawing>
          <wp:inline distT="0" distB="0" distL="0" distR="0" wp14:anchorId="7E3CB24A" wp14:editId="7990B6D1">
            <wp:extent cx="5727700" cy="803973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8039735"/>
                    </a:xfrm>
                    <a:prstGeom prst="rect">
                      <a:avLst/>
                    </a:prstGeom>
                    <a:noFill/>
                    <a:ln>
                      <a:noFill/>
                    </a:ln>
                  </pic:spPr>
                </pic:pic>
              </a:graphicData>
            </a:graphic>
          </wp:inline>
        </w:drawing>
      </w:r>
    </w:p>
    <w:p w14:paraId="792167F2" w14:textId="77777777" w:rsidR="00651FE0" w:rsidRDefault="00651FE0">
      <w:pPr>
        <w:spacing w:before="0" w:line="240" w:lineRule="auto"/>
      </w:pPr>
    </w:p>
    <w:p w14:paraId="119DAB73" w14:textId="77777777" w:rsidR="00651FE0" w:rsidRDefault="00651FE0">
      <w:pPr>
        <w:spacing w:before="0" w:line="240" w:lineRule="auto"/>
      </w:pPr>
    </w:p>
    <w:p w14:paraId="68C71572" w14:textId="77777777" w:rsidR="00651FE0" w:rsidRDefault="00651FE0">
      <w:pPr>
        <w:spacing w:before="0" w:line="240" w:lineRule="auto"/>
      </w:pPr>
    </w:p>
    <w:p w14:paraId="388E98DF" w14:textId="77777777" w:rsidR="00651FE0" w:rsidRDefault="00651FE0">
      <w:pPr>
        <w:spacing w:before="0" w:line="240" w:lineRule="auto"/>
      </w:pPr>
    </w:p>
    <w:p w14:paraId="518B7069" w14:textId="77777777" w:rsidR="00651FE0" w:rsidRDefault="00651FE0">
      <w:pPr>
        <w:spacing w:before="0" w:line="240" w:lineRule="auto"/>
      </w:pPr>
    </w:p>
    <w:p w14:paraId="6D645E55" w14:textId="77777777" w:rsidR="00651FE0" w:rsidRDefault="00651FE0">
      <w:pPr>
        <w:spacing w:before="0" w:line="240" w:lineRule="auto"/>
      </w:pPr>
    </w:p>
    <w:p w14:paraId="3E83DC30" w14:textId="77777777" w:rsidR="00651FE0" w:rsidRDefault="00082E01">
      <w:pPr>
        <w:spacing w:before="0" w:line="240" w:lineRule="auto"/>
      </w:pPr>
      <w:r w:rsidRPr="00082E01">
        <w:rPr>
          <w:noProof/>
          <w:lang w:eastAsia="en-GB"/>
        </w:rPr>
        <w:drawing>
          <wp:inline distT="0" distB="0" distL="0" distR="0" wp14:anchorId="3FC26C88" wp14:editId="20CA79F2">
            <wp:extent cx="5940425" cy="853784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537848"/>
                    </a:xfrm>
                    <a:prstGeom prst="rect">
                      <a:avLst/>
                    </a:prstGeom>
                    <a:noFill/>
                    <a:ln>
                      <a:noFill/>
                    </a:ln>
                  </pic:spPr>
                </pic:pic>
              </a:graphicData>
            </a:graphic>
          </wp:inline>
        </w:drawing>
      </w:r>
    </w:p>
    <w:p w14:paraId="63A2FA46" w14:textId="77777777" w:rsidR="00082E01" w:rsidRDefault="00082E01">
      <w:pPr>
        <w:spacing w:before="0" w:line="240" w:lineRule="auto"/>
      </w:pPr>
    </w:p>
    <w:p w14:paraId="7E682B4A" w14:textId="77777777" w:rsidR="00082E01" w:rsidRDefault="00082E01">
      <w:pPr>
        <w:spacing w:before="0" w:line="240" w:lineRule="auto"/>
      </w:pPr>
    </w:p>
    <w:p w14:paraId="7D51AA3E" w14:textId="77777777" w:rsidR="00082E01" w:rsidRDefault="00082E01">
      <w:pPr>
        <w:spacing w:before="0" w:line="240" w:lineRule="auto"/>
      </w:pPr>
    </w:p>
    <w:p w14:paraId="40FD102C" w14:textId="77777777" w:rsidR="00082E01" w:rsidRDefault="00082E01">
      <w:pPr>
        <w:spacing w:before="0" w:line="240" w:lineRule="auto"/>
      </w:pPr>
      <w:r w:rsidRPr="00082E01">
        <w:rPr>
          <w:noProof/>
          <w:lang w:eastAsia="en-GB"/>
        </w:rPr>
        <w:drawing>
          <wp:inline distT="0" distB="0" distL="0" distR="0" wp14:anchorId="12B4F8E8" wp14:editId="43BD9467">
            <wp:extent cx="5940425" cy="857836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578363"/>
                    </a:xfrm>
                    <a:prstGeom prst="rect">
                      <a:avLst/>
                    </a:prstGeom>
                    <a:noFill/>
                    <a:ln>
                      <a:noFill/>
                    </a:ln>
                  </pic:spPr>
                </pic:pic>
              </a:graphicData>
            </a:graphic>
          </wp:inline>
        </w:drawing>
      </w:r>
    </w:p>
    <w:p w14:paraId="4762475E" w14:textId="77777777" w:rsidR="00082E01" w:rsidRDefault="00082E01">
      <w:pPr>
        <w:spacing w:before="0" w:line="240" w:lineRule="auto"/>
      </w:pPr>
    </w:p>
    <w:p w14:paraId="2058C3C2" w14:textId="77777777" w:rsidR="00082E01" w:rsidRDefault="00082E01">
      <w:pPr>
        <w:spacing w:before="0" w:line="240" w:lineRule="auto"/>
      </w:pPr>
      <w:r w:rsidRPr="00082E01">
        <w:rPr>
          <w:noProof/>
          <w:lang w:eastAsia="en-GB"/>
        </w:rPr>
        <w:lastRenderedPageBreak/>
        <w:drawing>
          <wp:inline distT="0" distB="0" distL="0" distR="0" wp14:anchorId="5AF30F21" wp14:editId="39984B6A">
            <wp:extent cx="5940425" cy="8934107"/>
            <wp:effectExtent l="0" t="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934107"/>
                    </a:xfrm>
                    <a:prstGeom prst="rect">
                      <a:avLst/>
                    </a:prstGeom>
                    <a:noFill/>
                    <a:ln>
                      <a:noFill/>
                    </a:ln>
                  </pic:spPr>
                </pic:pic>
              </a:graphicData>
            </a:graphic>
          </wp:inline>
        </w:drawing>
      </w:r>
    </w:p>
    <w:p w14:paraId="085A9E74" w14:textId="77777777" w:rsidR="00082E01" w:rsidRDefault="00082E01">
      <w:pPr>
        <w:spacing w:before="0" w:line="240" w:lineRule="auto"/>
      </w:pPr>
    </w:p>
    <w:p w14:paraId="177D8BBB" w14:textId="77777777" w:rsidR="00082E01" w:rsidRDefault="00082E01">
      <w:pPr>
        <w:spacing w:before="0" w:line="240" w:lineRule="auto"/>
      </w:pPr>
      <w:r w:rsidRPr="00082E01">
        <w:rPr>
          <w:noProof/>
          <w:lang w:eastAsia="en-GB"/>
        </w:rPr>
        <w:drawing>
          <wp:inline distT="0" distB="0" distL="0" distR="0" wp14:anchorId="229206F6" wp14:editId="5721E2F5">
            <wp:extent cx="5940425" cy="8739436"/>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739436"/>
                    </a:xfrm>
                    <a:prstGeom prst="rect">
                      <a:avLst/>
                    </a:prstGeom>
                    <a:noFill/>
                    <a:ln>
                      <a:noFill/>
                    </a:ln>
                  </pic:spPr>
                </pic:pic>
              </a:graphicData>
            </a:graphic>
          </wp:inline>
        </w:drawing>
      </w:r>
    </w:p>
    <w:p w14:paraId="46663244" w14:textId="77777777" w:rsidR="00082E01" w:rsidRDefault="00082E01">
      <w:pPr>
        <w:spacing w:before="0" w:line="240" w:lineRule="auto"/>
      </w:pPr>
    </w:p>
    <w:p w14:paraId="59A3306B" w14:textId="77777777" w:rsidR="00082E01" w:rsidRDefault="00082E01">
      <w:pPr>
        <w:spacing w:before="0" w:line="240" w:lineRule="auto"/>
      </w:pPr>
      <w:r w:rsidRPr="00082E01">
        <w:rPr>
          <w:noProof/>
          <w:lang w:eastAsia="en-GB"/>
        </w:rPr>
        <w:drawing>
          <wp:inline distT="0" distB="0" distL="0" distR="0" wp14:anchorId="4A0CB7CE" wp14:editId="64F43BC4">
            <wp:extent cx="5940425" cy="8739436"/>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739436"/>
                    </a:xfrm>
                    <a:prstGeom prst="rect">
                      <a:avLst/>
                    </a:prstGeom>
                    <a:noFill/>
                    <a:ln>
                      <a:noFill/>
                    </a:ln>
                  </pic:spPr>
                </pic:pic>
              </a:graphicData>
            </a:graphic>
          </wp:inline>
        </w:drawing>
      </w:r>
    </w:p>
    <w:p w14:paraId="64857147" w14:textId="77777777" w:rsidR="00082E01" w:rsidRDefault="00082E01">
      <w:pPr>
        <w:spacing w:before="0" w:line="240" w:lineRule="auto"/>
      </w:pPr>
    </w:p>
    <w:p w14:paraId="6E57AD06" w14:textId="77777777" w:rsidR="00082E01" w:rsidRDefault="00082E01">
      <w:pPr>
        <w:spacing w:before="0" w:line="240" w:lineRule="auto"/>
      </w:pPr>
      <w:r w:rsidRPr="00082E01">
        <w:rPr>
          <w:noProof/>
          <w:lang w:eastAsia="en-GB"/>
        </w:rPr>
        <w:drawing>
          <wp:inline distT="0" distB="0" distL="0" distR="0" wp14:anchorId="08A5B78E" wp14:editId="587F84E5">
            <wp:extent cx="5940425" cy="8739436"/>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739436"/>
                    </a:xfrm>
                    <a:prstGeom prst="rect">
                      <a:avLst/>
                    </a:prstGeom>
                    <a:noFill/>
                    <a:ln>
                      <a:noFill/>
                    </a:ln>
                  </pic:spPr>
                </pic:pic>
              </a:graphicData>
            </a:graphic>
          </wp:inline>
        </w:drawing>
      </w:r>
    </w:p>
    <w:p w14:paraId="34959F2A" w14:textId="77777777" w:rsidR="00082E01" w:rsidRDefault="00082E01">
      <w:pPr>
        <w:spacing w:before="0" w:line="240" w:lineRule="auto"/>
      </w:pPr>
    </w:p>
    <w:p w14:paraId="6B07DBF5" w14:textId="77777777" w:rsidR="00082E01" w:rsidRDefault="00082E01">
      <w:pPr>
        <w:spacing w:before="0" w:line="240" w:lineRule="auto"/>
      </w:pPr>
      <w:r w:rsidRPr="00082E01">
        <w:rPr>
          <w:noProof/>
          <w:lang w:eastAsia="en-GB"/>
        </w:rPr>
        <w:drawing>
          <wp:inline distT="0" distB="0" distL="0" distR="0" wp14:anchorId="2F1A3BE1" wp14:editId="1C77F5CA">
            <wp:extent cx="5940425" cy="8141589"/>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141589"/>
                    </a:xfrm>
                    <a:prstGeom prst="rect">
                      <a:avLst/>
                    </a:prstGeom>
                    <a:noFill/>
                    <a:ln>
                      <a:noFill/>
                    </a:ln>
                  </pic:spPr>
                </pic:pic>
              </a:graphicData>
            </a:graphic>
          </wp:inline>
        </w:drawing>
      </w:r>
    </w:p>
    <w:p w14:paraId="278E2DB5" w14:textId="77777777" w:rsidR="00082E01" w:rsidRDefault="00082E01">
      <w:pPr>
        <w:spacing w:before="0" w:line="240" w:lineRule="auto"/>
      </w:pPr>
    </w:p>
    <w:p w14:paraId="147C3B38" w14:textId="77777777" w:rsidR="00082E01" w:rsidRDefault="00082E01">
      <w:pPr>
        <w:spacing w:before="0" w:line="240" w:lineRule="auto"/>
      </w:pPr>
    </w:p>
    <w:p w14:paraId="7CF88B3D" w14:textId="77777777" w:rsidR="00082E01" w:rsidRDefault="00082E01">
      <w:pPr>
        <w:spacing w:before="0" w:line="240" w:lineRule="auto"/>
      </w:pPr>
    </w:p>
    <w:p w14:paraId="66029054" w14:textId="77777777" w:rsidR="00082E01" w:rsidRDefault="00082E01">
      <w:pPr>
        <w:spacing w:before="0" w:line="240" w:lineRule="auto"/>
      </w:pPr>
    </w:p>
    <w:p w14:paraId="0B67D962" w14:textId="77777777" w:rsidR="00082E01" w:rsidRDefault="00082E01">
      <w:pPr>
        <w:spacing w:before="0" w:line="240" w:lineRule="auto"/>
      </w:pPr>
      <w:r w:rsidRPr="00082E01">
        <w:rPr>
          <w:noProof/>
          <w:lang w:eastAsia="en-GB"/>
        </w:rPr>
        <w:lastRenderedPageBreak/>
        <w:drawing>
          <wp:inline distT="0" distB="0" distL="0" distR="0" wp14:anchorId="411D1210" wp14:editId="134AB4D3">
            <wp:extent cx="5940425" cy="8934107"/>
            <wp:effectExtent l="0" t="0" r="317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934107"/>
                    </a:xfrm>
                    <a:prstGeom prst="rect">
                      <a:avLst/>
                    </a:prstGeom>
                    <a:noFill/>
                    <a:ln>
                      <a:noFill/>
                    </a:ln>
                  </pic:spPr>
                </pic:pic>
              </a:graphicData>
            </a:graphic>
          </wp:inline>
        </w:drawing>
      </w:r>
    </w:p>
    <w:p w14:paraId="2A0B498A" w14:textId="77777777" w:rsidR="00082E01" w:rsidRDefault="00082E01">
      <w:pPr>
        <w:spacing w:before="0" w:line="240" w:lineRule="auto"/>
      </w:pPr>
      <w:r w:rsidRPr="00082E01">
        <w:rPr>
          <w:noProof/>
          <w:lang w:eastAsia="en-GB"/>
        </w:rPr>
        <w:lastRenderedPageBreak/>
        <w:drawing>
          <wp:inline distT="0" distB="0" distL="0" distR="0" wp14:anchorId="3407C14B" wp14:editId="288F2E64">
            <wp:extent cx="5940425" cy="9135201"/>
            <wp:effectExtent l="0" t="0" r="317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9135201"/>
                    </a:xfrm>
                    <a:prstGeom prst="rect">
                      <a:avLst/>
                    </a:prstGeom>
                    <a:noFill/>
                    <a:ln>
                      <a:noFill/>
                    </a:ln>
                  </pic:spPr>
                </pic:pic>
              </a:graphicData>
            </a:graphic>
          </wp:inline>
        </w:drawing>
      </w:r>
    </w:p>
    <w:p w14:paraId="0E10EACF" w14:textId="77777777" w:rsidR="00082E01" w:rsidRDefault="00082E01">
      <w:pPr>
        <w:spacing w:before="0" w:line="240" w:lineRule="auto"/>
      </w:pPr>
      <w:r w:rsidRPr="00082E01">
        <w:rPr>
          <w:noProof/>
          <w:lang w:eastAsia="en-GB"/>
        </w:rPr>
        <w:lastRenderedPageBreak/>
        <w:drawing>
          <wp:inline distT="0" distB="0" distL="0" distR="0" wp14:anchorId="17F38B7F" wp14:editId="753B4074">
            <wp:extent cx="5940425" cy="953146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9531460"/>
                    </a:xfrm>
                    <a:prstGeom prst="rect">
                      <a:avLst/>
                    </a:prstGeom>
                    <a:noFill/>
                    <a:ln>
                      <a:noFill/>
                    </a:ln>
                  </pic:spPr>
                </pic:pic>
              </a:graphicData>
            </a:graphic>
          </wp:inline>
        </w:drawing>
      </w:r>
    </w:p>
    <w:sectPr w:rsidR="00082E01" w:rsidSect="0044099C">
      <w:headerReference w:type="default" r:id="rId40"/>
      <w:footerReference w:type="default" r:id="rId41"/>
      <w:footerReference w:type="first" r:id="rId42"/>
      <w:endnotePr>
        <w:numFmt w:val="decimal"/>
      </w:endnotePr>
      <w:pgSz w:w="11907" w:h="16840" w:code="9"/>
      <w:pgMar w:top="1208" w:right="1134" w:bottom="1440"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9B228" w14:textId="77777777" w:rsidR="008A45D9" w:rsidRDefault="008A45D9">
      <w:pPr>
        <w:pStyle w:val="Heading1"/>
      </w:pPr>
      <w:r>
        <w:t>References</w:t>
      </w:r>
    </w:p>
  </w:endnote>
  <w:endnote w:type="continuationSeparator" w:id="0">
    <w:p w14:paraId="46C597E8" w14:textId="77777777" w:rsidR="008A45D9" w:rsidRDefault="008A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47684"/>
      <w:docPartObj>
        <w:docPartGallery w:val="Page Numbers (Bottom of Page)"/>
        <w:docPartUnique/>
      </w:docPartObj>
    </w:sdtPr>
    <w:sdtEndPr>
      <w:rPr>
        <w:noProof/>
      </w:rPr>
    </w:sdtEndPr>
    <w:sdtContent>
      <w:p w14:paraId="26C2C805" w14:textId="77777777" w:rsidR="00F0659E" w:rsidRDefault="00F0659E">
        <w:pPr>
          <w:pStyle w:val="Footer"/>
          <w:jc w:val="right"/>
        </w:pPr>
        <w:r>
          <w:fldChar w:fldCharType="begin"/>
        </w:r>
        <w:r>
          <w:instrText xml:space="preserve"> PAGE   \* MERGEFORMAT </w:instrText>
        </w:r>
        <w:r>
          <w:fldChar w:fldCharType="separate"/>
        </w:r>
        <w:r w:rsidR="00DE073A">
          <w:rPr>
            <w:noProof/>
          </w:rPr>
          <w:t>21</w:t>
        </w:r>
        <w:r>
          <w:rPr>
            <w:noProof/>
          </w:rPr>
          <w:fldChar w:fldCharType="end"/>
        </w:r>
      </w:p>
    </w:sdtContent>
  </w:sdt>
  <w:p w14:paraId="198023FD" w14:textId="77777777" w:rsidR="00F0659E" w:rsidRDefault="00F065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D5514" w14:textId="77777777" w:rsidR="00F0659E" w:rsidRPr="00EA0B2B" w:rsidRDefault="00F0659E" w:rsidP="00EA0B2B">
    <w:r w:rsidRPr="00B07B1C">
      <w:sym w:font="Symbol" w:char="F0E3"/>
    </w:r>
    <w:r>
      <w:t xml:space="preserve"> Leeds Beckett</w:t>
    </w:r>
    <w:r w:rsidRPr="00B07B1C">
      <w:t xml:space="preserve"> University</w:t>
    </w:r>
    <w: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1DD37" w14:textId="77777777" w:rsidR="008A45D9" w:rsidRDefault="008A45D9">
      <w:r>
        <w:separator/>
      </w:r>
    </w:p>
  </w:footnote>
  <w:footnote w:type="continuationSeparator" w:id="0">
    <w:p w14:paraId="3974BE31" w14:textId="77777777" w:rsidR="008A45D9" w:rsidRDefault="008A4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C65C8" w14:textId="144F4FA5" w:rsidR="00F0659E" w:rsidRDefault="00F0659E">
    <w:pPr>
      <w:pStyle w:val="Header"/>
      <w:spacing w:before="0" w:after="240"/>
    </w:pPr>
    <w:r>
      <w:rPr>
        <w:noProof/>
        <w:sz w:val="20"/>
        <w:lang w:eastAsia="en-GB"/>
      </w:rPr>
      <mc:AlternateContent>
        <mc:Choice Requires="wps">
          <w:drawing>
            <wp:anchor distT="0" distB="0" distL="114300" distR="114300" simplePos="0" relativeHeight="251657216" behindDoc="0" locked="0" layoutInCell="0" allowOverlap="1" wp14:anchorId="73509EA8" wp14:editId="76E3945B">
              <wp:simplePos x="0" y="0"/>
              <wp:positionH relativeFrom="column">
                <wp:posOffset>0</wp:posOffset>
              </wp:positionH>
              <wp:positionV relativeFrom="paragraph">
                <wp:posOffset>215265</wp:posOffset>
              </wp:positionV>
              <wp:extent cx="5943600" cy="0"/>
              <wp:effectExtent l="9525" t="15240" r="9525" b="13335"/>
              <wp:wrapSquare wrapText="left"/>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46A62"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46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CxEw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" o:allowincell="f" strokeweight="1.5pt">
              <w10:wrap type="square" side="left"/>
            </v:line>
          </w:pict>
        </mc:Fallback>
      </mc:AlternateContent>
    </w:r>
    <w:r w:rsidR="005D4C95">
      <w:t>Low Energy Prototype Dwelling</w:t>
    </w:r>
    <w:r>
      <w:t xml:space="preserve"> Report</w:t>
    </w:r>
    <w:r>
      <w:tab/>
    </w:r>
    <w:r>
      <w:tab/>
      <w:t>June</w:t>
    </w:r>
    <w:r>
      <w:rPr>
        <w:szCs w:val="24"/>
      </w:rPr>
      <w:t xml:space="preserv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742D7"/>
    <w:multiLevelType w:val="multilevel"/>
    <w:tmpl w:val="27F2BC20"/>
    <w:lvl w:ilvl="0">
      <w:start w:val="1"/>
      <w:numFmt w:val="decimal"/>
      <w:pStyle w:val="NumPara"/>
      <w:lvlText w:val="%1"/>
      <w:lvlJc w:val="left"/>
      <w:pPr>
        <w:tabs>
          <w:tab w:val="num" w:pos="567"/>
        </w:tabs>
        <w:ind w:left="567" w:hanging="567"/>
      </w:pPr>
      <w:rPr>
        <w:rFonts w:hint="default"/>
      </w:rPr>
    </w:lvl>
    <w:lvl w:ilvl="1">
      <w:start w:val="1"/>
      <w:numFmt w:val="lowerLetter"/>
      <w:lvlText w:val="%2)"/>
      <w:lvlJc w:val="left"/>
      <w:pPr>
        <w:tabs>
          <w:tab w:val="num" w:pos="927"/>
        </w:tabs>
        <w:ind w:left="851" w:hanging="284"/>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567"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72F6AFA"/>
    <w:multiLevelType w:val="hybridMultilevel"/>
    <w:tmpl w:val="D67A8C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6DE9531B"/>
    <w:multiLevelType w:val="multilevel"/>
    <w:tmpl w:val="E9761028"/>
    <w:lvl w:ilvl="0">
      <w:start w:val="1"/>
      <w:numFmt w:val="bullet"/>
      <w:pStyle w:val="Bullet"/>
      <w:lvlText w:val=""/>
      <w:lvlJc w:val="left"/>
      <w:pPr>
        <w:tabs>
          <w:tab w:val="num" w:pos="927"/>
        </w:tabs>
        <w:ind w:left="851" w:hanging="284"/>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567"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5050,#ba1467,#7c0e45,purpl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ED8"/>
    <w:rsid w:val="000013A7"/>
    <w:rsid w:val="00002905"/>
    <w:rsid w:val="00003083"/>
    <w:rsid w:val="0000370B"/>
    <w:rsid w:val="00003D16"/>
    <w:rsid w:val="000042FE"/>
    <w:rsid w:val="00004C5B"/>
    <w:rsid w:val="00005F15"/>
    <w:rsid w:val="000060D1"/>
    <w:rsid w:val="0000619B"/>
    <w:rsid w:val="000067DF"/>
    <w:rsid w:val="00006A5A"/>
    <w:rsid w:val="00011AF9"/>
    <w:rsid w:val="00011FBA"/>
    <w:rsid w:val="00013334"/>
    <w:rsid w:val="00013848"/>
    <w:rsid w:val="00013F60"/>
    <w:rsid w:val="00015A71"/>
    <w:rsid w:val="00016304"/>
    <w:rsid w:val="000175B0"/>
    <w:rsid w:val="00017D00"/>
    <w:rsid w:val="00020653"/>
    <w:rsid w:val="00022A43"/>
    <w:rsid w:val="0002358A"/>
    <w:rsid w:val="0002398C"/>
    <w:rsid w:val="0002422A"/>
    <w:rsid w:val="00024AF3"/>
    <w:rsid w:val="0002569A"/>
    <w:rsid w:val="00026AFD"/>
    <w:rsid w:val="00026D93"/>
    <w:rsid w:val="00026F2C"/>
    <w:rsid w:val="0002741B"/>
    <w:rsid w:val="0003020B"/>
    <w:rsid w:val="000307E9"/>
    <w:rsid w:val="000329B4"/>
    <w:rsid w:val="0003318F"/>
    <w:rsid w:val="00033CCE"/>
    <w:rsid w:val="00034071"/>
    <w:rsid w:val="00035278"/>
    <w:rsid w:val="00035796"/>
    <w:rsid w:val="00037B54"/>
    <w:rsid w:val="00037C5B"/>
    <w:rsid w:val="00037D54"/>
    <w:rsid w:val="00041674"/>
    <w:rsid w:val="00041C45"/>
    <w:rsid w:val="00042317"/>
    <w:rsid w:val="00042442"/>
    <w:rsid w:val="00042581"/>
    <w:rsid w:val="00044539"/>
    <w:rsid w:val="00044ED5"/>
    <w:rsid w:val="000460B6"/>
    <w:rsid w:val="0004691F"/>
    <w:rsid w:val="00046E65"/>
    <w:rsid w:val="00047440"/>
    <w:rsid w:val="0004763F"/>
    <w:rsid w:val="000476F1"/>
    <w:rsid w:val="00047EF1"/>
    <w:rsid w:val="000500FA"/>
    <w:rsid w:val="00052C55"/>
    <w:rsid w:val="00052DCC"/>
    <w:rsid w:val="000548D7"/>
    <w:rsid w:val="00054B89"/>
    <w:rsid w:val="000559E1"/>
    <w:rsid w:val="00055C04"/>
    <w:rsid w:val="00061B75"/>
    <w:rsid w:val="000635BB"/>
    <w:rsid w:val="00065BEB"/>
    <w:rsid w:val="00066C9E"/>
    <w:rsid w:val="000672A0"/>
    <w:rsid w:val="00067547"/>
    <w:rsid w:val="00067D57"/>
    <w:rsid w:val="00070E90"/>
    <w:rsid w:val="00072430"/>
    <w:rsid w:val="00072811"/>
    <w:rsid w:val="00072EEC"/>
    <w:rsid w:val="00073C43"/>
    <w:rsid w:val="00073D41"/>
    <w:rsid w:val="00074A9F"/>
    <w:rsid w:val="00074AE9"/>
    <w:rsid w:val="00075593"/>
    <w:rsid w:val="00075AA1"/>
    <w:rsid w:val="0007604B"/>
    <w:rsid w:val="0007674F"/>
    <w:rsid w:val="00080158"/>
    <w:rsid w:val="00081455"/>
    <w:rsid w:val="00081C22"/>
    <w:rsid w:val="00082189"/>
    <w:rsid w:val="00082E01"/>
    <w:rsid w:val="00083475"/>
    <w:rsid w:val="000837FD"/>
    <w:rsid w:val="00083CC3"/>
    <w:rsid w:val="000840EA"/>
    <w:rsid w:val="000843B6"/>
    <w:rsid w:val="000851EA"/>
    <w:rsid w:val="00086BC7"/>
    <w:rsid w:val="00086EDC"/>
    <w:rsid w:val="00087360"/>
    <w:rsid w:val="0008738A"/>
    <w:rsid w:val="000875BE"/>
    <w:rsid w:val="000929FA"/>
    <w:rsid w:val="00093585"/>
    <w:rsid w:val="00095530"/>
    <w:rsid w:val="00096281"/>
    <w:rsid w:val="0009631D"/>
    <w:rsid w:val="0009680A"/>
    <w:rsid w:val="00096C8F"/>
    <w:rsid w:val="00096F08"/>
    <w:rsid w:val="000973C7"/>
    <w:rsid w:val="00097669"/>
    <w:rsid w:val="000A10BF"/>
    <w:rsid w:val="000A224A"/>
    <w:rsid w:val="000A2D3B"/>
    <w:rsid w:val="000A3311"/>
    <w:rsid w:val="000A510B"/>
    <w:rsid w:val="000A576D"/>
    <w:rsid w:val="000A60FB"/>
    <w:rsid w:val="000A64F0"/>
    <w:rsid w:val="000A755F"/>
    <w:rsid w:val="000B1321"/>
    <w:rsid w:val="000B17A1"/>
    <w:rsid w:val="000B25B0"/>
    <w:rsid w:val="000B26BD"/>
    <w:rsid w:val="000B3F54"/>
    <w:rsid w:val="000B5BAE"/>
    <w:rsid w:val="000B5C6C"/>
    <w:rsid w:val="000B6856"/>
    <w:rsid w:val="000B6F61"/>
    <w:rsid w:val="000B72F5"/>
    <w:rsid w:val="000C0FFC"/>
    <w:rsid w:val="000C1C02"/>
    <w:rsid w:val="000C1E1A"/>
    <w:rsid w:val="000C1ECE"/>
    <w:rsid w:val="000C201F"/>
    <w:rsid w:val="000C303B"/>
    <w:rsid w:val="000C38FD"/>
    <w:rsid w:val="000C405F"/>
    <w:rsid w:val="000C5134"/>
    <w:rsid w:val="000C5354"/>
    <w:rsid w:val="000C68BA"/>
    <w:rsid w:val="000C6975"/>
    <w:rsid w:val="000C74A6"/>
    <w:rsid w:val="000C75F5"/>
    <w:rsid w:val="000C78EF"/>
    <w:rsid w:val="000D017E"/>
    <w:rsid w:val="000D0309"/>
    <w:rsid w:val="000D07E8"/>
    <w:rsid w:val="000D1632"/>
    <w:rsid w:val="000D1871"/>
    <w:rsid w:val="000D22A2"/>
    <w:rsid w:val="000D47CD"/>
    <w:rsid w:val="000D4942"/>
    <w:rsid w:val="000D4B96"/>
    <w:rsid w:val="000D57BD"/>
    <w:rsid w:val="000D5F57"/>
    <w:rsid w:val="000D615E"/>
    <w:rsid w:val="000D633F"/>
    <w:rsid w:val="000D6C8F"/>
    <w:rsid w:val="000D7366"/>
    <w:rsid w:val="000E06A4"/>
    <w:rsid w:val="000E0F56"/>
    <w:rsid w:val="000E164C"/>
    <w:rsid w:val="000E2843"/>
    <w:rsid w:val="000E3485"/>
    <w:rsid w:val="000E4014"/>
    <w:rsid w:val="000E433D"/>
    <w:rsid w:val="000E5BA7"/>
    <w:rsid w:val="000E7335"/>
    <w:rsid w:val="000E77A0"/>
    <w:rsid w:val="000E7AC0"/>
    <w:rsid w:val="000F0908"/>
    <w:rsid w:val="000F09F7"/>
    <w:rsid w:val="000F24EA"/>
    <w:rsid w:val="000F433C"/>
    <w:rsid w:val="000F43D3"/>
    <w:rsid w:val="000F452E"/>
    <w:rsid w:val="000F5260"/>
    <w:rsid w:val="000F53DE"/>
    <w:rsid w:val="000F5BEA"/>
    <w:rsid w:val="000F5F9B"/>
    <w:rsid w:val="000F6E1F"/>
    <w:rsid w:val="000F74CE"/>
    <w:rsid w:val="0010037C"/>
    <w:rsid w:val="00100D1C"/>
    <w:rsid w:val="00101782"/>
    <w:rsid w:val="00101940"/>
    <w:rsid w:val="00103FC1"/>
    <w:rsid w:val="00104D9D"/>
    <w:rsid w:val="001060E8"/>
    <w:rsid w:val="00106466"/>
    <w:rsid w:val="00110798"/>
    <w:rsid w:val="00110A15"/>
    <w:rsid w:val="00110DD6"/>
    <w:rsid w:val="00110F7E"/>
    <w:rsid w:val="0011352C"/>
    <w:rsid w:val="00113FBD"/>
    <w:rsid w:val="001141B0"/>
    <w:rsid w:val="00115A73"/>
    <w:rsid w:val="00116836"/>
    <w:rsid w:val="00117501"/>
    <w:rsid w:val="00120388"/>
    <w:rsid w:val="00121164"/>
    <w:rsid w:val="0012223D"/>
    <w:rsid w:val="00122906"/>
    <w:rsid w:val="0012468C"/>
    <w:rsid w:val="001253F4"/>
    <w:rsid w:val="001259A5"/>
    <w:rsid w:val="00125CD2"/>
    <w:rsid w:val="00125E10"/>
    <w:rsid w:val="00125F9F"/>
    <w:rsid w:val="00126B71"/>
    <w:rsid w:val="001274C6"/>
    <w:rsid w:val="001306E7"/>
    <w:rsid w:val="00130D19"/>
    <w:rsid w:val="00131E50"/>
    <w:rsid w:val="0013291A"/>
    <w:rsid w:val="00133E1A"/>
    <w:rsid w:val="001368B7"/>
    <w:rsid w:val="001378E3"/>
    <w:rsid w:val="0014106C"/>
    <w:rsid w:val="0014138D"/>
    <w:rsid w:val="001422F5"/>
    <w:rsid w:val="00144497"/>
    <w:rsid w:val="00144E48"/>
    <w:rsid w:val="00144E6C"/>
    <w:rsid w:val="001453AB"/>
    <w:rsid w:val="001458D4"/>
    <w:rsid w:val="00146D77"/>
    <w:rsid w:val="00147786"/>
    <w:rsid w:val="00150B35"/>
    <w:rsid w:val="001517C5"/>
    <w:rsid w:val="00151DCD"/>
    <w:rsid w:val="00151E2B"/>
    <w:rsid w:val="001529E0"/>
    <w:rsid w:val="00152D92"/>
    <w:rsid w:val="001537CA"/>
    <w:rsid w:val="001545CA"/>
    <w:rsid w:val="001547A8"/>
    <w:rsid w:val="00154F18"/>
    <w:rsid w:val="00156350"/>
    <w:rsid w:val="00156974"/>
    <w:rsid w:val="001574DE"/>
    <w:rsid w:val="001575F1"/>
    <w:rsid w:val="00157BCE"/>
    <w:rsid w:val="00157EA3"/>
    <w:rsid w:val="001605AF"/>
    <w:rsid w:val="001606B9"/>
    <w:rsid w:val="00160E89"/>
    <w:rsid w:val="001610DB"/>
    <w:rsid w:val="00161A7F"/>
    <w:rsid w:val="001629BC"/>
    <w:rsid w:val="00162A4C"/>
    <w:rsid w:val="0016465C"/>
    <w:rsid w:val="00164CEE"/>
    <w:rsid w:val="00165223"/>
    <w:rsid w:val="00166A5F"/>
    <w:rsid w:val="00166AAB"/>
    <w:rsid w:val="00166BAC"/>
    <w:rsid w:val="00167E57"/>
    <w:rsid w:val="00170797"/>
    <w:rsid w:val="0017100C"/>
    <w:rsid w:val="0017262C"/>
    <w:rsid w:val="00172BF0"/>
    <w:rsid w:val="00172EA2"/>
    <w:rsid w:val="00173EA5"/>
    <w:rsid w:val="00174B6F"/>
    <w:rsid w:val="00174BE4"/>
    <w:rsid w:val="0017670C"/>
    <w:rsid w:val="00176AB1"/>
    <w:rsid w:val="00177D32"/>
    <w:rsid w:val="00177FF3"/>
    <w:rsid w:val="00191205"/>
    <w:rsid w:val="00194B93"/>
    <w:rsid w:val="00195181"/>
    <w:rsid w:val="001953BF"/>
    <w:rsid w:val="0019555A"/>
    <w:rsid w:val="00195968"/>
    <w:rsid w:val="00195B6D"/>
    <w:rsid w:val="00195FD3"/>
    <w:rsid w:val="001960EB"/>
    <w:rsid w:val="00196AE8"/>
    <w:rsid w:val="001A01F5"/>
    <w:rsid w:val="001A113F"/>
    <w:rsid w:val="001A26DE"/>
    <w:rsid w:val="001A383E"/>
    <w:rsid w:val="001A3EC0"/>
    <w:rsid w:val="001A4269"/>
    <w:rsid w:val="001A4443"/>
    <w:rsid w:val="001A45B5"/>
    <w:rsid w:val="001A4639"/>
    <w:rsid w:val="001A4688"/>
    <w:rsid w:val="001A4B1D"/>
    <w:rsid w:val="001A5CF8"/>
    <w:rsid w:val="001A680D"/>
    <w:rsid w:val="001A69D3"/>
    <w:rsid w:val="001A6C74"/>
    <w:rsid w:val="001B0289"/>
    <w:rsid w:val="001B1F0A"/>
    <w:rsid w:val="001B301E"/>
    <w:rsid w:val="001B37F2"/>
    <w:rsid w:val="001B59F7"/>
    <w:rsid w:val="001B5F8A"/>
    <w:rsid w:val="001B7318"/>
    <w:rsid w:val="001C164E"/>
    <w:rsid w:val="001C1761"/>
    <w:rsid w:val="001C1D27"/>
    <w:rsid w:val="001C33BE"/>
    <w:rsid w:val="001C3EF1"/>
    <w:rsid w:val="001C51A0"/>
    <w:rsid w:val="001C76ED"/>
    <w:rsid w:val="001D0808"/>
    <w:rsid w:val="001D0AF1"/>
    <w:rsid w:val="001D1632"/>
    <w:rsid w:val="001D24CE"/>
    <w:rsid w:val="001D2872"/>
    <w:rsid w:val="001D298E"/>
    <w:rsid w:val="001D4691"/>
    <w:rsid w:val="001D4DBA"/>
    <w:rsid w:val="001D55EE"/>
    <w:rsid w:val="001D6824"/>
    <w:rsid w:val="001D6841"/>
    <w:rsid w:val="001D6AF5"/>
    <w:rsid w:val="001D6C97"/>
    <w:rsid w:val="001D7F61"/>
    <w:rsid w:val="001E0A37"/>
    <w:rsid w:val="001E21E6"/>
    <w:rsid w:val="001E3009"/>
    <w:rsid w:val="001E3DDF"/>
    <w:rsid w:val="001E5257"/>
    <w:rsid w:val="001E5FC6"/>
    <w:rsid w:val="001E60D4"/>
    <w:rsid w:val="001E728D"/>
    <w:rsid w:val="001E7A2D"/>
    <w:rsid w:val="001E7C73"/>
    <w:rsid w:val="001F24A6"/>
    <w:rsid w:val="001F2777"/>
    <w:rsid w:val="001F291D"/>
    <w:rsid w:val="001F3C3E"/>
    <w:rsid w:val="001F5DFA"/>
    <w:rsid w:val="001F63F7"/>
    <w:rsid w:val="001F6EFC"/>
    <w:rsid w:val="001F6F4E"/>
    <w:rsid w:val="001F75E6"/>
    <w:rsid w:val="001F7BCB"/>
    <w:rsid w:val="00201117"/>
    <w:rsid w:val="00201401"/>
    <w:rsid w:val="002014AB"/>
    <w:rsid w:val="00201F62"/>
    <w:rsid w:val="00204E32"/>
    <w:rsid w:val="00205092"/>
    <w:rsid w:val="00205CF5"/>
    <w:rsid w:val="0020615A"/>
    <w:rsid w:val="0020680A"/>
    <w:rsid w:val="00210408"/>
    <w:rsid w:val="002123E0"/>
    <w:rsid w:val="002126C0"/>
    <w:rsid w:val="002129B1"/>
    <w:rsid w:val="00212B17"/>
    <w:rsid w:val="00213B49"/>
    <w:rsid w:val="00215FC4"/>
    <w:rsid w:val="00216CE6"/>
    <w:rsid w:val="0021781E"/>
    <w:rsid w:val="002202AD"/>
    <w:rsid w:val="00220AB6"/>
    <w:rsid w:val="00221A62"/>
    <w:rsid w:val="00221C36"/>
    <w:rsid w:val="00222364"/>
    <w:rsid w:val="00222B62"/>
    <w:rsid w:val="00223A21"/>
    <w:rsid w:val="00223B6B"/>
    <w:rsid w:val="00223FA3"/>
    <w:rsid w:val="002246F0"/>
    <w:rsid w:val="00224A22"/>
    <w:rsid w:val="00225330"/>
    <w:rsid w:val="00225566"/>
    <w:rsid w:val="00225821"/>
    <w:rsid w:val="00227F59"/>
    <w:rsid w:val="00231F76"/>
    <w:rsid w:val="0023224A"/>
    <w:rsid w:val="00232A2C"/>
    <w:rsid w:val="00233744"/>
    <w:rsid w:val="0023411E"/>
    <w:rsid w:val="0023435E"/>
    <w:rsid w:val="00234D74"/>
    <w:rsid w:val="002352AF"/>
    <w:rsid w:val="00235981"/>
    <w:rsid w:val="00235C36"/>
    <w:rsid w:val="00235F3A"/>
    <w:rsid w:val="002373C6"/>
    <w:rsid w:val="00244D32"/>
    <w:rsid w:val="0024631B"/>
    <w:rsid w:val="002500DB"/>
    <w:rsid w:val="00251B59"/>
    <w:rsid w:val="002520E4"/>
    <w:rsid w:val="0025218C"/>
    <w:rsid w:val="00252640"/>
    <w:rsid w:val="002538E6"/>
    <w:rsid w:val="00254B58"/>
    <w:rsid w:val="00256404"/>
    <w:rsid w:val="00256AEA"/>
    <w:rsid w:val="00256F87"/>
    <w:rsid w:val="002573D0"/>
    <w:rsid w:val="00257769"/>
    <w:rsid w:val="002614C8"/>
    <w:rsid w:val="00261612"/>
    <w:rsid w:val="002617F5"/>
    <w:rsid w:val="002619F8"/>
    <w:rsid w:val="00261DDC"/>
    <w:rsid w:val="00262DA8"/>
    <w:rsid w:val="00263A3F"/>
    <w:rsid w:val="00264588"/>
    <w:rsid w:val="00264746"/>
    <w:rsid w:val="00266186"/>
    <w:rsid w:val="00266D66"/>
    <w:rsid w:val="00266EB7"/>
    <w:rsid w:val="00267D68"/>
    <w:rsid w:val="00270A18"/>
    <w:rsid w:val="00272EFE"/>
    <w:rsid w:val="002741D7"/>
    <w:rsid w:val="00277A12"/>
    <w:rsid w:val="00277EA0"/>
    <w:rsid w:val="00281C35"/>
    <w:rsid w:val="0028344B"/>
    <w:rsid w:val="002837DE"/>
    <w:rsid w:val="00284912"/>
    <w:rsid w:val="002864A9"/>
    <w:rsid w:val="00287283"/>
    <w:rsid w:val="00287689"/>
    <w:rsid w:val="00287BF7"/>
    <w:rsid w:val="00287FDE"/>
    <w:rsid w:val="002909B2"/>
    <w:rsid w:val="00291098"/>
    <w:rsid w:val="00291811"/>
    <w:rsid w:val="00291E83"/>
    <w:rsid w:val="0029245D"/>
    <w:rsid w:val="00293E2C"/>
    <w:rsid w:val="00293E2F"/>
    <w:rsid w:val="002940A7"/>
    <w:rsid w:val="002941E2"/>
    <w:rsid w:val="00295AF0"/>
    <w:rsid w:val="00296ADC"/>
    <w:rsid w:val="00296BC6"/>
    <w:rsid w:val="00297723"/>
    <w:rsid w:val="002A2BD8"/>
    <w:rsid w:val="002A35FA"/>
    <w:rsid w:val="002A368F"/>
    <w:rsid w:val="002A556C"/>
    <w:rsid w:val="002A78CA"/>
    <w:rsid w:val="002A7D0B"/>
    <w:rsid w:val="002A7DC6"/>
    <w:rsid w:val="002B010F"/>
    <w:rsid w:val="002B0128"/>
    <w:rsid w:val="002B0F08"/>
    <w:rsid w:val="002B1280"/>
    <w:rsid w:val="002B2610"/>
    <w:rsid w:val="002B3511"/>
    <w:rsid w:val="002B4B4B"/>
    <w:rsid w:val="002B535E"/>
    <w:rsid w:val="002B5827"/>
    <w:rsid w:val="002B59EB"/>
    <w:rsid w:val="002B6A86"/>
    <w:rsid w:val="002C1B12"/>
    <w:rsid w:val="002C2B52"/>
    <w:rsid w:val="002C34C9"/>
    <w:rsid w:val="002C36FB"/>
    <w:rsid w:val="002C3DBB"/>
    <w:rsid w:val="002C3E94"/>
    <w:rsid w:val="002C4719"/>
    <w:rsid w:val="002C4F4A"/>
    <w:rsid w:val="002C5AEE"/>
    <w:rsid w:val="002C6820"/>
    <w:rsid w:val="002D0736"/>
    <w:rsid w:val="002D0F1A"/>
    <w:rsid w:val="002D163A"/>
    <w:rsid w:val="002D3A0A"/>
    <w:rsid w:val="002D5F42"/>
    <w:rsid w:val="002D5F6F"/>
    <w:rsid w:val="002E1485"/>
    <w:rsid w:val="002E14CC"/>
    <w:rsid w:val="002E1B8E"/>
    <w:rsid w:val="002E3E0A"/>
    <w:rsid w:val="002E4EC4"/>
    <w:rsid w:val="002E4F89"/>
    <w:rsid w:val="002E5455"/>
    <w:rsid w:val="002E5B69"/>
    <w:rsid w:val="002E7533"/>
    <w:rsid w:val="002E76D0"/>
    <w:rsid w:val="002F00E4"/>
    <w:rsid w:val="002F25BE"/>
    <w:rsid w:val="002F3141"/>
    <w:rsid w:val="002F371D"/>
    <w:rsid w:val="002F4498"/>
    <w:rsid w:val="002F712B"/>
    <w:rsid w:val="002F7761"/>
    <w:rsid w:val="00300E9A"/>
    <w:rsid w:val="00301ACF"/>
    <w:rsid w:val="00302075"/>
    <w:rsid w:val="0030240F"/>
    <w:rsid w:val="003043F2"/>
    <w:rsid w:val="00305E68"/>
    <w:rsid w:val="00307DC6"/>
    <w:rsid w:val="00312452"/>
    <w:rsid w:val="00312528"/>
    <w:rsid w:val="003136AB"/>
    <w:rsid w:val="0031381C"/>
    <w:rsid w:val="00313863"/>
    <w:rsid w:val="00313CCC"/>
    <w:rsid w:val="003142E7"/>
    <w:rsid w:val="003145C3"/>
    <w:rsid w:val="00314A01"/>
    <w:rsid w:val="00315611"/>
    <w:rsid w:val="00315E7E"/>
    <w:rsid w:val="003164B3"/>
    <w:rsid w:val="003174A4"/>
    <w:rsid w:val="0031766D"/>
    <w:rsid w:val="00317B49"/>
    <w:rsid w:val="00317CDD"/>
    <w:rsid w:val="003210E2"/>
    <w:rsid w:val="003237C2"/>
    <w:rsid w:val="0032497E"/>
    <w:rsid w:val="00324DEC"/>
    <w:rsid w:val="003263B6"/>
    <w:rsid w:val="0032766F"/>
    <w:rsid w:val="003278FD"/>
    <w:rsid w:val="003314F2"/>
    <w:rsid w:val="003315AF"/>
    <w:rsid w:val="0033174C"/>
    <w:rsid w:val="003318C8"/>
    <w:rsid w:val="00332F04"/>
    <w:rsid w:val="00333370"/>
    <w:rsid w:val="0033539B"/>
    <w:rsid w:val="00336642"/>
    <w:rsid w:val="00336645"/>
    <w:rsid w:val="0034024C"/>
    <w:rsid w:val="0034138E"/>
    <w:rsid w:val="003434A3"/>
    <w:rsid w:val="0034482E"/>
    <w:rsid w:val="00345C61"/>
    <w:rsid w:val="00347E59"/>
    <w:rsid w:val="00347E7D"/>
    <w:rsid w:val="00350792"/>
    <w:rsid w:val="0035327B"/>
    <w:rsid w:val="00353CAF"/>
    <w:rsid w:val="00357125"/>
    <w:rsid w:val="003579B4"/>
    <w:rsid w:val="00361068"/>
    <w:rsid w:val="0036231C"/>
    <w:rsid w:val="00362565"/>
    <w:rsid w:val="00363635"/>
    <w:rsid w:val="00364E2A"/>
    <w:rsid w:val="0037037A"/>
    <w:rsid w:val="00371444"/>
    <w:rsid w:val="0037466B"/>
    <w:rsid w:val="00374977"/>
    <w:rsid w:val="00375B4B"/>
    <w:rsid w:val="00377602"/>
    <w:rsid w:val="00380E72"/>
    <w:rsid w:val="003817EA"/>
    <w:rsid w:val="003833C7"/>
    <w:rsid w:val="00383451"/>
    <w:rsid w:val="00383AC8"/>
    <w:rsid w:val="00384B10"/>
    <w:rsid w:val="00384B78"/>
    <w:rsid w:val="00385AB4"/>
    <w:rsid w:val="00385D30"/>
    <w:rsid w:val="003868AD"/>
    <w:rsid w:val="00390E47"/>
    <w:rsid w:val="0039137A"/>
    <w:rsid w:val="00392DA2"/>
    <w:rsid w:val="00392E55"/>
    <w:rsid w:val="00393E30"/>
    <w:rsid w:val="00393FEC"/>
    <w:rsid w:val="003949ED"/>
    <w:rsid w:val="00395C26"/>
    <w:rsid w:val="00395EAE"/>
    <w:rsid w:val="00395ED8"/>
    <w:rsid w:val="003973C8"/>
    <w:rsid w:val="003977BD"/>
    <w:rsid w:val="003A0E4A"/>
    <w:rsid w:val="003A20E9"/>
    <w:rsid w:val="003A23F9"/>
    <w:rsid w:val="003A2F16"/>
    <w:rsid w:val="003A2FCE"/>
    <w:rsid w:val="003A422C"/>
    <w:rsid w:val="003A4419"/>
    <w:rsid w:val="003A520C"/>
    <w:rsid w:val="003A5627"/>
    <w:rsid w:val="003A58CD"/>
    <w:rsid w:val="003A6443"/>
    <w:rsid w:val="003A6B89"/>
    <w:rsid w:val="003B0AC7"/>
    <w:rsid w:val="003B11CF"/>
    <w:rsid w:val="003B1202"/>
    <w:rsid w:val="003B1939"/>
    <w:rsid w:val="003B2281"/>
    <w:rsid w:val="003B2567"/>
    <w:rsid w:val="003B3856"/>
    <w:rsid w:val="003B41E4"/>
    <w:rsid w:val="003B4D62"/>
    <w:rsid w:val="003B52CB"/>
    <w:rsid w:val="003B5D25"/>
    <w:rsid w:val="003B6602"/>
    <w:rsid w:val="003C091F"/>
    <w:rsid w:val="003C1F60"/>
    <w:rsid w:val="003C21D4"/>
    <w:rsid w:val="003C2A64"/>
    <w:rsid w:val="003C4307"/>
    <w:rsid w:val="003C59B6"/>
    <w:rsid w:val="003C62E9"/>
    <w:rsid w:val="003C6474"/>
    <w:rsid w:val="003D066F"/>
    <w:rsid w:val="003D14DC"/>
    <w:rsid w:val="003D2412"/>
    <w:rsid w:val="003D30D0"/>
    <w:rsid w:val="003D3376"/>
    <w:rsid w:val="003D6602"/>
    <w:rsid w:val="003D722E"/>
    <w:rsid w:val="003D75CC"/>
    <w:rsid w:val="003D798D"/>
    <w:rsid w:val="003E02C1"/>
    <w:rsid w:val="003E0495"/>
    <w:rsid w:val="003E0A44"/>
    <w:rsid w:val="003E0CEA"/>
    <w:rsid w:val="003E4604"/>
    <w:rsid w:val="003E50F6"/>
    <w:rsid w:val="003E5E05"/>
    <w:rsid w:val="003E6245"/>
    <w:rsid w:val="003E62BC"/>
    <w:rsid w:val="003E6A1B"/>
    <w:rsid w:val="003F0E2E"/>
    <w:rsid w:val="003F1618"/>
    <w:rsid w:val="003F1916"/>
    <w:rsid w:val="003F2F87"/>
    <w:rsid w:val="003F4212"/>
    <w:rsid w:val="003F4DAE"/>
    <w:rsid w:val="003F6C45"/>
    <w:rsid w:val="003F6FC0"/>
    <w:rsid w:val="003F7731"/>
    <w:rsid w:val="003F7807"/>
    <w:rsid w:val="004008F6"/>
    <w:rsid w:val="00401A61"/>
    <w:rsid w:val="00403550"/>
    <w:rsid w:val="00403CA6"/>
    <w:rsid w:val="00403CFD"/>
    <w:rsid w:val="00403E1C"/>
    <w:rsid w:val="00404AED"/>
    <w:rsid w:val="00405F12"/>
    <w:rsid w:val="00407384"/>
    <w:rsid w:val="00407DE1"/>
    <w:rsid w:val="004106EE"/>
    <w:rsid w:val="00411F46"/>
    <w:rsid w:val="00412AF6"/>
    <w:rsid w:val="00413851"/>
    <w:rsid w:val="004141E8"/>
    <w:rsid w:val="0041597A"/>
    <w:rsid w:val="00415B6F"/>
    <w:rsid w:val="00416623"/>
    <w:rsid w:val="00417974"/>
    <w:rsid w:val="00421CDE"/>
    <w:rsid w:val="00421D7F"/>
    <w:rsid w:val="00421F3B"/>
    <w:rsid w:val="00422144"/>
    <w:rsid w:val="00423608"/>
    <w:rsid w:val="004243D4"/>
    <w:rsid w:val="00424462"/>
    <w:rsid w:val="00424978"/>
    <w:rsid w:val="00425340"/>
    <w:rsid w:val="004272F3"/>
    <w:rsid w:val="00427D52"/>
    <w:rsid w:val="00427F36"/>
    <w:rsid w:val="00430326"/>
    <w:rsid w:val="00430C16"/>
    <w:rsid w:val="00430E32"/>
    <w:rsid w:val="00431CC8"/>
    <w:rsid w:val="00432846"/>
    <w:rsid w:val="00433CC8"/>
    <w:rsid w:val="00435FBD"/>
    <w:rsid w:val="00436DA5"/>
    <w:rsid w:val="004374E5"/>
    <w:rsid w:val="00437729"/>
    <w:rsid w:val="00437C7D"/>
    <w:rsid w:val="0044027F"/>
    <w:rsid w:val="00440634"/>
    <w:rsid w:val="0044099C"/>
    <w:rsid w:val="00440C34"/>
    <w:rsid w:val="0044181F"/>
    <w:rsid w:val="00443610"/>
    <w:rsid w:val="00443BA4"/>
    <w:rsid w:val="004455EE"/>
    <w:rsid w:val="00451364"/>
    <w:rsid w:val="0045141A"/>
    <w:rsid w:val="0045221B"/>
    <w:rsid w:val="0045269A"/>
    <w:rsid w:val="0045365A"/>
    <w:rsid w:val="00454342"/>
    <w:rsid w:val="00454F10"/>
    <w:rsid w:val="00455197"/>
    <w:rsid w:val="004577F8"/>
    <w:rsid w:val="00457D9B"/>
    <w:rsid w:val="00460444"/>
    <w:rsid w:val="00460F9C"/>
    <w:rsid w:val="00461AD2"/>
    <w:rsid w:val="00463247"/>
    <w:rsid w:val="00463E80"/>
    <w:rsid w:val="00465F30"/>
    <w:rsid w:val="0046603D"/>
    <w:rsid w:val="00466529"/>
    <w:rsid w:val="00467AD9"/>
    <w:rsid w:val="004705C3"/>
    <w:rsid w:val="00470E08"/>
    <w:rsid w:val="004734D1"/>
    <w:rsid w:val="0047354D"/>
    <w:rsid w:val="00473978"/>
    <w:rsid w:val="00474C17"/>
    <w:rsid w:val="00474E54"/>
    <w:rsid w:val="004752AD"/>
    <w:rsid w:val="00475F76"/>
    <w:rsid w:val="00476734"/>
    <w:rsid w:val="00477035"/>
    <w:rsid w:val="0047752E"/>
    <w:rsid w:val="00480988"/>
    <w:rsid w:val="00480D96"/>
    <w:rsid w:val="0048403E"/>
    <w:rsid w:val="0048485E"/>
    <w:rsid w:val="00485385"/>
    <w:rsid w:val="00485AA0"/>
    <w:rsid w:val="00486390"/>
    <w:rsid w:val="004868A4"/>
    <w:rsid w:val="00487008"/>
    <w:rsid w:val="00487516"/>
    <w:rsid w:val="00487628"/>
    <w:rsid w:val="0049157E"/>
    <w:rsid w:val="0049184E"/>
    <w:rsid w:val="00492457"/>
    <w:rsid w:val="0049355C"/>
    <w:rsid w:val="0049428C"/>
    <w:rsid w:val="004953ED"/>
    <w:rsid w:val="00495F42"/>
    <w:rsid w:val="00496AD0"/>
    <w:rsid w:val="00496D49"/>
    <w:rsid w:val="0049723E"/>
    <w:rsid w:val="00497D46"/>
    <w:rsid w:val="004A10A8"/>
    <w:rsid w:val="004A2CC9"/>
    <w:rsid w:val="004A3357"/>
    <w:rsid w:val="004A3B31"/>
    <w:rsid w:val="004A46D8"/>
    <w:rsid w:val="004A6BC4"/>
    <w:rsid w:val="004A6CDD"/>
    <w:rsid w:val="004B1E5A"/>
    <w:rsid w:val="004B2575"/>
    <w:rsid w:val="004B2DAA"/>
    <w:rsid w:val="004B4283"/>
    <w:rsid w:val="004B610D"/>
    <w:rsid w:val="004B661A"/>
    <w:rsid w:val="004B6B44"/>
    <w:rsid w:val="004B6F54"/>
    <w:rsid w:val="004B7884"/>
    <w:rsid w:val="004C0544"/>
    <w:rsid w:val="004C1CE7"/>
    <w:rsid w:val="004C2D81"/>
    <w:rsid w:val="004C3BB6"/>
    <w:rsid w:val="004C3E39"/>
    <w:rsid w:val="004C410D"/>
    <w:rsid w:val="004C56C9"/>
    <w:rsid w:val="004C590F"/>
    <w:rsid w:val="004C5E46"/>
    <w:rsid w:val="004D0521"/>
    <w:rsid w:val="004D0867"/>
    <w:rsid w:val="004D08B3"/>
    <w:rsid w:val="004D138D"/>
    <w:rsid w:val="004D13EF"/>
    <w:rsid w:val="004D15AC"/>
    <w:rsid w:val="004D1DA6"/>
    <w:rsid w:val="004D1DDE"/>
    <w:rsid w:val="004D227C"/>
    <w:rsid w:val="004D2809"/>
    <w:rsid w:val="004D2919"/>
    <w:rsid w:val="004D2AEB"/>
    <w:rsid w:val="004D3756"/>
    <w:rsid w:val="004D3D3A"/>
    <w:rsid w:val="004D3EEA"/>
    <w:rsid w:val="004D4DC4"/>
    <w:rsid w:val="004D4E1D"/>
    <w:rsid w:val="004D5070"/>
    <w:rsid w:val="004D5B72"/>
    <w:rsid w:val="004D64E7"/>
    <w:rsid w:val="004D6CE8"/>
    <w:rsid w:val="004D6E30"/>
    <w:rsid w:val="004D72FF"/>
    <w:rsid w:val="004E0E45"/>
    <w:rsid w:val="004E23BD"/>
    <w:rsid w:val="004E29D7"/>
    <w:rsid w:val="004E35B5"/>
    <w:rsid w:val="004E35D2"/>
    <w:rsid w:val="004E3A50"/>
    <w:rsid w:val="004E47A5"/>
    <w:rsid w:val="004E6258"/>
    <w:rsid w:val="004E6C7B"/>
    <w:rsid w:val="004F0647"/>
    <w:rsid w:val="004F0884"/>
    <w:rsid w:val="004F0E31"/>
    <w:rsid w:val="004F1D7E"/>
    <w:rsid w:val="004F4B00"/>
    <w:rsid w:val="004F67C7"/>
    <w:rsid w:val="004F7A5C"/>
    <w:rsid w:val="00500C54"/>
    <w:rsid w:val="00502A49"/>
    <w:rsid w:val="00504237"/>
    <w:rsid w:val="0050423D"/>
    <w:rsid w:val="00504CE3"/>
    <w:rsid w:val="005055E9"/>
    <w:rsid w:val="00506B6D"/>
    <w:rsid w:val="00506C0D"/>
    <w:rsid w:val="00506DDC"/>
    <w:rsid w:val="00507B26"/>
    <w:rsid w:val="00507FD2"/>
    <w:rsid w:val="005108F4"/>
    <w:rsid w:val="0051179B"/>
    <w:rsid w:val="005118C7"/>
    <w:rsid w:val="00512608"/>
    <w:rsid w:val="00515093"/>
    <w:rsid w:val="00517667"/>
    <w:rsid w:val="005212D0"/>
    <w:rsid w:val="0052157A"/>
    <w:rsid w:val="00521C54"/>
    <w:rsid w:val="00521F66"/>
    <w:rsid w:val="005229EE"/>
    <w:rsid w:val="00522BE9"/>
    <w:rsid w:val="005230C0"/>
    <w:rsid w:val="00523369"/>
    <w:rsid w:val="00525093"/>
    <w:rsid w:val="00526D39"/>
    <w:rsid w:val="005279F8"/>
    <w:rsid w:val="005312B1"/>
    <w:rsid w:val="00531F1A"/>
    <w:rsid w:val="005329DA"/>
    <w:rsid w:val="00533331"/>
    <w:rsid w:val="005333FC"/>
    <w:rsid w:val="00533CAA"/>
    <w:rsid w:val="00533F75"/>
    <w:rsid w:val="00535DC5"/>
    <w:rsid w:val="00535DE6"/>
    <w:rsid w:val="005363E8"/>
    <w:rsid w:val="005368C7"/>
    <w:rsid w:val="00536926"/>
    <w:rsid w:val="00540BE0"/>
    <w:rsid w:val="00540FAA"/>
    <w:rsid w:val="0054106F"/>
    <w:rsid w:val="005421AA"/>
    <w:rsid w:val="005429B0"/>
    <w:rsid w:val="00544CC1"/>
    <w:rsid w:val="00544F6F"/>
    <w:rsid w:val="0054611D"/>
    <w:rsid w:val="00546C0D"/>
    <w:rsid w:val="00546CE0"/>
    <w:rsid w:val="0054765B"/>
    <w:rsid w:val="00547939"/>
    <w:rsid w:val="00551425"/>
    <w:rsid w:val="0055148B"/>
    <w:rsid w:val="005536EB"/>
    <w:rsid w:val="00553732"/>
    <w:rsid w:val="00555508"/>
    <w:rsid w:val="005559F0"/>
    <w:rsid w:val="00555E70"/>
    <w:rsid w:val="005563F7"/>
    <w:rsid w:val="0055687A"/>
    <w:rsid w:val="00557117"/>
    <w:rsid w:val="00557716"/>
    <w:rsid w:val="0055789C"/>
    <w:rsid w:val="005610FE"/>
    <w:rsid w:val="00561194"/>
    <w:rsid w:val="005615BD"/>
    <w:rsid w:val="0056488A"/>
    <w:rsid w:val="00564DD8"/>
    <w:rsid w:val="005654D1"/>
    <w:rsid w:val="005665E8"/>
    <w:rsid w:val="00566943"/>
    <w:rsid w:val="00567305"/>
    <w:rsid w:val="0056799A"/>
    <w:rsid w:val="00567BC3"/>
    <w:rsid w:val="0057041C"/>
    <w:rsid w:val="005714CA"/>
    <w:rsid w:val="0057197E"/>
    <w:rsid w:val="00571B12"/>
    <w:rsid w:val="005728BD"/>
    <w:rsid w:val="00575410"/>
    <w:rsid w:val="005765AC"/>
    <w:rsid w:val="0057733B"/>
    <w:rsid w:val="00577F8A"/>
    <w:rsid w:val="005809B8"/>
    <w:rsid w:val="00580C47"/>
    <w:rsid w:val="005811B8"/>
    <w:rsid w:val="00581219"/>
    <w:rsid w:val="00582CB0"/>
    <w:rsid w:val="00582CEC"/>
    <w:rsid w:val="005830FB"/>
    <w:rsid w:val="00587528"/>
    <w:rsid w:val="00587ECE"/>
    <w:rsid w:val="0059049F"/>
    <w:rsid w:val="005921D8"/>
    <w:rsid w:val="005931FA"/>
    <w:rsid w:val="00594219"/>
    <w:rsid w:val="0059597F"/>
    <w:rsid w:val="00596753"/>
    <w:rsid w:val="00597062"/>
    <w:rsid w:val="005A116A"/>
    <w:rsid w:val="005A26D7"/>
    <w:rsid w:val="005A7F13"/>
    <w:rsid w:val="005B015A"/>
    <w:rsid w:val="005B0E09"/>
    <w:rsid w:val="005B2470"/>
    <w:rsid w:val="005B309A"/>
    <w:rsid w:val="005B57F0"/>
    <w:rsid w:val="005B6CAF"/>
    <w:rsid w:val="005C11D7"/>
    <w:rsid w:val="005C2A9E"/>
    <w:rsid w:val="005C3D11"/>
    <w:rsid w:val="005C3F61"/>
    <w:rsid w:val="005C4297"/>
    <w:rsid w:val="005C530E"/>
    <w:rsid w:val="005C5973"/>
    <w:rsid w:val="005C65BB"/>
    <w:rsid w:val="005C7791"/>
    <w:rsid w:val="005C7827"/>
    <w:rsid w:val="005D1816"/>
    <w:rsid w:val="005D23FB"/>
    <w:rsid w:val="005D2682"/>
    <w:rsid w:val="005D301B"/>
    <w:rsid w:val="005D3890"/>
    <w:rsid w:val="005D3A77"/>
    <w:rsid w:val="005D4562"/>
    <w:rsid w:val="005D4C95"/>
    <w:rsid w:val="005D6912"/>
    <w:rsid w:val="005D7E31"/>
    <w:rsid w:val="005E021D"/>
    <w:rsid w:val="005E05C6"/>
    <w:rsid w:val="005E1087"/>
    <w:rsid w:val="005E14D1"/>
    <w:rsid w:val="005E19DA"/>
    <w:rsid w:val="005E2422"/>
    <w:rsid w:val="005E2ED7"/>
    <w:rsid w:val="005E3788"/>
    <w:rsid w:val="005E3F75"/>
    <w:rsid w:val="005E4836"/>
    <w:rsid w:val="005E5432"/>
    <w:rsid w:val="005E543E"/>
    <w:rsid w:val="005E54AE"/>
    <w:rsid w:val="005E5905"/>
    <w:rsid w:val="005E6B84"/>
    <w:rsid w:val="005F0445"/>
    <w:rsid w:val="005F08AB"/>
    <w:rsid w:val="005F1381"/>
    <w:rsid w:val="005F1A7B"/>
    <w:rsid w:val="005F5388"/>
    <w:rsid w:val="005F5559"/>
    <w:rsid w:val="005F55D2"/>
    <w:rsid w:val="005F63AA"/>
    <w:rsid w:val="005F658E"/>
    <w:rsid w:val="005F6F84"/>
    <w:rsid w:val="005F7206"/>
    <w:rsid w:val="005F73D6"/>
    <w:rsid w:val="00600C02"/>
    <w:rsid w:val="00602AE0"/>
    <w:rsid w:val="00603156"/>
    <w:rsid w:val="00604093"/>
    <w:rsid w:val="00604E4B"/>
    <w:rsid w:val="006050A3"/>
    <w:rsid w:val="006050E3"/>
    <w:rsid w:val="006055D0"/>
    <w:rsid w:val="00606B1B"/>
    <w:rsid w:val="006072B0"/>
    <w:rsid w:val="0061076D"/>
    <w:rsid w:val="00610F10"/>
    <w:rsid w:val="00612A60"/>
    <w:rsid w:val="00612D07"/>
    <w:rsid w:val="006132D0"/>
    <w:rsid w:val="006148C2"/>
    <w:rsid w:val="006163CE"/>
    <w:rsid w:val="00616976"/>
    <w:rsid w:val="00617111"/>
    <w:rsid w:val="00617FDB"/>
    <w:rsid w:val="0062033E"/>
    <w:rsid w:val="00621385"/>
    <w:rsid w:val="00622A7A"/>
    <w:rsid w:val="00623EBD"/>
    <w:rsid w:val="00624809"/>
    <w:rsid w:val="00626E4B"/>
    <w:rsid w:val="00627D48"/>
    <w:rsid w:val="006303ED"/>
    <w:rsid w:val="00630722"/>
    <w:rsid w:val="006319BE"/>
    <w:rsid w:val="0063309A"/>
    <w:rsid w:val="00633619"/>
    <w:rsid w:val="0063388E"/>
    <w:rsid w:val="00634121"/>
    <w:rsid w:val="006342E3"/>
    <w:rsid w:val="006344C1"/>
    <w:rsid w:val="00634C78"/>
    <w:rsid w:val="00634D5C"/>
    <w:rsid w:val="006411DC"/>
    <w:rsid w:val="006415CF"/>
    <w:rsid w:val="00642040"/>
    <w:rsid w:val="0064254F"/>
    <w:rsid w:val="006449FD"/>
    <w:rsid w:val="00645FDC"/>
    <w:rsid w:val="006474C9"/>
    <w:rsid w:val="006509ED"/>
    <w:rsid w:val="00651FE0"/>
    <w:rsid w:val="0065424D"/>
    <w:rsid w:val="00654A31"/>
    <w:rsid w:val="006561F5"/>
    <w:rsid w:val="00657BB6"/>
    <w:rsid w:val="00657CD9"/>
    <w:rsid w:val="0066002A"/>
    <w:rsid w:val="00660E69"/>
    <w:rsid w:val="00661171"/>
    <w:rsid w:val="00661956"/>
    <w:rsid w:val="00662084"/>
    <w:rsid w:val="0066243A"/>
    <w:rsid w:val="00662BDC"/>
    <w:rsid w:val="00664136"/>
    <w:rsid w:val="006644D2"/>
    <w:rsid w:val="006665A5"/>
    <w:rsid w:val="00666BC1"/>
    <w:rsid w:val="00667359"/>
    <w:rsid w:val="0067021C"/>
    <w:rsid w:val="00670C27"/>
    <w:rsid w:val="00671AB4"/>
    <w:rsid w:val="00672C61"/>
    <w:rsid w:val="006731AD"/>
    <w:rsid w:val="0067346B"/>
    <w:rsid w:val="00673B69"/>
    <w:rsid w:val="00674506"/>
    <w:rsid w:val="00674BCD"/>
    <w:rsid w:val="00674DA5"/>
    <w:rsid w:val="00674DFA"/>
    <w:rsid w:val="00674F40"/>
    <w:rsid w:val="006754CE"/>
    <w:rsid w:val="00675D77"/>
    <w:rsid w:val="00675DF1"/>
    <w:rsid w:val="006766F2"/>
    <w:rsid w:val="0067680D"/>
    <w:rsid w:val="00677949"/>
    <w:rsid w:val="00680F1C"/>
    <w:rsid w:val="00681AD2"/>
    <w:rsid w:val="00681C2A"/>
    <w:rsid w:val="00682C76"/>
    <w:rsid w:val="00682C9F"/>
    <w:rsid w:val="0068313C"/>
    <w:rsid w:val="00683188"/>
    <w:rsid w:val="00683458"/>
    <w:rsid w:val="0068357B"/>
    <w:rsid w:val="00683905"/>
    <w:rsid w:val="006864A6"/>
    <w:rsid w:val="0068717A"/>
    <w:rsid w:val="00687F6D"/>
    <w:rsid w:val="006907FD"/>
    <w:rsid w:val="00690869"/>
    <w:rsid w:val="00690E51"/>
    <w:rsid w:val="006911D4"/>
    <w:rsid w:val="00691BC2"/>
    <w:rsid w:val="006931F9"/>
    <w:rsid w:val="00693600"/>
    <w:rsid w:val="0069452C"/>
    <w:rsid w:val="00694A67"/>
    <w:rsid w:val="00695047"/>
    <w:rsid w:val="0069568B"/>
    <w:rsid w:val="00696235"/>
    <w:rsid w:val="006963D6"/>
    <w:rsid w:val="00696996"/>
    <w:rsid w:val="00697405"/>
    <w:rsid w:val="006A0A82"/>
    <w:rsid w:val="006A19CA"/>
    <w:rsid w:val="006A23D2"/>
    <w:rsid w:val="006A299B"/>
    <w:rsid w:val="006A2A76"/>
    <w:rsid w:val="006A318F"/>
    <w:rsid w:val="006A63DD"/>
    <w:rsid w:val="006A673E"/>
    <w:rsid w:val="006A6D0E"/>
    <w:rsid w:val="006B0599"/>
    <w:rsid w:val="006B12BD"/>
    <w:rsid w:val="006B1D60"/>
    <w:rsid w:val="006B3310"/>
    <w:rsid w:val="006B4FA8"/>
    <w:rsid w:val="006B5EBA"/>
    <w:rsid w:val="006B6A5A"/>
    <w:rsid w:val="006B7069"/>
    <w:rsid w:val="006B7099"/>
    <w:rsid w:val="006B719D"/>
    <w:rsid w:val="006B75C0"/>
    <w:rsid w:val="006B7B26"/>
    <w:rsid w:val="006C039D"/>
    <w:rsid w:val="006C320A"/>
    <w:rsid w:val="006C4C7C"/>
    <w:rsid w:val="006C522E"/>
    <w:rsid w:val="006C5A4B"/>
    <w:rsid w:val="006C5E6F"/>
    <w:rsid w:val="006C72B6"/>
    <w:rsid w:val="006C7A29"/>
    <w:rsid w:val="006D0296"/>
    <w:rsid w:val="006D0E24"/>
    <w:rsid w:val="006D166E"/>
    <w:rsid w:val="006D2068"/>
    <w:rsid w:val="006D33BB"/>
    <w:rsid w:val="006D45E6"/>
    <w:rsid w:val="006D4AA6"/>
    <w:rsid w:val="006D59CB"/>
    <w:rsid w:val="006D681C"/>
    <w:rsid w:val="006D6B96"/>
    <w:rsid w:val="006E025B"/>
    <w:rsid w:val="006E0AA3"/>
    <w:rsid w:val="006E0EBA"/>
    <w:rsid w:val="006E13E7"/>
    <w:rsid w:val="006E26D4"/>
    <w:rsid w:val="006E3050"/>
    <w:rsid w:val="006E3370"/>
    <w:rsid w:val="006E40BB"/>
    <w:rsid w:val="006E52B6"/>
    <w:rsid w:val="006E5A24"/>
    <w:rsid w:val="006E6332"/>
    <w:rsid w:val="006E6335"/>
    <w:rsid w:val="006E6A22"/>
    <w:rsid w:val="006E6DB0"/>
    <w:rsid w:val="006E7617"/>
    <w:rsid w:val="006E7B6E"/>
    <w:rsid w:val="006F2CE4"/>
    <w:rsid w:val="006F4237"/>
    <w:rsid w:val="006F490F"/>
    <w:rsid w:val="006F49BF"/>
    <w:rsid w:val="006F59B8"/>
    <w:rsid w:val="006F6693"/>
    <w:rsid w:val="006F6C5C"/>
    <w:rsid w:val="0070034C"/>
    <w:rsid w:val="007020E3"/>
    <w:rsid w:val="007023FA"/>
    <w:rsid w:val="007038C2"/>
    <w:rsid w:val="00703982"/>
    <w:rsid w:val="00703B78"/>
    <w:rsid w:val="00703C1D"/>
    <w:rsid w:val="007059B9"/>
    <w:rsid w:val="007062BD"/>
    <w:rsid w:val="007070A8"/>
    <w:rsid w:val="007071A6"/>
    <w:rsid w:val="00710646"/>
    <w:rsid w:val="00710B2E"/>
    <w:rsid w:val="00711385"/>
    <w:rsid w:val="00711D59"/>
    <w:rsid w:val="00711E9A"/>
    <w:rsid w:val="00712371"/>
    <w:rsid w:val="00712705"/>
    <w:rsid w:val="007127C5"/>
    <w:rsid w:val="00712E7B"/>
    <w:rsid w:val="00712F82"/>
    <w:rsid w:val="007139F8"/>
    <w:rsid w:val="00713B7B"/>
    <w:rsid w:val="007145E9"/>
    <w:rsid w:val="00715139"/>
    <w:rsid w:val="007158DB"/>
    <w:rsid w:val="00715A16"/>
    <w:rsid w:val="00715C4C"/>
    <w:rsid w:val="00716669"/>
    <w:rsid w:val="0071776F"/>
    <w:rsid w:val="00717967"/>
    <w:rsid w:val="0072001F"/>
    <w:rsid w:val="0072126B"/>
    <w:rsid w:val="0072193C"/>
    <w:rsid w:val="00721D57"/>
    <w:rsid w:val="00722CDA"/>
    <w:rsid w:val="00723631"/>
    <w:rsid w:val="00724058"/>
    <w:rsid w:val="007259B2"/>
    <w:rsid w:val="00725E67"/>
    <w:rsid w:val="00727AA8"/>
    <w:rsid w:val="007301A3"/>
    <w:rsid w:val="00730892"/>
    <w:rsid w:val="00730933"/>
    <w:rsid w:val="00730DD2"/>
    <w:rsid w:val="007333AD"/>
    <w:rsid w:val="00733A66"/>
    <w:rsid w:val="00734A85"/>
    <w:rsid w:val="00734E80"/>
    <w:rsid w:val="00735ED7"/>
    <w:rsid w:val="0074056E"/>
    <w:rsid w:val="0074074C"/>
    <w:rsid w:val="007413A1"/>
    <w:rsid w:val="00742473"/>
    <w:rsid w:val="00742C30"/>
    <w:rsid w:val="00743A2E"/>
    <w:rsid w:val="00746122"/>
    <w:rsid w:val="007512EA"/>
    <w:rsid w:val="00751CC5"/>
    <w:rsid w:val="00751FC4"/>
    <w:rsid w:val="007523D6"/>
    <w:rsid w:val="0075341D"/>
    <w:rsid w:val="00753C96"/>
    <w:rsid w:val="00753F0C"/>
    <w:rsid w:val="00755108"/>
    <w:rsid w:val="0075526F"/>
    <w:rsid w:val="00755AC1"/>
    <w:rsid w:val="00755FD0"/>
    <w:rsid w:val="007560BC"/>
    <w:rsid w:val="0076051A"/>
    <w:rsid w:val="00760E0C"/>
    <w:rsid w:val="007617AA"/>
    <w:rsid w:val="00762A2C"/>
    <w:rsid w:val="00762D07"/>
    <w:rsid w:val="00762DBF"/>
    <w:rsid w:val="00763C01"/>
    <w:rsid w:val="00764025"/>
    <w:rsid w:val="00764619"/>
    <w:rsid w:val="00764726"/>
    <w:rsid w:val="00765A3E"/>
    <w:rsid w:val="00766296"/>
    <w:rsid w:val="00766F4F"/>
    <w:rsid w:val="00767F46"/>
    <w:rsid w:val="007708BF"/>
    <w:rsid w:val="00771256"/>
    <w:rsid w:val="007719F7"/>
    <w:rsid w:val="00771EBF"/>
    <w:rsid w:val="0077259C"/>
    <w:rsid w:val="00773016"/>
    <w:rsid w:val="00773925"/>
    <w:rsid w:val="007744E1"/>
    <w:rsid w:val="00774A15"/>
    <w:rsid w:val="007759E3"/>
    <w:rsid w:val="007769F9"/>
    <w:rsid w:val="00776F05"/>
    <w:rsid w:val="00781058"/>
    <w:rsid w:val="0078111E"/>
    <w:rsid w:val="00782B15"/>
    <w:rsid w:val="00784F77"/>
    <w:rsid w:val="00786047"/>
    <w:rsid w:val="0078702A"/>
    <w:rsid w:val="00787095"/>
    <w:rsid w:val="00787E67"/>
    <w:rsid w:val="007915DD"/>
    <w:rsid w:val="00791703"/>
    <w:rsid w:val="00791DF7"/>
    <w:rsid w:val="00792C8E"/>
    <w:rsid w:val="0079539A"/>
    <w:rsid w:val="00795D17"/>
    <w:rsid w:val="0079616D"/>
    <w:rsid w:val="00796770"/>
    <w:rsid w:val="00797557"/>
    <w:rsid w:val="007975F2"/>
    <w:rsid w:val="007A0AFC"/>
    <w:rsid w:val="007A0D48"/>
    <w:rsid w:val="007A175F"/>
    <w:rsid w:val="007A34D2"/>
    <w:rsid w:val="007A47E5"/>
    <w:rsid w:val="007A50CE"/>
    <w:rsid w:val="007A5655"/>
    <w:rsid w:val="007A6E84"/>
    <w:rsid w:val="007A74AC"/>
    <w:rsid w:val="007A75DA"/>
    <w:rsid w:val="007B028A"/>
    <w:rsid w:val="007B354E"/>
    <w:rsid w:val="007B53E6"/>
    <w:rsid w:val="007B7BA9"/>
    <w:rsid w:val="007C0D5C"/>
    <w:rsid w:val="007C1CD0"/>
    <w:rsid w:val="007C3F46"/>
    <w:rsid w:val="007C4190"/>
    <w:rsid w:val="007C4857"/>
    <w:rsid w:val="007C6C32"/>
    <w:rsid w:val="007C6C50"/>
    <w:rsid w:val="007C7F8D"/>
    <w:rsid w:val="007D0695"/>
    <w:rsid w:val="007D11D0"/>
    <w:rsid w:val="007D177C"/>
    <w:rsid w:val="007D2387"/>
    <w:rsid w:val="007D3A3A"/>
    <w:rsid w:val="007D41FA"/>
    <w:rsid w:val="007D5409"/>
    <w:rsid w:val="007D5C85"/>
    <w:rsid w:val="007D601D"/>
    <w:rsid w:val="007D60CC"/>
    <w:rsid w:val="007D7801"/>
    <w:rsid w:val="007D7B3E"/>
    <w:rsid w:val="007D7C46"/>
    <w:rsid w:val="007E0CDD"/>
    <w:rsid w:val="007E12E1"/>
    <w:rsid w:val="007E191B"/>
    <w:rsid w:val="007E27BF"/>
    <w:rsid w:val="007E35DB"/>
    <w:rsid w:val="007E439E"/>
    <w:rsid w:val="007E4996"/>
    <w:rsid w:val="007E553C"/>
    <w:rsid w:val="007E5CEA"/>
    <w:rsid w:val="007E778B"/>
    <w:rsid w:val="007F1ACA"/>
    <w:rsid w:val="007F28D2"/>
    <w:rsid w:val="007F2ACC"/>
    <w:rsid w:val="007F37E0"/>
    <w:rsid w:val="007F3B14"/>
    <w:rsid w:val="007F3DE3"/>
    <w:rsid w:val="007F44E3"/>
    <w:rsid w:val="007F5634"/>
    <w:rsid w:val="007F56F4"/>
    <w:rsid w:val="007F6C60"/>
    <w:rsid w:val="007F6F20"/>
    <w:rsid w:val="007F7325"/>
    <w:rsid w:val="008008A7"/>
    <w:rsid w:val="008013E2"/>
    <w:rsid w:val="00802907"/>
    <w:rsid w:val="008051D7"/>
    <w:rsid w:val="008053CB"/>
    <w:rsid w:val="00806AA3"/>
    <w:rsid w:val="008078AE"/>
    <w:rsid w:val="00810F33"/>
    <w:rsid w:val="00812BC8"/>
    <w:rsid w:val="008139C7"/>
    <w:rsid w:val="00813DDC"/>
    <w:rsid w:val="00814026"/>
    <w:rsid w:val="008141AC"/>
    <w:rsid w:val="00815566"/>
    <w:rsid w:val="008163A3"/>
    <w:rsid w:val="008163D1"/>
    <w:rsid w:val="0081768D"/>
    <w:rsid w:val="008179C1"/>
    <w:rsid w:val="00820833"/>
    <w:rsid w:val="008211ED"/>
    <w:rsid w:val="00821AFD"/>
    <w:rsid w:val="0082370D"/>
    <w:rsid w:val="00824F5E"/>
    <w:rsid w:val="00825244"/>
    <w:rsid w:val="008261B6"/>
    <w:rsid w:val="00826D73"/>
    <w:rsid w:val="00827728"/>
    <w:rsid w:val="00827BDB"/>
    <w:rsid w:val="00830113"/>
    <w:rsid w:val="008301EA"/>
    <w:rsid w:val="00830DA4"/>
    <w:rsid w:val="0083260F"/>
    <w:rsid w:val="008328B4"/>
    <w:rsid w:val="00832C76"/>
    <w:rsid w:val="008333A3"/>
    <w:rsid w:val="00833B2A"/>
    <w:rsid w:val="008351FD"/>
    <w:rsid w:val="00836039"/>
    <w:rsid w:val="008368BE"/>
    <w:rsid w:val="00836C4F"/>
    <w:rsid w:val="00836F2D"/>
    <w:rsid w:val="00837F05"/>
    <w:rsid w:val="008408FF"/>
    <w:rsid w:val="00842D0C"/>
    <w:rsid w:val="00843DDD"/>
    <w:rsid w:val="00844CFD"/>
    <w:rsid w:val="008469E2"/>
    <w:rsid w:val="00846C61"/>
    <w:rsid w:val="00846F93"/>
    <w:rsid w:val="0084753B"/>
    <w:rsid w:val="00850C76"/>
    <w:rsid w:val="0085203E"/>
    <w:rsid w:val="008521A5"/>
    <w:rsid w:val="00854770"/>
    <w:rsid w:val="00855D07"/>
    <w:rsid w:val="00855F13"/>
    <w:rsid w:val="008575B8"/>
    <w:rsid w:val="00860FAF"/>
    <w:rsid w:val="00861476"/>
    <w:rsid w:val="00862160"/>
    <w:rsid w:val="00862804"/>
    <w:rsid w:val="00863E43"/>
    <w:rsid w:val="0086467C"/>
    <w:rsid w:val="008646BD"/>
    <w:rsid w:val="00865FF9"/>
    <w:rsid w:val="00867292"/>
    <w:rsid w:val="00867472"/>
    <w:rsid w:val="0087218A"/>
    <w:rsid w:val="008727D8"/>
    <w:rsid w:val="00872E5E"/>
    <w:rsid w:val="008733BB"/>
    <w:rsid w:val="008752B3"/>
    <w:rsid w:val="0087549A"/>
    <w:rsid w:val="008765C2"/>
    <w:rsid w:val="00877F67"/>
    <w:rsid w:val="00880615"/>
    <w:rsid w:val="00881A8D"/>
    <w:rsid w:val="00882640"/>
    <w:rsid w:val="0088292B"/>
    <w:rsid w:val="00882E1C"/>
    <w:rsid w:val="00882F15"/>
    <w:rsid w:val="00883534"/>
    <w:rsid w:val="00884346"/>
    <w:rsid w:val="00884E9F"/>
    <w:rsid w:val="00884F93"/>
    <w:rsid w:val="008851CE"/>
    <w:rsid w:val="00885DD0"/>
    <w:rsid w:val="00886AE4"/>
    <w:rsid w:val="008931EF"/>
    <w:rsid w:val="00894224"/>
    <w:rsid w:val="00895137"/>
    <w:rsid w:val="00895867"/>
    <w:rsid w:val="008958DB"/>
    <w:rsid w:val="00895DA9"/>
    <w:rsid w:val="0089604C"/>
    <w:rsid w:val="00896C6E"/>
    <w:rsid w:val="00897695"/>
    <w:rsid w:val="008979F8"/>
    <w:rsid w:val="00897C27"/>
    <w:rsid w:val="008A0CC2"/>
    <w:rsid w:val="008A1848"/>
    <w:rsid w:val="008A240F"/>
    <w:rsid w:val="008A29E4"/>
    <w:rsid w:val="008A330E"/>
    <w:rsid w:val="008A3520"/>
    <w:rsid w:val="008A3EAB"/>
    <w:rsid w:val="008A45D9"/>
    <w:rsid w:val="008A474A"/>
    <w:rsid w:val="008A48A2"/>
    <w:rsid w:val="008A4F4D"/>
    <w:rsid w:val="008A5F03"/>
    <w:rsid w:val="008A6088"/>
    <w:rsid w:val="008A6608"/>
    <w:rsid w:val="008A67E1"/>
    <w:rsid w:val="008B02FA"/>
    <w:rsid w:val="008B07FC"/>
    <w:rsid w:val="008B0F1B"/>
    <w:rsid w:val="008B10F4"/>
    <w:rsid w:val="008B1E6B"/>
    <w:rsid w:val="008B41C1"/>
    <w:rsid w:val="008B4EC2"/>
    <w:rsid w:val="008B56E0"/>
    <w:rsid w:val="008B5AD7"/>
    <w:rsid w:val="008B5CC5"/>
    <w:rsid w:val="008B654F"/>
    <w:rsid w:val="008B760D"/>
    <w:rsid w:val="008B7DCD"/>
    <w:rsid w:val="008C0CA5"/>
    <w:rsid w:val="008C0D86"/>
    <w:rsid w:val="008C1909"/>
    <w:rsid w:val="008C1F52"/>
    <w:rsid w:val="008C415F"/>
    <w:rsid w:val="008C4823"/>
    <w:rsid w:val="008C497A"/>
    <w:rsid w:val="008C6139"/>
    <w:rsid w:val="008C6903"/>
    <w:rsid w:val="008C717F"/>
    <w:rsid w:val="008D01F3"/>
    <w:rsid w:val="008D0405"/>
    <w:rsid w:val="008D0AFB"/>
    <w:rsid w:val="008D132E"/>
    <w:rsid w:val="008D1D53"/>
    <w:rsid w:val="008D1E9D"/>
    <w:rsid w:val="008D383C"/>
    <w:rsid w:val="008D48CB"/>
    <w:rsid w:val="008D62C5"/>
    <w:rsid w:val="008D62F3"/>
    <w:rsid w:val="008D6F19"/>
    <w:rsid w:val="008E2A98"/>
    <w:rsid w:val="008E2EBA"/>
    <w:rsid w:val="008E3D07"/>
    <w:rsid w:val="008E3D82"/>
    <w:rsid w:val="008E42F6"/>
    <w:rsid w:val="008E45BF"/>
    <w:rsid w:val="008E4D3B"/>
    <w:rsid w:val="008E52A0"/>
    <w:rsid w:val="008E6B23"/>
    <w:rsid w:val="008E713F"/>
    <w:rsid w:val="008E7839"/>
    <w:rsid w:val="008F18EA"/>
    <w:rsid w:val="008F20CC"/>
    <w:rsid w:val="008F2C1B"/>
    <w:rsid w:val="008F3DDB"/>
    <w:rsid w:val="008F4194"/>
    <w:rsid w:val="008F57ED"/>
    <w:rsid w:val="008F5D55"/>
    <w:rsid w:val="008F620F"/>
    <w:rsid w:val="008F6B60"/>
    <w:rsid w:val="008F7265"/>
    <w:rsid w:val="008F7338"/>
    <w:rsid w:val="009009AA"/>
    <w:rsid w:val="00902A33"/>
    <w:rsid w:val="00902CC2"/>
    <w:rsid w:val="00904C8A"/>
    <w:rsid w:val="00905C4D"/>
    <w:rsid w:val="0090792F"/>
    <w:rsid w:val="00907A00"/>
    <w:rsid w:val="00907EA6"/>
    <w:rsid w:val="0091079D"/>
    <w:rsid w:val="0091079E"/>
    <w:rsid w:val="0091080A"/>
    <w:rsid w:val="00910895"/>
    <w:rsid w:val="00911C50"/>
    <w:rsid w:val="009123E0"/>
    <w:rsid w:val="0091285E"/>
    <w:rsid w:val="009128BA"/>
    <w:rsid w:val="009132CB"/>
    <w:rsid w:val="009140AE"/>
    <w:rsid w:val="009147D3"/>
    <w:rsid w:val="00914D73"/>
    <w:rsid w:val="009153F5"/>
    <w:rsid w:val="009154F3"/>
    <w:rsid w:val="0091571D"/>
    <w:rsid w:val="0091586D"/>
    <w:rsid w:val="009158CC"/>
    <w:rsid w:val="00915D86"/>
    <w:rsid w:val="00916628"/>
    <w:rsid w:val="00916CBE"/>
    <w:rsid w:val="009171A0"/>
    <w:rsid w:val="009176CD"/>
    <w:rsid w:val="00921442"/>
    <w:rsid w:val="0092147A"/>
    <w:rsid w:val="009264F7"/>
    <w:rsid w:val="009272D7"/>
    <w:rsid w:val="009276FA"/>
    <w:rsid w:val="00927A95"/>
    <w:rsid w:val="00927B49"/>
    <w:rsid w:val="009300FD"/>
    <w:rsid w:val="00930327"/>
    <w:rsid w:val="00930488"/>
    <w:rsid w:val="009308F8"/>
    <w:rsid w:val="009312A7"/>
    <w:rsid w:val="009315D2"/>
    <w:rsid w:val="0093360A"/>
    <w:rsid w:val="00933F66"/>
    <w:rsid w:val="00935550"/>
    <w:rsid w:val="00935566"/>
    <w:rsid w:val="00936FD1"/>
    <w:rsid w:val="00937A88"/>
    <w:rsid w:val="00937C70"/>
    <w:rsid w:val="00940109"/>
    <w:rsid w:val="00940DA6"/>
    <w:rsid w:val="0094164D"/>
    <w:rsid w:val="00942A5D"/>
    <w:rsid w:val="0094324D"/>
    <w:rsid w:val="009439B7"/>
    <w:rsid w:val="00944F2B"/>
    <w:rsid w:val="009467D2"/>
    <w:rsid w:val="00946DE7"/>
    <w:rsid w:val="00950CA0"/>
    <w:rsid w:val="009510FA"/>
    <w:rsid w:val="0095192B"/>
    <w:rsid w:val="009524B4"/>
    <w:rsid w:val="00952763"/>
    <w:rsid w:val="00952ADC"/>
    <w:rsid w:val="00953A51"/>
    <w:rsid w:val="00954BA8"/>
    <w:rsid w:val="00954D74"/>
    <w:rsid w:val="009552CE"/>
    <w:rsid w:val="009562A0"/>
    <w:rsid w:val="0095647C"/>
    <w:rsid w:val="009568C4"/>
    <w:rsid w:val="009569BA"/>
    <w:rsid w:val="00957C1A"/>
    <w:rsid w:val="00960260"/>
    <w:rsid w:val="00960718"/>
    <w:rsid w:val="00960F07"/>
    <w:rsid w:val="00961735"/>
    <w:rsid w:val="0096240F"/>
    <w:rsid w:val="00963178"/>
    <w:rsid w:val="00963676"/>
    <w:rsid w:val="00964B0F"/>
    <w:rsid w:val="00965A9D"/>
    <w:rsid w:val="00965B13"/>
    <w:rsid w:val="00965C42"/>
    <w:rsid w:val="00966206"/>
    <w:rsid w:val="00966347"/>
    <w:rsid w:val="0097059F"/>
    <w:rsid w:val="00971335"/>
    <w:rsid w:val="00971819"/>
    <w:rsid w:val="0097232B"/>
    <w:rsid w:val="00973DC8"/>
    <w:rsid w:val="00974444"/>
    <w:rsid w:val="00974C92"/>
    <w:rsid w:val="0097513C"/>
    <w:rsid w:val="009764FA"/>
    <w:rsid w:val="00976522"/>
    <w:rsid w:val="009768DE"/>
    <w:rsid w:val="00976C7D"/>
    <w:rsid w:val="00977BE1"/>
    <w:rsid w:val="0098024F"/>
    <w:rsid w:val="00982CFD"/>
    <w:rsid w:val="009838B5"/>
    <w:rsid w:val="009838F1"/>
    <w:rsid w:val="00986465"/>
    <w:rsid w:val="00986F4E"/>
    <w:rsid w:val="0098743B"/>
    <w:rsid w:val="009878C4"/>
    <w:rsid w:val="00987959"/>
    <w:rsid w:val="00987FF3"/>
    <w:rsid w:val="00990601"/>
    <w:rsid w:val="00990A81"/>
    <w:rsid w:val="00990CB6"/>
    <w:rsid w:val="00991B45"/>
    <w:rsid w:val="00991C91"/>
    <w:rsid w:val="00992D5C"/>
    <w:rsid w:val="009931B3"/>
    <w:rsid w:val="00993DDF"/>
    <w:rsid w:val="00994826"/>
    <w:rsid w:val="00994B21"/>
    <w:rsid w:val="00994B61"/>
    <w:rsid w:val="0099542E"/>
    <w:rsid w:val="00995DFD"/>
    <w:rsid w:val="00996112"/>
    <w:rsid w:val="009968CE"/>
    <w:rsid w:val="0099726E"/>
    <w:rsid w:val="009A04DB"/>
    <w:rsid w:val="009A061C"/>
    <w:rsid w:val="009A0856"/>
    <w:rsid w:val="009A0890"/>
    <w:rsid w:val="009A0CC7"/>
    <w:rsid w:val="009A1D03"/>
    <w:rsid w:val="009A3C73"/>
    <w:rsid w:val="009A3EBC"/>
    <w:rsid w:val="009A53AE"/>
    <w:rsid w:val="009A5456"/>
    <w:rsid w:val="009A5488"/>
    <w:rsid w:val="009A5D3C"/>
    <w:rsid w:val="009A60A8"/>
    <w:rsid w:val="009A60F4"/>
    <w:rsid w:val="009A7B0A"/>
    <w:rsid w:val="009A7B7D"/>
    <w:rsid w:val="009B0C5D"/>
    <w:rsid w:val="009B1EDF"/>
    <w:rsid w:val="009B2105"/>
    <w:rsid w:val="009B2957"/>
    <w:rsid w:val="009B2EC3"/>
    <w:rsid w:val="009B3633"/>
    <w:rsid w:val="009B3CA2"/>
    <w:rsid w:val="009B42E6"/>
    <w:rsid w:val="009B5766"/>
    <w:rsid w:val="009B5EC5"/>
    <w:rsid w:val="009B636B"/>
    <w:rsid w:val="009B6CB5"/>
    <w:rsid w:val="009B6E6A"/>
    <w:rsid w:val="009B7870"/>
    <w:rsid w:val="009B7B39"/>
    <w:rsid w:val="009B7D55"/>
    <w:rsid w:val="009C009F"/>
    <w:rsid w:val="009C029C"/>
    <w:rsid w:val="009C08CD"/>
    <w:rsid w:val="009C10DC"/>
    <w:rsid w:val="009C1969"/>
    <w:rsid w:val="009C19C5"/>
    <w:rsid w:val="009C43CF"/>
    <w:rsid w:val="009C5AC3"/>
    <w:rsid w:val="009D1ADC"/>
    <w:rsid w:val="009D1F87"/>
    <w:rsid w:val="009D3955"/>
    <w:rsid w:val="009D4D01"/>
    <w:rsid w:val="009D5966"/>
    <w:rsid w:val="009D7098"/>
    <w:rsid w:val="009D748D"/>
    <w:rsid w:val="009D7695"/>
    <w:rsid w:val="009E13E2"/>
    <w:rsid w:val="009E14B7"/>
    <w:rsid w:val="009E3DB6"/>
    <w:rsid w:val="009E3F2D"/>
    <w:rsid w:val="009E44D9"/>
    <w:rsid w:val="009E539D"/>
    <w:rsid w:val="009E5746"/>
    <w:rsid w:val="009E61A3"/>
    <w:rsid w:val="009E7877"/>
    <w:rsid w:val="009F16AC"/>
    <w:rsid w:val="009F4399"/>
    <w:rsid w:val="009F527C"/>
    <w:rsid w:val="009F5E26"/>
    <w:rsid w:val="009F6C41"/>
    <w:rsid w:val="009F75E2"/>
    <w:rsid w:val="009F7D90"/>
    <w:rsid w:val="00A00974"/>
    <w:rsid w:val="00A029BB"/>
    <w:rsid w:val="00A046E3"/>
    <w:rsid w:val="00A065CB"/>
    <w:rsid w:val="00A10309"/>
    <w:rsid w:val="00A11175"/>
    <w:rsid w:val="00A11CE7"/>
    <w:rsid w:val="00A11E18"/>
    <w:rsid w:val="00A11E2F"/>
    <w:rsid w:val="00A11EAB"/>
    <w:rsid w:val="00A130CA"/>
    <w:rsid w:val="00A14080"/>
    <w:rsid w:val="00A141D3"/>
    <w:rsid w:val="00A147EE"/>
    <w:rsid w:val="00A16DF2"/>
    <w:rsid w:val="00A21572"/>
    <w:rsid w:val="00A22953"/>
    <w:rsid w:val="00A25490"/>
    <w:rsid w:val="00A26AFC"/>
    <w:rsid w:val="00A34198"/>
    <w:rsid w:val="00A34772"/>
    <w:rsid w:val="00A3491F"/>
    <w:rsid w:val="00A35D23"/>
    <w:rsid w:val="00A36A91"/>
    <w:rsid w:val="00A36CBF"/>
    <w:rsid w:val="00A37188"/>
    <w:rsid w:val="00A37DDE"/>
    <w:rsid w:val="00A40F78"/>
    <w:rsid w:val="00A42043"/>
    <w:rsid w:val="00A4270C"/>
    <w:rsid w:val="00A43429"/>
    <w:rsid w:val="00A45239"/>
    <w:rsid w:val="00A4711E"/>
    <w:rsid w:val="00A4733C"/>
    <w:rsid w:val="00A478AA"/>
    <w:rsid w:val="00A47D37"/>
    <w:rsid w:val="00A51F7A"/>
    <w:rsid w:val="00A53CB2"/>
    <w:rsid w:val="00A53E22"/>
    <w:rsid w:val="00A54A21"/>
    <w:rsid w:val="00A54A97"/>
    <w:rsid w:val="00A54C3E"/>
    <w:rsid w:val="00A559F4"/>
    <w:rsid w:val="00A55A73"/>
    <w:rsid w:val="00A5676E"/>
    <w:rsid w:val="00A57F8F"/>
    <w:rsid w:val="00A60BE9"/>
    <w:rsid w:val="00A614DE"/>
    <w:rsid w:val="00A64517"/>
    <w:rsid w:val="00A657B5"/>
    <w:rsid w:val="00A6603F"/>
    <w:rsid w:val="00A67757"/>
    <w:rsid w:val="00A7035D"/>
    <w:rsid w:val="00A72A41"/>
    <w:rsid w:val="00A72D34"/>
    <w:rsid w:val="00A74754"/>
    <w:rsid w:val="00A749AB"/>
    <w:rsid w:val="00A749E4"/>
    <w:rsid w:val="00A75098"/>
    <w:rsid w:val="00A76AB6"/>
    <w:rsid w:val="00A76EAB"/>
    <w:rsid w:val="00A77420"/>
    <w:rsid w:val="00A77CA1"/>
    <w:rsid w:val="00A80477"/>
    <w:rsid w:val="00A80E25"/>
    <w:rsid w:val="00A80EFD"/>
    <w:rsid w:val="00A82AEC"/>
    <w:rsid w:val="00A83CE4"/>
    <w:rsid w:val="00A8558E"/>
    <w:rsid w:val="00A85757"/>
    <w:rsid w:val="00A858AD"/>
    <w:rsid w:val="00A86AC6"/>
    <w:rsid w:val="00A8701D"/>
    <w:rsid w:val="00A872FD"/>
    <w:rsid w:val="00A90FA6"/>
    <w:rsid w:val="00A92010"/>
    <w:rsid w:val="00A92B49"/>
    <w:rsid w:val="00A92CF8"/>
    <w:rsid w:val="00A9338E"/>
    <w:rsid w:val="00A9379D"/>
    <w:rsid w:val="00A93B86"/>
    <w:rsid w:val="00A94A6F"/>
    <w:rsid w:val="00A95269"/>
    <w:rsid w:val="00A96FDB"/>
    <w:rsid w:val="00AA05D7"/>
    <w:rsid w:val="00AA07A6"/>
    <w:rsid w:val="00AA0BCF"/>
    <w:rsid w:val="00AA13F9"/>
    <w:rsid w:val="00AA2158"/>
    <w:rsid w:val="00AA350F"/>
    <w:rsid w:val="00AA3B42"/>
    <w:rsid w:val="00AA3E0E"/>
    <w:rsid w:val="00AA4088"/>
    <w:rsid w:val="00AA553C"/>
    <w:rsid w:val="00AA7534"/>
    <w:rsid w:val="00AA781E"/>
    <w:rsid w:val="00AB1AE6"/>
    <w:rsid w:val="00AB1FFB"/>
    <w:rsid w:val="00AB27D4"/>
    <w:rsid w:val="00AB312F"/>
    <w:rsid w:val="00AB4437"/>
    <w:rsid w:val="00AB4F93"/>
    <w:rsid w:val="00AB50E0"/>
    <w:rsid w:val="00AB5F3E"/>
    <w:rsid w:val="00AC22A3"/>
    <w:rsid w:val="00AC309B"/>
    <w:rsid w:val="00AC4C43"/>
    <w:rsid w:val="00AC60BE"/>
    <w:rsid w:val="00AC66D9"/>
    <w:rsid w:val="00AC6A02"/>
    <w:rsid w:val="00AC6D10"/>
    <w:rsid w:val="00AC7EEB"/>
    <w:rsid w:val="00AD2B25"/>
    <w:rsid w:val="00AD38A5"/>
    <w:rsid w:val="00AD3E29"/>
    <w:rsid w:val="00AD44E4"/>
    <w:rsid w:val="00AD48F0"/>
    <w:rsid w:val="00AD4D39"/>
    <w:rsid w:val="00AD53B7"/>
    <w:rsid w:val="00AD607E"/>
    <w:rsid w:val="00AD681E"/>
    <w:rsid w:val="00AD6977"/>
    <w:rsid w:val="00AD6F01"/>
    <w:rsid w:val="00AD75AF"/>
    <w:rsid w:val="00AE1A95"/>
    <w:rsid w:val="00AE251D"/>
    <w:rsid w:val="00AE505F"/>
    <w:rsid w:val="00AE52CB"/>
    <w:rsid w:val="00AE58E7"/>
    <w:rsid w:val="00AE5D62"/>
    <w:rsid w:val="00AE656B"/>
    <w:rsid w:val="00AE65DB"/>
    <w:rsid w:val="00AE69BB"/>
    <w:rsid w:val="00AE6EBF"/>
    <w:rsid w:val="00AE7732"/>
    <w:rsid w:val="00AF0468"/>
    <w:rsid w:val="00AF0916"/>
    <w:rsid w:val="00AF1435"/>
    <w:rsid w:val="00AF1C37"/>
    <w:rsid w:val="00AF3818"/>
    <w:rsid w:val="00AF3B0F"/>
    <w:rsid w:val="00AF41B5"/>
    <w:rsid w:val="00AF422F"/>
    <w:rsid w:val="00AF4587"/>
    <w:rsid w:val="00AF5155"/>
    <w:rsid w:val="00AF5626"/>
    <w:rsid w:val="00AF6809"/>
    <w:rsid w:val="00AF6E22"/>
    <w:rsid w:val="00AF71E5"/>
    <w:rsid w:val="00AF77DE"/>
    <w:rsid w:val="00B001D2"/>
    <w:rsid w:val="00B0114E"/>
    <w:rsid w:val="00B01A36"/>
    <w:rsid w:val="00B01B29"/>
    <w:rsid w:val="00B01D1B"/>
    <w:rsid w:val="00B0205C"/>
    <w:rsid w:val="00B02D07"/>
    <w:rsid w:val="00B030BD"/>
    <w:rsid w:val="00B03E5A"/>
    <w:rsid w:val="00B0439C"/>
    <w:rsid w:val="00B047AF"/>
    <w:rsid w:val="00B052FF"/>
    <w:rsid w:val="00B05536"/>
    <w:rsid w:val="00B061A9"/>
    <w:rsid w:val="00B06D78"/>
    <w:rsid w:val="00B07B1C"/>
    <w:rsid w:val="00B107AB"/>
    <w:rsid w:val="00B10982"/>
    <w:rsid w:val="00B116AF"/>
    <w:rsid w:val="00B129FA"/>
    <w:rsid w:val="00B1348D"/>
    <w:rsid w:val="00B13C96"/>
    <w:rsid w:val="00B141FA"/>
    <w:rsid w:val="00B144CF"/>
    <w:rsid w:val="00B14822"/>
    <w:rsid w:val="00B15577"/>
    <w:rsid w:val="00B16DF3"/>
    <w:rsid w:val="00B172F4"/>
    <w:rsid w:val="00B221EC"/>
    <w:rsid w:val="00B22A74"/>
    <w:rsid w:val="00B233E4"/>
    <w:rsid w:val="00B24866"/>
    <w:rsid w:val="00B252E7"/>
    <w:rsid w:val="00B2562F"/>
    <w:rsid w:val="00B271B2"/>
    <w:rsid w:val="00B305A6"/>
    <w:rsid w:val="00B3115F"/>
    <w:rsid w:val="00B32BF6"/>
    <w:rsid w:val="00B341A6"/>
    <w:rsid w:val="00B35E24"/>
    <w:rsid w:val="00B3781B"/>
    <w:rsid w:val="00B433F1"/>
    <w:rsid w:val="00B438F3"/>
    <w:rsid w:val="00B4396D"/>
    <w:rsid w:val="00B43AC6"/>
    <w:rsid w:val="00B43E75"/>
    <w:rsid w:val="00B44196"/>
    <w:rsid w:val="00B45DB2"/>
    <w:rsid w:val="00B464D6"/>
    <w:rsid w:val="00B4678D"/>
    <w:rsid w:val="00B4753F"/>
    <w:rsid w:val="00B47816"/>
    <w:rsid w:val="00B51E31"/>
    <w:rsid w:val="00B51E8D"/>
    <w:rsid w:val="00B52699"/>
    <w:rsid w:val="00B530D4"/>
    <w:rsid w:val="00B53346"/>
    <w:rsid w:val="00B538EC"/>
    <w:rsid w:val="00B53BD6"/>
    <w:rsid w:val="00B54BA0"/>
    <w:rsid w:val="00B55306"/>
    <w:rsid w:val="00B55DAE"/>
    <w:rsid w:val="00B564E3"/>
    <w:rsid w:val="00B56C92"/>
    <w:rsid w:val="00B61266"/>
    <w:rsid w:val="00B62221"/>
    <w:rsid w:val="00B62672"/>
    <w:rsid w:val="00B63690"/>
    <w:rsid w:val="00B63710"/>
    <w:rsid w:val="00B642A9"/>
    <w:rsid w:val="00B64C3B"/>
    <w:rsid w:val="00B65ED0"/>
    <w:rsid w:val="00B6621F"/>
    <w:rsid w:val="00B67D2C"/>
    <w:rsid w:val="00B7160F"/>
    <w:rsid w:val="00B71986"/>
    <w:rsid w:val="00B71C92"/>
    <w:rsid w:val="00B72137"/>
    <w:rsid w:val="00B722C1"/>
    <w:rsid w:val="00B72A64"/>
    <w:rsid w:val="00B7342B"/>
    <w:rsid w:val="00B739C9"/>
    <w:rsid w:val="00B73A84"/>
    <w:rsid w:val="00B74D9A"/>
    <w:rsid w:val="00B755C6"/>
    <w:rsid w:val="00B75E7C"/>
    <w:rsid w:val="00B764F8"/>
    <w:rsid w:val="00B77768"/>
    <w:rsid w:val="00B81FD4"/>
    <w:rsid w:val="00B823B9"/>
    <w:rsid w:val="00B83353"/>
    <w:rsid w:val="00B834A0"/>
    <w:rsid w:val="00B83D06"/>
    <w:rsid w:val="00B84359"/>
    <w:rsid w:val="00B854F2"/>
    <w:rsid w:val="00B85B0E"/>
    <w:rsid w:val="00B860BD"/>
    <w:rsid w:val="00B87178"/>
    <w:rsid w:val="00B87BB6"/>
    <w:rsid w:val="00B9000A"/>
    <w:rsid w:val="00B9035F"/>
    <w:rsid w:val="00B90A41"/>
    <w:rsid w:val="00B912CA"/>
    <w:rsid w:val="00B93784"/>
    <w:rsid w:val="00B946E1"/>
    <w:rsid w:val="00B9552F"/>
    <w:rsid w:val="00B95B65"/>
    <w:rsid w:val="00B9637F"/>
    <w:rsid w:val="00B96F8B"/>
    <w:rsid w:val="00BA14EA"/>
    <w:rsid w:val="00BA22FC"/>
    <w:rsid w:val="00BA2AE7"/>
    <w:rsid w:val="00BA36A4"/>
    <w:rsid w:val="00BA3977"/>
    <w:rsid w:val="00BA4B92"/>
    <w:rsid w:val="00BA5153"/>
    <w:rsid w:val="00BA5D51"/>
    <w:rsid w:val="00BA6041"/>
    <w:rsid w:val="00BA6F48"/>
    <w:rsid w:val="00BB091F"/>
    <w:rsid w:val="00BB0A3A"/>
    <w:rsid w:val="00BB17C5"/>
    <w:rsid w:val="00BB2126"/>
    <w:rsid w:val="00BB2FAA"/>
    <w:rsid w:val="00BB4C6E"/>
    <w:rsid w:val="00BB4EB0"/>
    <w:rsid w:val="00BB52F2"/>
    <w:rsid w:val="00BB60D0"/>
    <w:rsid w:val="00BB6570"/>
    <w:rsid w:val="00BC0361"/>
    <w:rsid w:val="00BC13C2"/>
    <w:rsid w:val="00BC2192"/>
    <w:rsid w:val="00BC37EB"/>
    <w:rsid w:val="00BC3B26"/>
    <w:rsid w:val="00BC4EA4"/>
    <w:rsid w:val="00BC5A90"/>
    <w:rsid w:val="00BC6CF8"/>
    <w:rsid w:val="00BC6D53"/>
    <w:rsid w:val="00BC6F55"/>
    <w:rsid w:val="00BD0031"/>
    <w:rsid w:val="00BD020E"/>
    <w:rsid w:val="00BD18BA"/>
    <w:rsid w:val="00BD18C2"/>
    <w:rsid w:val="00BD3525"/>
    <w:rsid w:val="00BD3AE4"/>
    <w:rsid w:val="00BD4DCE"/>
    <w:rsid w:val="00BD563A"/>
    <w:rsid w:val="00BD5A35"/>
    <w:rsid w:val="00BD5E04"/>
    <w:rsid w:val="00BD66D2"/>
    <w:rsid w:val="00BD6E9C"/>
    <w:rsid w:val="00BD700E"/>
    <w:rsid w:val="00BE0D7F"/>
    <w:rsid w:val="00BE1ACA"/>
    <w:rsid w:val="00BE24A3"/>
    <w:rsid w:val="00BE2669"/>
    <w:rsid w:val="00BE2FF7"/>
    <w:rsid w:val="00BE4A9D"/>
    <w:rsid w:val="00BE5099"/>
    <w:rsid w:val="00BE5305"/>
    <w:rsid w:val="00BE5FCD"/>
    <w:rsid w:val="00BE729F"/>
    <w:rsid w:val="00BF0CBC"/>
    <w:rsid w:val="00BF1978"/>
    <w:rsid w:val="00BF22DA"/>
    <w:rsid w:val="00BF2447"/>
    <w:rsid w:val="00BF54EF"/>
    <w:rsid w:val="00BF5A1D"/>
    <w:rsid w:val="00BF5D4B"/>
    <w:rsid w:val="00BF6221"/>
    <w:rsid w:val="00BF6715"/>
    <w:rsid w:val="00C00253"/>
    <w:rsid w:val="00C002ED"/>
    <w:rsid w:val="00C0086B"/>
    <w:rsid w:val="00C00E5A"/>
    <w:rsid w:val="00C010D3"/>
    <w:rsid w:val="00C0144D"/>
    <w:rsid w:val="00C01DF1"/>
    <w:rsid w:val="00C02DE0"/>
    <w:rsid w:val="00C02E83"/>
    <w:rsid w:val="00C02F64"/>
    <w:rsid w:val="00C03BD5"/>
    <w:rsid w:val="00C03D0F"/>
    <w:rsid w:val="00C03F2D"/>
    <w:rsid w:val="00C04763"/>
    <w:rsid w:val="00C04DCE"/>
    <w:rsid w:val="00C05011"/>
    <w:rsid w:val="00C06774"/>
    <w:rsid w:val="00C06FC5"/>
    <w:rsid w:val="00C072FF"/>
    <w:rsid w:val="00C10247"/>
    <w:rsid w:val="00C10416"/>
    <w:rsid w:val="00C10C57"/>
    <w:rsid w:val="00C10D74"/>
    <w:rsid w:val="00C10E28"/>
    <w:rsid w:val="00C11798"/>
    <w:rsid w:val="00C12289"/>
    <w:rsid w:val="00C124B2"/>
    <w:rsid w:val="00C13232"/>
    <w:rsid w:val="00C133FB"/>
    <w:rsid w:val="00C13DBA"/>
    <w:rsid w:val="00C141D2"/>
    <w:rsid w:val="00C14E97"/>
    <w:rsid w:val="00C1658F"/>
    <w:rsid w:val="00C169CD"/>
    <w:rsid w:val="00C17762"/>
    <w:rsid w:val="00C177CE"/>
    <w:rsid w:val="00C17973"/>
    <w:rsid w:val="00C20005"/>
    <w:rsid w:val="00C2048E"/>
    <w:rsid w:val="00C21334"/>
    <w:rsid w:val="00C2165A"/>
    <w:rsid w:val="00C23A0A"/>
    <w:rsid w:val="00C257F6"/>
    <w:rsid w:val="00C25A64"/>
    <w:rsid w:val="00C27010"/>
    <w:rsid w:val="00C3191C"/>
    <w:rsid w:val="00C31A8D"/>
    <w:rsid w:val="00C3377B"/>
    <w:rsid w:val="00C33AE9"/>
    <w:rsid w:val="00C33DEF"/>
    <w:rsid w:val="00C34369"/>
    <w:rsid w:val="00C35931"/>
    <w:rsid w:val="00C35C2A"/>
    <w:rsid w:val="00C36862"/>
    <w:rsid w:val="00C36EF2"/>
    <w:rsid w:val="00C37B49"/>
    <w:rsid w:val="00C37DC4"/>
    <w:rsid w:val="00C41A98"/>
    <w:rsid w:val="00C421CB"/>
    <w:rsid w:val="00C4443A"/>
    <w:rsid w:val="00C45FF8"/>
    <w:rsid w:val="00C47ECE"/>
    <w:rsid w:val="00C5036F"/>
    <w:rsid w:val="00C50A63"/>
    <w:rsid w:val="00C51456"/>
    <w:rsid w:val="00C532CE"/>
    <w:rsid w:val="00C53305"/>
    <w:rsid w:val="00C538F1"/>
    <w:rsid w:val="00C53940"/>
    <w:rsid w:val="00C5449C"/>
    <w:rsid w:val="00C5636B"/>
    <w:rsid w:val="00C57BD0"/>
    <w:rsid w:val="00C6064C"/>
    <w:rsid w:val="00C60918"/>
    <w:rsid w:val="00C60EE0"/>
    <w:rsid w:val="00C62286"/>
    <w:rsid w:val="00C62F9A"/>
    <w:rsid w:val="00C63101"/>
    <w:rsid w:val="00C633B9"/>
    <w:rsid w:val="00C637C0"/>
    <w:rsid w:val="00C64697"/>
    <w:rsid w:val="00C64D2A"/>
    <w:rsid w:val="00C652DC"/>
    <w:rsid w:val="00C65EE9"/>
    <w:rsid w:val="00C662A4"/>
    <w:rsid w:val="00C675CE"/>
    <w:rsid w:val="00C70BCB"/>
    <w:rsid w:val="00C70D3F"/>
    <w:rsid w:val="00C71399"/>
    <w:rsid w:val="00C7147F"/>
    <w:rsid w:val="00C72D9A"/>
    <w:rsid w:val="00C733DC"/>
    <w:rsid w:val="00C74B52"/>
    <w:rsid w:val="00C75C77"/>
    <w:rsid w:val="00C80074"/>
    <w:rsid w:val="00C802D0"/>
    <w:rsid w:val="00C80777"/>
    <w:rsid w:val="00C80EA5"/>
    <w:rsid w:val="00C8101E"/>
    <w:rsid w:val="00C817BF"/>
    <w:rsid w:val="00C81FAB"/>
    <w:rsid w:val="00C82A53"/>
    <w:rsid w:val="00C82F46"/>
    <w:rsid w:val="00C82F57"/>
    <w:rsid w:val="00C8336E"/>
    <w:rsid w:val="00C8397B"/>
    <w:rsid w:val="00C83F55"/>
    <w:rsid w:val="00C866C3"/>
    <w:rsid w:val="00C86825"/>
    <w:rsid w:val="00C86E93"/>
    <w:rsid w:val="00C8728E"/>
    <w:rsid w:val="00C91395"/>
    <w:rsid w:val="00C9268E"/>
    <w:rsid w:val="00C92DFC"/>
    <w:rsid w:val="00C93362"/>
    <w:rsid w:val="00C9642B"/>
    <w:rsid w:val="00C96FF3"/>
    <w:rsid w:val="00C9728C"/>
    <w:rsid w:val="00CA034F"/>
    <w:rsid w:val="00CA0D7F"/>
    <w:rsid w:val="00CA2825"/>
    <w:rsid w:val="00CA29B4"/>
    <w:rsid w:val="00CA3E3C"/>
    <w:rsid w:val="00CA3E8C"/>
    <w:rsid w:val="00CA4C63"/>
    <w:rsid w:val="00CA5C51"/>
    <w:rsid w:val="00CA7C6A"/>
    <w:rsid w:val="00CB3354"/>
    <w:rsid w:val="00CB3636"/>
    <w:rsid w:val="00CB403A"/>
    <w:rsid w:val="00CB42AD"/>
    <w:rsid w:val="00CB42B2"/>
    <w:rsid w:val="00CB5741"/>
    <w:rsid w:val="00CB584E"/>
    <w:rsid w:val="00CB5C3A"/>
    <w:rsid w:val="00CB628A"/>
    <w:rsid w:val="00CB6308"/>
    <w:rsid w:val="00CB6C8E"/>
    <w:rsid w:val="00CC0F7B"/>
    <w:rsid w:val="00CC1C26"/>
    <w:rsid w:val="00CC2A49"/>
    <w:rsid w:val="00CC2A5F"/>
    <w:rsid w:val="00CC315B"/>
    <w:rsid w:val="00CC3D70"/>
    <w:rsid w:val="00CC5352"/>
    <w:rsid w:val="00CC6E06"/>
    <w:rsid w:val="00CD0DF1"/>
    <w:rsid w:val="00CD12DC"/>
    <w:rsid w:val="00CD1522"/>
    <w:rsid w:val="00CD1B43"/>
    <w:rsid w:val="00CD2C41"/>
    <w:rsid w:val="00CD4030"/>
    <w:rsid w:val="00CD415E"/>
    <w:rsid w:val="00CD4732"/>
    <w:rsid w:val="00CD5094"/>
    <w:rsid w:val="00CD5B84"/>
    <w:rsid w:val="00CD5D35"/>
    <w:rsid w:val="00CD66A2"/>
    <w:rsid w:val="00CD696F"/>
    <w:rsid w:val="00CD6DE4"/>
    <w:rsid w:val="00CD6DFC"/>
    <w:rsid w:val="00CD7E2E"/>
    <w:rsid w:val="00CE0B79"/>
    <w:rsid w:val="00CE1090"/>
    <w:rsid w:val="00CE1CDA"/>
    <w:rsid w:val="00CE202F"/>
    <w:rsid w:val="00CE22BF"/>
    <w:rsid w:val="00CE29D3"/>
    <w:rsid w:val="00CE2AFC"/>
    <w:rsid w:val="00CE2CB2"/>
    <w:rsid w:val="00CE2FD0"/>
    <w:rsid w:val="00CE31BC"/>
    <w:rsid w:val="00CE4A97"/>
    <w:rsid w:val="00CE602C"/>
    <w:rsid w:val="00CE658F"/>
    <w:rsid w:val="00CF0A19"/>
    <w:rsid w:val="00CF0F93"/>
    <w:rsid w:val="00CF1FD1"/>
    <w:rsid w:val="00CF3860"/>
    <w:rsid w:val="00CF649E"/>
    <w:rsid w:val="00CF6CA1"/>
    <w:rsid w:val="00CF76AA"/>
    <w:rsid w:val="00D00D66"/>
    <w:rsid w:val="00D010FC"/>
    <w:rsid w:val="00D014C2"/>
    <w:rsid w:val="00D0155D"/>
    <w:rsid w:val="00D02321"/>
    <w:rsid w:val="00D027FA"/>
    <w:rsid w:val="00D033DC"/>
    <w:rsid w:val="00D04F30"/>
    <w:rsid w:val="00D05C2D"/>
    <w:rsid w:val="00D060DA"/>
    <w:rsid w:val="00D073E9"/>
    <w:rsid w:val="00D111DA"/>
    <w:rsid w:val="00D11B32"/>
    <w:rsid w:val="00D11D3F"/>
    <w:rsid w:val="00D11E86"/>
    <w:rsid w:val="00D122E8"/>
    <w:rsid w:val="00D15689"/>
    <w:rsid w:val="00D159F1"/>
    <w:rsid w:val="00D171D3"/>
    <w:rsid w:val="00D17FE5"/>
    <w:rsid w:val="00D21AC7"/>
    <w:rsid w:val="00D221A6"/>
    <w:rsid w:val="00D23887"/>
    <w:rsid w:val="00D24625"/>
    <w:rsid w:val="00D24C04"/>
    <w:rsid w:val="00D2599A"/>
    <w:rsid w:val="00D2617D"/>
    <w:rsid w:val="00D27AA8"/>
    <w:rsid w:val="00D31FD0"/>
    <w:rsid w:val="00D3213E"/>
    <w:rsid w:val="00D32584"/>
    <w:rsid w:val="00D32DD8"/>
    <w:rsid w:val="00D33F00"/>
    <w:rsid w:val="00D34DB7"/>
    <w:rsid w:val="00D35B2E"/>
    <w:rsid w:val="00D36105"/>
    <w:rsid w:val="00D363EB"/>
    <w:rsid w:val="00D378F1"/>
    <w:rsid w:val="00D40203"/>
    <w:rsid w:val="00D40B7D"/>
    <w:rsid w:val="00D40D13"/>
    <w:rsid w:val="00D42014"/>
    <w:rsid w:val="00D42030"/>
    <w:rsid w:val="00D4287A"/>
    <w:rsid w:val="00D43C67"/>
    <w:rsid w:val="00D45F5B"/>
    <w:rsid w:val="00D460E4"/>
    <w:rsid w:val="00D46A12"/>
    <w:rsid w:val="00D46B80"/>
    <w:rsid w:val="00D46F33"/>
    <w:rsid w:val="00D47421"/>
    <w:rsid w:val="00D47FBB"/>
    <w:rsid w:val="00D518CF"/>
    <w:rsid w:val="00D53754"/>
    <w:rsid w:val="00D538F9"/>
    <w:rsid w:val="00D53DC8"/>
    <w:rsid w:val="00D541FE"/>
    <w:rsid w:val="00D5673F"/>
    <w:rsid w:val="00D60A7C"/>
    <w:rsid w:val="00D61F41"/>
    <w:rsid w:val="00D62BB9"/>
    <w:rsid w:val="00D6328A"/>
    <w:rsid w:val="00D635AD"/>
    <w:rsid w:val="00D63792"/>
    <w:rsid w:val="00D643D9"/>
    <w:rsid w:val="00D64763"/>
    <w:rsid w:val="00D66455"/>
    <w:rsid w:val="00D66980"/>
    <w:rsid w:val="00D66E49"/>
    <w:rsid w:val="00D70678"/>
    <w:rsid w:val="00D71B6E"/>
    <w:rsid w:val="00D71FE8"/>
    <w:rsid w:val="00D7298E"/>
    <w:rsid w:val="00D73C62"/>
    <w:rsid w:val="00D73FE3"/>
    <w:rsid w:val="00D74267"/>
    <w:rsid w:val="00D7548E"/>
    <w:rsid w:val="00D7574A"/>
    <w:rsid w:val="00D766E6"/>
    <w:rsid w:val="00D777B9"/>
    <w:rsid w:val="00D77BDB"/>
    <w:rsid w:val="00D80FB0"/>
    <w:rsid w:val="00D81620"/>
    <w:rsid w:val="00D81C38"/>
    <w:rsid w:val="00D84C37"/>
    <w:rsid w:val="00D85E4C"/>
    <w:rsid w:val="00D903A3"/>
    <w:rsid w:val="00D908F9"/>
    <w:rsid w:val="00D910EB"/>
    <w:rsid w:val="00D9130E"/>
    <w:rsid w:val="00D91379"/>
    <w:rsid w:val="00D91695"/>
    <w:rsid w:val="00D92078"/>
    <w:rsid w:val="00D92357"/>
    <w:rsid w:val="00D935B4"/>
    <w:rsid w:val="00D940A2"/>
    <w:rsid w:val="00D9460C"/>
    <w:rsid w:val="00D94731"/>
    <w:rsid w:val="00D95022"/>
    <w:rsid w:val="00D964E6"/>
    <w:rsid w:val="00D9770A"/>
    <w:rsid w:val="00DA030A"/>
    <w:rsid w:val="00DA1454"/>
    <w:rsid w:val="00DA1AE7"/>
    <w:rsid w:val="00DA1B44"/>
    <w:rsid w:val="00DA203B"/>
    <w:rsid w:val="00DA27B5"/>
    <w:rsid w:val="00DA30EC"/>
    <w:rsid w:val="00DA4426"/>
    <w:rsid w:val="00DA44A8"/>
    <w:rsid w:val="00DA4620"/>
    <w:rsid w:val="00DA4700"/>
    <w:rsid w:val="00DA48AA"/>
    <w:rsid w:val="00DA49BA"/>
    <w:rsid w:val="00DB12D1"/>
    <w:rsid w:val="00DB29C2"/>
    <w:rsid w:val="00DB30D6"/>
    <w:rsid w:val="00DB41B1"/>
    <w:rsid w:val="00DB6398"/>
    <w:rsid w:val="00DB7217"/>
    <w:rsid w:val="00DB7C36"/>
    <w:rsid w:val="00DC0B9F"/>
    <w:rsid w:val="00DC2CF4"/>
    <w:rsid w:val="00DC50DB"/>
    <w:rsid w:val="00DC55D7"/>
    <w:rsid w:val="00DC6029"/>
    <w:rsid w:val="00DD093D"/>
    <w:rsid w:val="00DD372A"/>
    <w:rsid w:val="00DD3B23"/>
    <w:rsid w:val="00DD4B6B"/>
    <w:rsid w:val="00DD4D40"/>
    <w:rsid w:val="00DD4D85"/>
    <w:rsid w:val="00DD5865"/>
    <w:rsid w:val="00DD5BC3"/>
    <w:rsid w:val="00DD6CDB"/>
    <w:rsid w:val="00DD6E0F"/>
    <w:rsid w:val="00DD7AB6"/>
    <w:rsid w:val="00DE073A"/>
    <w:rsid w:val="00DE0AEC"/>
    <w:rsid w:val="00DE0EAC"/>
    <w:rsid w:val="00DE127A"/>
    <w:rsid w:val="00DE2209"/>
    <w:rsid w:val="00DE24AD"/>
    <w:rsid w:val="00DE257C"/>
    <w:rsid w:val="00DE2792"/>
    <w:rsid w:val="00DE40B6"/>
    <w:rsid w:val="00DE5B3F"/>
    <w:rsid w:val="00DE68AE"/>
    <w:rsid w:val="00DF1A09"/>
    <w:rsid w:val="00DF29EB"/>
    <w:rsid w:val="00DF2CD1"/>
    <w:rsid w:val="00DF30BF"/>
    <w:rsid w:val="00DF34D0"/>
    <w:rsid w:val="00DF57B4"/>
    <w:rsid w:val="00DF5D2F"/>
    <w:rsid w:val="00DF7056"/>
    <w:rsid w:val="00DF7120"/>
    <w:rsid w:val="00DF7E30"/>
    <w:rsid w:val="00DF7F56"/>
    <w:rsid w:val="00DF7FC5"/>
    <w:rsid w:val="00E000AB"/>
    <w:rsid w:val="00E02B26"/>
    <w:rsid w:val="00E042AA"/>
    <w:rsid w:val="00E042DE"/>
    <w:rsid w:val="00E044A6"/>
    <w:rsid w:val="00E04E48"/>
    <w:rsid w:val="00E06016"/>
    <w:rsid w:val="00E076E6"/>
    <w:rsid w:val="00E07C1A"/>
    <w:rsid w:val="00E10A12"/>
    <w:rsid w:val="00E12F54"/>
    <w:rsid w:val="00E13EDF"/>
    <w:rsid w:val="00E141AA"/>
    <w:rsid w:val="00E14900"/>
    <w:rsid w:val="00E15FD0"/>
    <w:rsid w:val="00E1792F"/>
    <w:rsid w:val="00E17B54"/>
    <w:rsid w:val="00E21029"/>
    <w:rsid w:val="00E21D56"/>
    <w:rsid w:val="00E2295F"/>
    <w:rsid w:val="00E22AA5"/>
    <w:rsid w:val="00E230B7"/>
    <w:rsid w:val="00E23785"/>
    <w:rsid w:val="00E23AE0"/>
    <w:rsid w:val="00E24DF1"/>
    <w:rsid w:val="00E24FED"/>
    <w:rsid w:val="00E26D3F"/>
    <w:rsid w:val="00E27792"/>
    <w:rsid w:val="00E27CB3"/>
    <w:rsid w:val="00E27D9D"/>
    <w:rsid w:val="00E31A30"/>
    <w:rsid w:val="00E3258C"/>
    <w:rsid w:val="00E33197"/>
    <w:rsid w:val="00E35306"/>
    <w:rsid w:val="00E362D9"/>
    <w:rsid w:val="00E36684"/>
    <w:rsid w:val="00E36A51"/>
    <w:rsid w:val="00E37149"/>
    <w:rsid w:val="00E374B1"/>
    <w:rsid w:val="00E37A83"/>
    <w:rsid w:val="00E42543"/>
    <w:rsid w:val="00E43057"/>
    <w:rsid w:val="00E4372B"/>
    <w:rsid w:val="00E43A1D"/>
    <w:rsid w:val="00E43F72"/>
    <w:rsid w:val="00E43FB9"/>
    <w:rsid w:val="00E4408C"/>
    <w:rsid w:val="00E442EB"/>
    <w:rsid w:val="00E44B1A"/>
    <w:rsid w:val="00E44BD7"/>
    <w:rsid w:val="00E46834"/>
    <w:rsid w:val="00E46A14"/>
    <w:rsid w:val="00E46EC2"/>
    <w:rsid w:val="00E50AA0"/>
    <w:rsid w:val="00E50C07"/>
    <w:rsid w:val="00E5267E"/>
    <w:rsid w:val="00E52932"/>
    <w:rsid w:val="00E5330C"/>
    <w:rsid w:val="00E54160"/>
    <w:rsid w:val="00E54A9E"/>
    <w:rsid w:val="00E563C0"/>
    <w:rsid w:val="00E60B6D"/>
    <w:rsid w:val="00E60C19"/>
    <w:rsid w:val="00E60DD8"/>
    <w:rsid w:val="00E6110B"/>
    <w:rsid w:val="00E61260"/>
    <w:rsid w:val="00E64380"/>
    <w:rsid w:val="00E65B31"/>
    <w:rsid w:val="00E67764"/>
    <w:rsid w:val="00E7032F"/>
    <w:rsid w:val="00E7200E"/>
    <w:rsid w:val="00E73028"/>
    <w:rsid w:val="00E75D9E"/>
    <w:rsid w:val="00E76868"/>
    <w:rsid w:val="00E7689E"/>
    <w:rsid w:val="00E7792D"/>
    <w:rsid w:val="00E82970"/>
    <w:rsid w:val="00E843F6"/>
    <w:rsid w:val="00E865C9"/>
    <w:rsid w:val="00E86BD0"/>
    <w:rsid w:val="00E86FAA"/>
    <w:rsid w:val="00E87AA1"/>
    <w:rsid w:val="00E90857"/>
    <w:rsid w:val="00E91C7D"/>
    <w:rsid w:val="00E921DE"/>
    <w:rsid w:val="00E931D6"/>
    <w:rsid w:val="00E939BA"/>
    <w:rsid w:val="00E93E32"/>
    <w:rsid w:val="00E93F21"/>
    <w:rsid w:val="00E94221"/>
    <w:rsid w:val="00E943F1"/>
    <w:rsid w:val="00E9493C"/>
    <w:rsid w:val="00E94A6A"/>
    <w:rsid w:val="00E94F39"/>
    <w:rsid w:val="00E9537C"/>
    <w:rsid w:val="00E95651"/>
    <w:rsid w:val="00E96755"/>
    <w:rsid w:val="00E974A3"/>
    <w:rsid w:val="00EA0B2B"/>
    <w:rsid w:val="00EA0C0C"/>
    <w:rsid w:val="00EA15CF"/>
    <w:rsid w:val="00EA254C"/>
    <w:rsid w:val="00EA3162"/>
    <w:rsid w:val="00EA32DF"/>
    <w:rsid w:val="00EA3F62"/>
    <w:rsid w:val="00EA5E58"/>
    <w:rsid w:val="00EA77A9"/>
    <w:rsid w:val="00EA7DDE"/>
    <w:rsid w:val="00EB008C"/>
    <w:rsid w:val="00EB0DF4"/>
    <w:rsid w:val="00EB1647"/>
    <w:rsid w:val="00EB2E18"/>
    <w:rsid w:val="00EB4C9F"/>
    <w:rsid w:val="00EB4E21"/>
    <w:rsid w:val="00EB6320"/>
    <w:rsid w:val="00EB654E"/>
    <w:rsid w:val="00EB68AB"/>
    <w:rsid w:val="00EB73D9"/>
    <w:rsid w:val="00EC0A18"/>
    <w:rsid w:val="00EC2FE9"/>
    <w:rsid w:val="00EC5CA5"/>
    <w:rsid w:val="00EC62D1"/>
    <w:rsid w:val="00EC6863"/>
    <w:rsid w:val="00EC7842"/>
    <w:rsid w:val="00ED09D8"/>
    <w:rsid w:val="00ED0AB1"/>
    <w:rsid w:val="00ED23F1"/>
    <w:rsid w:val="00ED2E04"/>
    <w:rsid w:val="00ED3A8C"/>
    <w:rsid w:val="00ED4CA4"/>
    <w:rsid w:val="00ED4FE3"/>
    <w:rsid w:val="00ED583E"/>
    <w:rsid w:val="00ED5FA7"/>
    <w:rsid w:val="00ED66A2"/>
    <w:rsid w:val="00EE0E59"/>
    <w:rsid w:val="00EE140C"/>
    <w:rsid w:val="00EE30C5"/>
    <w:rsid w:val="00EE3350"/>
    <w:rsid w:val="00EE492D"/>
    <w:rsid w:val="00EE5C06"/>
    <w:rsid w:val="00EE5D83"/>
    <w:rsid w:val="00EE6C59"/>
    <w:rsid w:val="00EF109B"/>
    <w:rsid w:val="00EF119B"/>
    <w:rsid w:val="00EF1B31"/>
    <w:rsid w:val="00EF1EFC"/>
    <w:rsid w:val="00EF216C"/>
    <w:rsid w:val="00EF2257"/>
    <w:rsid w:val="00EF23DF"/>
    <w:rsid w:val="00EF253A"/>
    <w:rsid w:val="00EF26A2"/>
    <w:rsid w:val="00EF27AC"/>
    <w:rsid w:val="00EF292E"/>
    <w:rsid w:val="00EF3AE1"/>
    <w:rsid w:val="00EF3BC6"/>
    <w:rsid w:val="00EF40A4"/>
    <w:rsid w:val="00EF4448"/>
    <w:rsid w:val="00EF7636"/>
    <w:rsid w:val="00F007E6"/>
    <w:rsid w:val="00F02353"/>
    <w:rsid w:val="00F02437"/>
    <w:rsid w:val="00F02710"/>
    <w:rsid w:val="00F036BC"/>
    <w:rsid w:val="00F03938"/>
    <w:rsid w:val="00F03ABF"/>
    <w:rsid w:val="00F04F3F"/>
    <w:rsid w:val="00F0659E"/>
    <w:rsid w:val="00F0684B"/>
    <w:rsid w:val="00F071D3"/>
    <w:rsid w:val="00F107F5"/>
    <w:rsid w:val="00F10B7B"/>
    <w:rsid w:val="00F10DCE"/>
    <w:rsid w:val="00F10E21"/>
    <w:rsid w:val="00F130C5"/>
    <w:rsid w:val="00F133C1"/>
    <w:rsid w:val="00F14F98"/>
    <w:rsid w:val="00F15954"/>
    <w:rsid w:val="00F15BA9"/>
    <w:rsid w:val="00F163E0"/>
    <w:rsid w:val="00F20057"/>
    <w:rsid w:val="00F204B8"/>
    <w:rsid w:val="00F2232A"/>
    <w:rsid w:val="00F242AE"/>
    <w:rsid w:val="00F2533B"/>
    <w:rsid w:val="00F2600B"/>
    <w:rsid w:val="00F27D8E"/>
    <w:rsid w:val="00F307BD"/>
    <w:rsid w:val="00F315F2"/>
    <w:rsid w:val="00F32199"/>
    <w:rsid w:val="00F3246F"/>
    <w:rsid w:val="00F3276E"/>
    <w:rsid w:val="00F32BAF"/>
    <w:rsid w:val="00F32D07"/>
    <w:rsid w:val="00F33B75"/>
    <w:rsid w:val="00F33BD7"/>
    <w:rsid w:val="00F34C86"/>
    <w:rsid w:val="00F3569E"/>
    <w:rsid w:val="00F36EE8"/>
    <w:rsid w:val="00F4071D"/>
    <w:rsid w:val="00F4122D"/>
    <w:rsid w:val="00F417E3"/>
    <w:rsid w:val="00F44328"/>
    <w:rsid w:val="00F44C9C"/>
    <w:rsid w:val="00F45350"/>
    <w:rsid w:val="00F45CE3"/>
    <w:rsid w:val="00F47BDD"/>
    <w:rsid w:val="00F52777"/>
    <w:rsid w:val="00F53DAF"/>
    <w:rsid w:val="00F54AB3"/>
    <w:rsid w:val="00F5595B"/>
    <w:rsid w:val="00F5671F"/>
    <w:rsid w:val="00F60607"/>
    <w:rsid w:val="00F61216"/>
    <w:rsid w:val="00F61D49"/>
    <w:rsid w:val="00F62BB8"/>
    <w:rsid w:val="00F63098"/>
    <w:rsid w:val="00F65248"/>
    <w:rsid w:val="00F70019"/>
    <w:rsid w:val="00F70421"/>
    <w:rsid w:val="00F70B26"/>
    <w:rsid w:val="00F71258"/>
    <w:rsid w:val="00F712F7"/>
    <w:rsid w:val="00F71CFB"/>
    <w:rsid w:val="00F71D47"/>
    <w:rsid w:val="00F71F00"/>
    <w:rsid w:val="00F72A65"/>
    <w:rsid w:val="00F73CC3"/>
    <w:rsid w:val="00F7407F"/>
    <w:rsid w:val="00F74C38"/>
    <w:rsid w:val="00F757F2"/>
    <w:rsid w:val="00F7687C"/>
    <w:rsid w:val="00F768E4"/>
    <w:rsid w:val="00F77C24"/>
    <w:rsid w:val="00F80391"/>
    <w:rsid w:val="00F80B83"/>
    <w:rsid w:val="00F81BF1"/>
    <w:rsid w:val="00F820CC"/>
    <w:rsid w:val="00F8273D"/>
    <w:rsid w:val="00F8500A"/>
    <w:rsid w:val="00F85C4A"/>
    <w:rsid w:val="00F900FA"/>
    <w:rsid w:val="00F906CC"/>
    <w:rsid w:val="00F92928"/>
    <w:rsid w:val="00F93AF6"/>
    <w:rsid w:val="00F93F5F"/>
    <w:rsid w:val="00F948DF"/>
    <w:rsid w:val="00F94D61"/>
    <w:rsid w:val="00F956E2"/>
    <w:rsid w:val="00F9578A"/>
    <w:rsid w:val="00F97288"/>
    <w:rsid w:val="00FA07A1"/>
    <w:rsid w:val="00FA0C35"/>
    <w:rsid w:val="00FA1573"/>
    <w:rsid w:val="00FA21D1"/>
    <w:rsid w:val="00FA3444"/>
    <w:rsid w:val="00FA357C"/>
    <w:rsid w:val="00FA4594"/>
    <w:rsid w:val="00FA4964"/>
    <w:rsid w:val="00FA4DC1"/>
    <w:rsid w:val="00FA62C6"/>
    <w:rsid w:val="00FA6476"/>
    <w:rsid w:val="00FA7130"/>
    <w:rsid w:val="00FA7614"/>
    <w:rsid w:val="00FA7EBE"/>
    <w:rsid w:val="00FA7F8F"/>
    <w:rsid w:val="00FB0A33"/>
    <w:rsid w:val="00FB120D"/>
    <w:rsid w:val="00FB413F"/>
    <w:rsid w:val="00FB5031"/>
    <w:rsid w:val="00FB534D"/>
    <w:rsid w:val="00FB5BC1"/>
    <w:rsid w:val="00FB6A45"/>
    <w:rsid w:val="00FC06BC"/>
    <w:rsid w:val="00FC09AD"/>
    <w:rsid w:val="00FC1518"/>
    <w:rsid w:val="00FC2B24"/>
    <w:rsid w:val="00FC34EC"/>
    <w:rsid w:val="00FC3DBF"/>
    <w:rsid w:val="00FC4745"/>
    <w:rsid w:val="00FC5302"/>
    <w:rsid w:val="00FC5AD6"/>
    <w:rsid w:val="00FC5FF4"/>
    <w:rsid w:val="00FC605E"/>
    <w:rsid w:val="00FC6203"/>
    <w:rsid w:val="00FC63C0"/>
    <w:rsid w:val="00FC7453"/>
    <w:rsid w:val="00FC7BE8"/>
    <w:rsid w:val="00FD04F6"/>
    <w:rsid w:val="00FD0D17"/>
    <w:rsid w:val="00FD0F2C"/>
    <w:rsid w:val="00FD12DD"/>
    <w:rsid w:val="00FD1858"/>
    <w:rsid w:val="00FD21C7"/>
    <w:rsid w:val="00FD3C99"/>
    <w:rsid w:val="00FD3FD1"/>
    <w:rsid w:val="00FE11BF"/>
    <w:rsid w:val="00FE1E0B"/>
    <w:rsid w:val="00FE2C49"/>
    <w:rsid w:val="00FE4319"/>
    <w:rsid w:val="00FE4B95"/>
    <w:rsid w:val="00FE60ED"/>
    <w:rsid w:val="00FE621F"/>
    <w:rsid w:val="00FE6A21"/>
    <w:rsid w:val="00FE7F75"/>
    <w:rsid w:val="00FF08A2"/>
    <w:rsid w:val="00FF0DCE"/>
    <w:rsid w:val="00FF21DF"/>
    <w:rsid w:val="00FF27F1"/>
    <w:rsid w:val="00FF30F5"/>
    <w:rsid w:val="00FF4B05"/>
    <w:rsid w:val="00FF604F"/>
    <w:rsid w:val="00FF60F7"/>
    <w:rsid w:val="00FF6584"/>
    <w:rsid w:val="00FF7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5050,#ba1467,#7c0e45,purple"/>
    </o:shapedefaults>
    <o:shapelayout v:ext="edit">
      <o:idmap v:ext="edit" data="1"/>
    </o:shapelayout>
  </w:shapeDefaults>
  <w:decimalSymbol w:val="."/>
  <w:listSeparator w:val=","/>
  <w14:docId w14:val="14EA993F"/>
  <w15:docId w15:val="{A966AB11-42F8-4967-B6A5-87F2139C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338"/>
    <w:pPr>
      <w:spacing w:before="120" w:line="220" w:lineRule="atLeast"/>
    </w:pPr>
    <w:rPr>
      <w:rFonts w:ascii="Arial" w:hAnsi="Arial"/>
      <w:lang w:eastAsia="en-US"/>
    </w:rPr>
  </w:style>
  <w:style w:type="paragraph" w:styleId="Heading1">
    <w:name w:val="heading 1"/>
    <w:basedOn w:val="Normal"/>
    <w:next w:val="NumPara"/>
    <w:link w:val="Heading1Char"/>
    <w:qFormat/>
    <w:rsid w:val="00587ECE"/>
    <w:pPr>
      <w:keepNext/>
      <w:spacing w:before="240" w:after="60"/>
      <w:outlineLvl w:val="0"/>
    </w:pPr>
    <w:rPr>
      <w:rFonts w:cs="Arial"/>
      <w:b/>
      <w:bCs/>
      <w:kern w:val="32"/>
      <w:sz w:val="28"/>
      <w:szCs w:val="32"/>
    </w:rPr>
  </w:style>
  <w:style w:type="paragraph" w:styleId="Heading2">
    <w:name w:val="heading 2"/>
    <w:basedOn w:val="Normal"/>
    <w:next w:val="NumPara"/>
    <w:link w:val="Heading2Char"/>
    <w:qFormat/>
    <w:rsid w:val="00587ECE"/>
    <w:pPr>
      <w:keepNext/>
      <w:outlineLvl w:val="1"/>
    </w:pPr>
    <w:rPr>
      <w:rFonts w:cs="Arial"/>
      <w:b/>
      <w:bCs/>
      <w:i/>
      <w:iCs/>
      <w:sz w:val="24"/>
      <w:szCs w:val="28"/>
    </w:rPr>
  </w:style>
  <w:style w:type="paragraph" w:styleId="Heading3">
    <w:name w:val="heading 3"/>
    <w:basedOn w:val="Normal"/>
    <w:next w:val="NumPara"/>
    <w:autoRedefine/>
    <w:qFormat/>
    <w:rsid w:val="00587ECE"/>
    <w:pPr>
      <w:keepNext/>
      <w:outlineLvl w:val="2"/>
    </w:pPr>
    <w:rPr>
      <w:rFonts w:cs="Arial"/>
      <w:b/>
      <w:bCs/>
      <w:szCs w:val="26"/>
    </w:rPr>
  </w:style>
  <w:style w:type="paragraph" w:styleId="Heading4">
    <w:name w:val="heading 4"/>
    <w:basedOn w:val="Normal"/>
    <w:next w:val="NumPara"/>
    <w:autoRedefine/>
    <w:qFormat/>
    <w:rsid w:val="00587ECE"/>
    <w:pPr>
      <w:keepNext/>
      <w:spacing w:after="60"/>
      <w:outlineLvl w:val="3"/>
    </w:pPr>
    <w:rPr>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Para">
    <w:name w:val="NumPara"/>
    <w:basedOn w:val="Normal"/>
    <w:link w:val="NumParaChar"/>
    <w:rsid w:val="0000619B"/>
    <w:pPr>
      <w:numPr>
        <w:numId w:val="1"/>
      </w:numPr>
      <w:spacing w:before="60" w:after="60"/>
    </w:pPr>
  </w:style>
  <w:style w:type="paragraph" w:styleId="FootnoteText">
    <w:name w:val="footnote text"/>
    <w:basedOn w:val="Normal"/>
    <w:link w:val="FootnoteTextChar"/>
    <w:autoRedefine/>
    <w:semiHidden/>
    <w:rsid w:val="00587ECE"/>
    <w:pPr>
      <w:spacing w:before="60"/>
    </w:pPr>
    <w:rPr>
      <w:sz w:val="16"/>
    </w:rPr>
  </w:style>
  <w:style w:type="paragraph" w:styleId="Header">
    <w:name w:val="header"/>
    <w:basedOn w:val="Normal"/>
    <w:rsid w:val="00587ECE"/>
    <w:pPr>
      <w:tabs>
        <w:tab w:val="center" w:pos="4678"/>
        <w:tab w:val="right" w:pos="9356"/>
      </w:tabs>
    </w:pPr>
    <w:rPr>
      <w:b/>
      <w:sz w:val="24"/>
    </w:rPr>
  </w:style>
  <w:style w:type="paragraph" w:styleId="Footer">
    <w:name w:val="footer"/>
    <w:basedOn w:val="Normal"/>
    <w:link w:val="FooterChar"/>
    <w:uiPriority w:val="99"/>
    <w:rsid w:val="00587ECE"/>
    <w:pPr>
      <w:tabs>
        <w:tab w:val="center" w:pos="4678"/>
        <w:tab w:val="right" w:pos="9356"/>
      </w:tabs>
    </w:pPr>
  </w:style>
  <w:style w:type="paragraph" w:styleId="EndnoteText">
    <w:name w:val="endnote text"/>
    <w:basedOn w:val="Normal"/>
    <w:semiHidden/>
    <w:rsid w:val="00587ECE"/>
  </w:style>
  <w:style w:type="paragraph" w:styleId="TOC1">
    <w:name w:val="toc 1"/>
    <w:basedOn w:val="Normal"/>
    <w:next w:val="Normal"/>
    <w:autoRedefine/>
    <w:uiPriority w:val="39"/>
    <w:rsid w:val="00587ECE"/>
  </w:style>
  <w:style w:type="paragraph" w:customStyle="1" w:styleId="sub-para">
    <w:name w:val="sub-para"/>
    <w:basedOn w:val="Normal"/>
    <w:link w:val="sub-paraChar"/>
    <w:autoRedefine/>
    <w:rsid w:val="00762DBF"/>
    <w:pPr>
      <w:spacing w:before="60" w:after="60"/>
      <w:ind w:left="851" w:hanging="284"/>
    </w:pPr>
  </w:style>
  <w:style w:type="paragraph" w:customStyle="1" w:styleId="TableEntry">
    <w:name w:val="TableEntry"/>
    <w:basedOn w:val="Normal"/>
    <w:rsid w:val="00587ECE"/>
    <w:pPr>
      <w:spacing w:before="60" w:after="60"/>
    </w:pPr>
    <w:rPr>
      <w:sz w:val="16"/>
    </w:rPr>
  </w:style>
  <w:style w:type="paragraph" w:customStyle="1" w:styleId="Follower">
    <w:name w:val="Follower"/>
    <w:basedOn w:val="sub-para"/>
    <w:autoRedefine/>
    <w:rsid w:val="001253F4"/>
    <w:pPr>
      <w:tabs>
        <w:tab w:val="left" w:pos="851"/>
      </w:tabs>
      <w:ind w:left="567" w:firstLine="0"/>
    </w:pPr>
  </w:style>
  <w:style w:type="paragraph" w:customStyle="1" w:styleId="TableHeading">
    <w:name w:val="Table Heading"/>
    <w:basedOn w:val="TableEntry"/>
    <w:next w:val="TableEntry"/>
    <w:rsid w:val="00587ECE"/>
    <w:rPr>
      <w:b/>
    </w:rPr>
  </w:style>
  <w:style w:type="paragraph" w:customStyle="1" w:styleId="ReportTitle">
    <w:name w:val="Report Title"/>
    <w:basedOn w:val="Heading1"/>
    <w:next w:val="Heading1"/>
    <w:rsid w:val="00587ECE"/>
    <w:pPr>
      <w:spacing w:before="0"/>
    </w:pPr>
  </w:style>
  <w:style w:type="paragraph" w:customStyle="1" w:styleId="Author">
    <w:name w:val="Author"/>
    <w:basedOn w:val="Heading1"/>
    <w:next w:val="Heading1"/>
    <w:rsid w:val="00587ECE"/>
    <w:pPr>
      <w:spacing w:before="120"/>
    </w:pPr>
    <w:rPr>
      <w:b w:val="0"/>
      <w:sz w:val="24"/>
    </w:rPr>
  </w:style>
  <w:style w:type="character" w:styleId="EndnoteReference">
    <w:name w:val="endnote reference"/>
    <w:basedOn w:val="DefaultParagraphFont"/>
    <w:semiHidden/>
    <w:rsid w:val="00587ECE"/>
    <w:rPr>
      <w:vertAlign w:val="superscript"/>
    </w:rPr>
  </w:style>
  <w:style w:type="character" w:styleId="FootnoteReference">
    <w:name w:val="footnote reference"/>
    <w:basedOn w:val="DefaultParagraphFont"/>
    <w:semiHidden/>
    <w:rsid w:val="00587ECE"/>
    <w:rPr>
      <w:vertAlign w:val="superscript"/>
    </w:rPr>
  </w:style>
  <w:style w:type="paragraph" w:styleId="TOC2">
    <w:name w:val="toc 2"/>
    <w:basedOn w:val="Normal"/>
    <w:next w:val="Normal"/>
    <w:autoRedefine/>
    <w:uiPriority w:val="39"/>
    <w:rsid w:val="00587ECE"/>
    <w:pPr>
      <w:ind w:left="200"/>
    </w:pPr>
  </w:style>
  <w:style w:type="character" w:styleId="PageNumber">
    <w:name w:val="page number"/>
    <w:basedOn w:val="DefaultParagraphFont"/>
    <w:rsid w:val="00587ECE"/>
  </w:style>
  <w:style w:type="character" w:styleId="Hyperlink">
    <w:name w:val="Hyperlink"/>
    <w:basedOn w:val="DefaultParagraphFont"/>
    <w:rsid w:val="00587ECE"/>
    <w:rPr>
      <w:color w:val="0000FF"/>
      <w:u w:val="single"/>
    </w:rPr>
  </w:style>
  <w:style w:type="paragraph" w:styleId="Caption">
    <w:name w:val="caption"/>
    <w:basedOn w:val="Normal"/>
    <w:next w:val="Normal"/>
    <w:link w:val="CaptionChar"/>
    <w:qFormat/>
    <w:rsid w:val="00020653"/>
    <w:pPr>
      <w:spacing w:after="120"/>
    </w:pPr>
    <w:rPr>
      <w:b/>
      <w:bCs/>
    </w:rPr>
  </w:style>
  <w:style w:type="table" w:styleId="TableGrid">
    <w:name w:val="Table Grid"/>
    <w:basedOn w:val="TableNormal"/>
    <w:uiPriority w:val="59"/>
    <w:rsid w:val="00131E50"/>
    <w:pPr>
      <w:spacing w:before="12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3F61"/>
    <w:rPr>
      <w:rFonts w:ascii="Arial" w:hAnsi="Arial" w:cs="Arial"/>
      <w:b/>
      <w:bCs/>
      <w:i/>
      <w:iCs/>
      <w:sz w:val="24"/>
      <w:szCs w:val="28"/>
      <w:lang w:val="en-GB" w:eastAsia="en-US" w:bidi="ar-SA"/>
    </w:rPr>
  </w:style>
  <w:style w:type="character" w:customStyle="1" w:styleId="Heading1Char">
    <w:name w:val="Heading 1 Char"/>
    <w:basedOn w:val="DefaultParagraphFont"/>
    <w:link w:val="Heading1"/>
    <w:rsid w:val="00710646"/>
    <w:rPr>
      <w:rFonts w:ascii="Arial" w:hAnsi="Arial" w:cs="Arial"/>
      <w:b/>
      <w:bCs/>
      <w:kern w:val="32"/>
      <w:sz w:val="28"/>
      <w:szCs w:val="32"/>
      <w:lang w:val="en-GB" w:eastAsia="en-US" w:bidi="ar-SA"/>
    </w:rPr>
  </w:style>
  <w:style w:type="paragraph" w:styleId="BalloonText">
    <w:name w:val="Balloon Text"/>
    <w:basedOn w:val="Normal"/>
    <w:semiHidden/>
    <w:rsid w:val="00231F76"/>
    <w:rPr>
      <w:rFonts w:ascii="Tahoma" w:hAnsi="Tahoma" w:cs="Tahoma"/>
      <w:sz w:val="16"/>
      <w:szCs w:val="16"/>
    </w:rPr>
  </w:style>
  <w:style w:type="character" w:styleId="CommentReference">
    <w:name w:val="annotation reference"/>
    <w:basedOn w:val="DefaultParagraphFont"/>
    <w:semiHidden/>
    <w:rsid w:val="00EE5C06"/>
    <w:rPr>
      <w:sz w:val="16"/>
      <w:szCs w:val="16"/>
    </w:rPr>
  </w:style>
  <w:style w:type="paragraph" w:styleId="CommentText">
    <w:name w:val="annotation text"/>
    <w:basedOn w:val="Normal"/>
    <w:semiHidden/>
    <w:rsid w:val="00EE5C06"/>
  </w:style>
  <w:style w:type="paragraph" w:styleId="CommentSubject">
    <w:name w:val="annotation subject"/>
    <w:basedOn w:val="CommentText"/>
    <w:next w:val="CommentText"/>
    <w:semiHidden/>
    <w:rsid w:val="00EE5C06"/>
    <w:rPr>
      <w:b/>
      <w:bCs/>
    </w:rPr>
  </w:style>
  <w:style w:type="paragraph" w:customStyle="1" w:styleId="NormalParagraphStyle">
    <w:name w:val="NormalParagraphStyle"/>
    <w:basedOn w:val="Normal"/>
    <w:rsid w:val="005830FB"/>
    <w:pPr>
      <w:autoSpaceDE w:val="0"/>
      <w:autoSpaceDN w:val="0"/>
      <w:adjustRightInd w:val="0"/>
      <w:spacing w:before="0" w:line="288" w:lineRule="auto"/>
    </w:pPr>
    <w:rPr>
      <w:rFonts w:ascii="Times New Roman" w:hAnsi="Times New Roman"/>
      <w:color w:val="000000"/>
      <w:sz w:val="24"/>
      <w:szCs w:val="24"/>
    </w:rPr>
  </w:style>
  <w:style w:type="character" w:styleId="FollowedHyperlink">
    <w:name w:val="FollowedHyperlink"/>
    <w:basedOn w:val="DefaultParagraphFont"/>
    <w:rsid w:val="007145E9"/>
    <w:rPr>
      <w:color w:val="800080"/>
      <w:u w:val="single"/>
    </w:rPr>
  </w:style>
  <w:style w:type="character" w:customStyle="1" w:styleId="EmailStyle42">
    <w:name w:val="EmailStyle42"/>
    <w:basedOn w:val="DefaultParagraphFont"/>
    <w:semiHidden/>
    <w:rsid w:val="005D301B"/>
    <w:rPr>
      <w:rFonts w:ascii="Arial" w:hAnsi="Arial" w:cs="Arial"/>
      <w:color w:val="auto"/>
      <w:sz w:val="20"/>
      <w:szCs w:val="20"/>
    </w:rPr>
  </w:style>
  <w:style w:type="character" w:customStyle="1" w:styleId="NumParaChar">
    <w:name w:val="NumPara Char"/>
    <w:basedOn w:val="DefaultParagraphFont"/>
    <w:link w:val="NumPara"/>
    <w:rsid w:val="000C5134"/>
    <w:rPr>
      <w:rFonts w:ascii="Arial" w:hAnsi="Arial"/>
      <w:lang w:eastAsia="en-US"/>
    </w:rPr>
  </w:style>
  <w:style w:type="paragraph" w:customStyle="1" w:styleId="Bullet">
    <w:name w:val="Bullet"/>
    <w:basedOn w:val="Normal"/>
    <w:autoRedefine/>
    <w:rsid w:val="006F6693"/>
    <w:pPr>
      <w:numPr>
        <w:numId w:val="2"/>
      </w:numPr>
      <w:tabs>
        <w:tab w:val="clear" w:pos="927"/>
        <w:tab w:val="left" w:pos="851"/>
      </w:tabs>
      <w:spacing w:before="60"/>
    </w:pPr>
  </w:style>
  <w:style w:type="character" w:customStyle="1" w:styleId="sub-paraChar">
    <w:name w:val="sub-para Char"/>
    <w:basedOn w:val="DefaultParagraphFont"/>
    <w:link w:val="sub-para"/>
    <w:rsid w:val="00762DBF"/>
    <w:rPr>
      <w:rFonts w:ascii="Arial" w:hAnsi="Arial"/>
      <w:lang w:eastAsia="en-US"/>
    </w:rPr>
  </w:style>
  <w:style w:type="character" w:customStyle="1" w:styleId="taghighlight1">
    <w:name w:val="taghighlight1"/>
    <w:basedOn w:val="DefaultParagraphFont"/>
    <w:rsid w:val="00EE3350"/>
    <w:rPr>
      <w:b/>
      <w:bCs/>
    </w:rPr>
  </w:style>
  <w:style w:type="paragraph" w:styleId="PlainText">
    <w:name w:val="Plain Text"/>
    <w:basedOn w:val="Normal"/>
    <w:link w:val="PlainTextChar"/>
    <w:rsid w:val="00F73CC3"/>
    <w:pPr>
      <w:spacing w:before="0" w:line="240" w:lineRule="auto"/>
    </w:pPr>
    <w:rPr>
      <w:rFonts w:ascii="Courier New" w:hAnsi="Courier New" w:cs="Courier New"/>
      <w:lang w:eastAsia="en-GB"/>
    </w:rPr>
  </w:style>
  <w:style w:type="character" w:customStyle="1" w:styleId="PlainTextChar">
    <w:name w:val="Plain Text Char"/>
    <w:basedOn w:val="DefaultParagraphFont"/>
    <w:link w:val="PlainText"/>
    <w:rsid w:val="00F73CC3"/>
    <w:rPr>
      <w:rFonts w:ascii="Courier New" w:hAnsi="Courier New" w:cs="Courier New"/>
    </w:rPr>
  </w:style>
  <w:style w:type="paragraph" w:styleId="ListParagraph">
    <w:name w:val="List Paragraph"/>
    <w:basedOn w:val="Normal"/>
    <w:uiPriority w:val="34"/>
    <w:qFormat/>
    <w:rsid w:val="007A50CE"/>
    <w:pPr>
      <w:ind w:left="720"/>
      <w:contextualSpacing/>
    </w:pPr>
  </w:style>
  <w:style w:type="character" w:customStyle="1" w:styleId="CaptionChar">
    <w:name w:val="Caption Char"/>
    <w:basedOn w:val="DefaultParagraphFont"/>
    <w:link w:val="Caption"/>
    <w:rsid w:val="00FA4594"/>
    <w:rPr>
      <w:rFonts w:ascii="Arial" w:hAnsi="Arial"/>
      <w:b/>
      <w:bCs/>
      <w:lang w:eastAsia="en-US"/>
    </w:rPr>
  </w:style>
  <w:style w:type="paragraph" w:styleId="Revision">
    <w:name w:val="Revision"/>
    <w:hidden/>
    <w:uiPriority w:val="99"/>
    <w:semiHidden/>
    <w:rsid w:val="005212D0"/>
    <w:rPr>
      <w:rFonts w:ascii="Arial" w:hAnsi="Arial"/>
      <w:lang w:eastAsia="en-US"/>
    </w:rPr>
  </w:style>
  <w:style w:type="character" w:customStyle="1" w:styleId="FootnoteTextChar">
    <w:name w:val="Footnote Text Char"/>
    <w:basedOn w:val="DefaultParagraphFont"/>
    <w:link w:val="FootnoteText"/>
    <w:semiHidden/>
    <w:rsid w:val="00BC4EA4"/>
    <w:rPr>
      <w:rFonts w:ascii="Arial" w:hAnsi="Arial"/>
      <w:sz w:val="16"/>
      <w:lang w:eastAsia="en-US"/>
    </w:rPr>
  </w:style>
  <w:style w:type="paragraph" w:styleId="NormalWeb">
    <w:name w:val="Normal (Web)"/>
    <w:basedOn w:val="Normal"/>
    <w:uiPriority w:val="99"/>
    <w:unhideWhenUsed/>
    <w:rsid w:val="00CD6DE4"/>
    <w:pPr>
      <w:spacing w:before="100" w:beforeAutospacing="1" w:after="100" w:afterAutospacing="1" w:line="240" w:lineRule="auto"/>
    </w:pPr>
    <w:rPr>
      <w:rFonts w:ascii="Times New Roman" w:hAnsi="Times New Roman"/>
      <w:sz w:val="24"/>
      <w:szCs w:val="24"/>
      <w:lang w:eastAsia="en-GB"/>
    </w:rPr>
  </w:style>
  <w:style w:type="paragraph" w:customStyle="1" w:styleId="Dissertation">
    <w:name w:val="Dissertation"/>
    <w:basedOn w:val="Normal"/>
    <w:link w:val="DissertationChar"/>
    <w:qFormat/>
    <w:rsid w:val="00621385"/>
    <w:pPr>
      <w:spacing w:before="0" w:after="200" w:line="240" w:lineRule="auto"/>
    </w:pPr>
    <w:rPr>
      <w:rFonts w:eastAsiaTheme="minorHAnsi" w:cs="Arial"/>
      <w:sz w:val="24"/>
      <w:szCs w:val="24"/>
    </w:rPr>
  </w:style>
  <w:style w:type="character" w:customStyle="1" w:styleId="DissertationChar">
    <w:name w:val="Dissertation Char"/>
    <w:basedOn w:val="DefaultParagraphFont"/>
    <w:link w:val="Dissertation"/>
    <w:rsid w:val="00621385"/>
    <w:rPr>
      <w:rFonts w:ascii="Arial" w:eastAsiaTheme="minorHAnsi" w:hAnsi="Arial" w:cs="Arial"/>
      <w:sz w:val="24"/>
      <w:szCs w:val="24"/>
      <w:lang w:eastAsia="en-US"/>
    </w:rPr>
  </w:style>
  <w:style w:type="character" w:customStyle="1" w:styleId="FooterChar">
    <w:name w:val="Footer Char"/>
    <w:basedOn w:val="DefaultParagraphFont"/>
    <w:link w:val="Footer"/>
    <w:uiPriority w:val="99"/>
    <w:rsid w:val="008F4194"/>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7226">
      <w:bodyDiv w:val="1"/>
      <w:marLeft w:val="0"/>
      <w:marRight w:val="0"/>
      <w:marTop w:val="0"/>
      <w:marBottom w:val="0"/>
      <w:divBdr>
        <w:top w:val="none" w:sz="0" w:space="0" w:color="auto"/>
        <w:left w:val="none" w:sz="0" w:space="0" w:color="auto"/>
        <w:bottom w:val="none" w:sz="0" w:space="0" w:color="auto"/>
        <w:right w:val="none" w:sz="0" w:space="0" w:color="auto"/>
      </w:divBdr>
    </w:div>
    <w:div w:id="88280398">
      <w:bodyDiv w:val="1"/>
      <w:marLeft w:val="0"/>
      <w:marRight w:val="0"/>
      <w:marTop w:val="0"/>
      <w:marBottom w:val="0"/>
      <w:divBdr>
        <w:top w:val="none" w:sz="0" w:space="0" w:color="auto"/>
        <w:left w:val="none" w:sz="0" w:space="0" w:color="auto"/>
        <w:bottom w:val="none" w:sz="0" w:space="0" w:color="auto"/>
        <w:right w:val="none" w:sz="0" w:space="0" w:color="auto"/>
      </w:divBdr>
      <w:divsChild>
        <w:div w:id="1351443767">
          <w:marLeft w:val="0"/>
          <w:marRight w:val="0"/>
          <w:marTop w:val="0"/>
          <w:marBottom w:val="0"/>
          <w:divBdr>
            <w:top w:val="none" w:sz="0" w:space="0" w:color="auto"/>
            <w:left w:val="none" w:sz="0" w:space="0" w:color="auto"/>
            <w:bottom w:val="none" w:sz="0" w:space="0" w:color="auto"/>
            <w:right w:val="none" w:sz="0" w:space="0" w:color="auto"/>
          </w:divBdr>
          <w:divsChild>
            <w:div w:id="757946753">
              <w:marLeft w:val="0"/>
              <w:marRight w:val="0"/>
              <w:marTop w:val="0"/>
              <w:marBottom w:val="0"/>
              <w:divBdr>
                <w:top w:val="none" w:sz="0" w:space="0" w:color="auto"/>
                <w:left w:val="none" w:sz="0" w:space="0" w:color="auto"/>
                <w:bottom w:val="none" w:sz="0" w:space="0" w:color="auto"/>
                <w:right w:val="none" w:sz="0" w:space="0" w:color="auto"/>
              </w:divBdr>
              <w:divsChild>
                <w:div w:id="281881679">
                  <w:marLeft w:val="0"/>
                  <w:marRight w:val="0"/>
                  <w:marTop w:val="0"/>
                  <w:marBottom w:val="0"/>
                  <w:divBdr>
                    <w:top w:val="none" w:sz="0" w:space="0" w:color="auto"/>
                    <w:left w:val="none" w:sz="0" w:space="0" w:color="auto"/>
                    <w:bottom w:val="none" w:sz="0" w:space="0" w:color="auto"/>
                    <w:right w:val="none" w:sz="0" w:space="0" w:color="auto"/>
                  </w:divBdr>
                </w:div>
                <w:div w:id="454328175">
                  <w:marLeft w:val="0"/>
                  <w:marRight w:val="0"/>
                  <w:marTop w:val="0"/>
                  <w:marBottom w:val="0"/>
                  <w:divBdr>
                    <w:top w:val="none" w:sz="0" w:space="0" w:color="auto"/>
                    <w:left w:val="none" w:sz="0" w:space="0" w:color="auto"/>
                    <w:bottom w:val="none" w:sz="0" w:space="0" w:color="auto"/>
                    <w:right w:val="none" w:sz="0" w:space="0" w:color="auto"/>
                  </w:divBdr>
                </w:div>
                <w:div w:id="930507217">
                  <w:marLeft w:val="0"/>
                  <w:marRight w:val="0"/>
                  <w:marTop w:val="0"/>
                  <w:marBottom w:val="0"/>
                  <w:divBdr>
                    <w:top w:val="none" w:sz="0" w:space="0" w:color="auto"/>
                    <w:left w:val="none" w:sz="0" w:space="0" w:color="auto"/>
                    <w:bottom w:val="none" w:sz="0" w:space="0" w:color="auto"/>
                    <w:right w:val="none" w:sz="0" w:space="0" w:color="auto"/>
                  </w:divBdr>
                </w:div>
                <w:div w:id="1735591234">
                  <w:marLeft w:val="0"/>
                  <w:marRight w:val="0"/>
                  <w:marTop w:val="0"/>
                  <w:marBottom w:val="0"/>
                  <w:divBdr>
                    <w:top w:val="none" w:sz="0" w:space="0" w:color="auto"/>
                    <w:left w:val="none" w:sz="0" w:space="0" w:color="auto"/>
                    <w:bottom w:val="none" w:sz="0" w:space="0" w:color="auto"/>
                    <w:right w:val="none" w:sz="0" w:space="0" w:color="auto"/>
                  </w:divBdr>
                </w:div>
                <w:div w:id="18090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0994">
      <w:bodyDiv w:val="1"/>
      <w:marLeft w:val="0"/>
      <w:marRight w:val="0"/>
      <w:marTop w:val="0"/>
      <w:marBottom w:val="0"/>
      <w:divBdr>
        <w:top w:val="none" w:sz="0" w:space="0" w:color="auto"/>
        <w:left w:val="none" w:sz="0" w:space="0" w:color="auto"/>
        <w:bottom w:val="none" w:sz="0" w:space="0" w:color="auto"/>
        <w:right w:val="none" w:sz="0" w:space="0" w:color="auto"/>
      </w:divBdr>
      <w:divsChild>
        <w:div w:id="755135590">
          <w:marLeft w:val="0"/>
          <w:marRight w:val="0"/>
          <w:marTop w:val="0"/>
          <w:marBottom w:val="0"/>
          <w:divBdr>
            <w:top w:val="none" w:sz="0" w:space="0" w:color="auto"/>
            <w:left w:val="none" w:sz="0" w:space="0" w:color="auto"/>
            <w:bottom w:val="none" w:sz="0" w:space="0" w:color="auto"/>
            <w:right w:val="none" w:sz="0" w:space="0" w:color="auto"/>
          </w:divBdr>
          <w:divsChild>
            <w:div w:id="461390741">
              <w:marLeft w:val="0"/>
              <w:marRight w:val="0"/>
              <w:marTop w:val="0"/>
              <w:marBottom w:val="0"/>
              <w:divBdr>
                <w:top w:val="none" w:sz="0" w:space="0" w:color="auto"/>
                <w:left w:val="none" w:sz="0" w:space="0" w:color="auto"/>
                <w:bottom w:val="none" w:sz="0" w:space="0" w:color="auto"/>
                <w:right w:val="none" w:sz="0" w:space="0" w:color="auto"/>
              </w:divBdr>
            </w:div>
            <w:div w:id="681510914">
              <w:marLeft w:val="0"/>
              <w:marRight w:val="0"/>
              <w:marTop w:val="0"/>
              <w:marBottom w:val="0"/>
              <w:divBdr>
                <w:top w:val="none" w:sz="0" w:space="0" w:color="auto"/>
                <w:left w:val="none" w:sz="0" w:space="0" w:color="auto"/>
                <w:bottom w:val="none" w:sz="0" w:space="0" w:color="auto"/>
                <w:right w:val="none" w:sz="0" w:space="0" w:color="auto"/>
              </w:divBdr>
            </w:div>
            <w:div w:id="750155925">
              <w:marLeft w:val="0"/>
              <w:marRight w:val="0"/>
              <w:marTop w:val="0"/>
              <w:marBottom w:val="0"/>
              <w:divBdr>
                <w:top w:val="none" w:sz="0" w:space="0" w:color="auto"/>
                <w:left w:val="none" w:sz="0" w:space="0" w:color="auto"/>
                <w:bottom w:val="none" w:sz="0" w:space="0" w:color="auto"/>
                <w:right w:val="none" w:sz="0" w:space="0" w:color="auto"/>
              </w:divBdr>
            </w:div>
            <w:div w:id="1161582717">
              <w:marLeft w:val="0"/>
              <w:marRight w:val="0"/>
              <w:marTop w:val="0"/>
              <w:marBottom w:val="0"/>
              <w:divBdr>
                <w:top w:val="none" w:sz="0" w:space="0" w:color="auto"/>
                <w:left w:val="none" w:sz="0" w:space="0" w:color="auto"/>
                <w:bottom w:val="none" w:sz="0" w:space="0" w:color="auto"/>
                <w:right w:val="none" w:sz="0" w:space="0" w:color="auto"/>
              </w:divBdr>
            </w:div>
            <w:div w:id="1449544346">
              <w:marLeft w:val="0"/>
              <w:marRight w:val="0"/>
              <w:marTop w:val="0"/>
              <w:marBottom w:val="0"/>
              <w:divBdr>
                <w:top w:val="none" w:sz="0" w:space="0" w:color="auto"/>
                <w:left w:val="none" w:sz="0" w:space="0" w:color="auto"/>
                <w:bottom w:val="none" w:sz="0" w:space="0" w:color="auto"/>
                <w:right w:val="none" w:sz="0" w:space="0" w:color="auto"/>
              </w:divBdr>
            </w:div>
            <w:div w:id="16093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2832">
      <w:bodyDiv w:val="1"/>
      <w:marLeft w:val="0"/>
      <w:marRight w:val="0"/>
      <w:marTop w:val="0"/>
      <w:marBottom w:val="0"/>
      <w:divBdr>
        <w:top w:val="none" w:sz="0" w:space="0" w:color="auto"/>
        <w:left w:val="none" w:sz="0" w:space="0" w:color="auto"/>
        <w:bottom w:val="none" w:sz="0" w:space="0" w:color="auto"/>
        <w:right w:val="none" w:sz="0" w:space="0" w:color="auto"/>
      </w:divBdr>
    </w:div>
    <w:div w:id="206795567">
      <w:bodyDiv w:val="1"/>
      <w:marLeft w:val="0"/>
      <w:marRight w:val="0"/>
      <w:marTop w:val="0"/>
      <w:marBottom w:val="0"/>
      <w:divBdr>
        <w:top w:val="none" w:sz="0" w:space="0" w:color="auto"/>
        <w:left w:val="none" w:sz="0" w:space="0" w:color="auto"/>
        <w:bottom w:val="none" w:sz="0" w:space="0" w:color="auto"/>
        <w:right w:val="none" w:sz="0" w:space="0" w:color="auto"/>
      </w:divBdr>
    </w:div>
    <w:div w:id="234314935">
      <w:bodyDiv w:val="1"/>
      <w:marLeft w:val="0"/>
      <w:marRight w:val="0"/>
      <w:marTop w:val="0"/>
      <w:marBottom w:val="0"/>
      <w:divBdr>
        <w:top w:val="none" w:sz="0" w:space="0" w:color="auto"/>
        <w:left w:val="none" w:sz="0" w:space="0" w:color="auto"/>
        <w:bottom w:val="none" w:sz="0" w:space="0" w:color="auto"/>
        <w:right w:val="none" w:sz="0" w:space="0" w:color="auto"/>
      </w:divBdr>
    </w:div>
    <w:div w:id="319581470">
      <w:bodyDiv w:val="1"/>
      <w:marLeft w:val="0"/>
      <w:marRight w:val="0"/>
      <w:marTop w:val="0"/>
      <w:marBottom w:val="0"/>
      <w:divBdr>
        <w:top w:val="none" w:sz="0" w:space="0" w:color="auto"/>
        <w:left w:val="none" w:sz="0" w:space="0" w:color="auto"/>
        <w:bottom w:val="none" w:sz="0" w:space="0" w:color="auto"/>
        <w:right w:val="none" w:sz="0" w:space="0" w:color="auto"/>
      </w:divBdr>
    </w:div>
    <w:div w:id="361319525">
      <w:bodyDiv w:val="1"/>
      <w:marLeft w:val="0"/>
      <w:marRight w:val="0"/>
      <w:marTop w:val="0"/>
      <w:marBottom w:val="0"/>
      <w:divBdr>
        <w:top w:val="none" w:sz="0" w:space="0" w:color="auto"/>
        <w:left w:val="none" w:sz="0" w:space="0" w:color="auto"/>
        <w:bottom w:val="none" w:sz="0" w:space="0" w:color="auto"/>
        <w:right w:val="none" w:sz="0" w:space="0" w:color="auto"/>
      </w:divBdr>
      <w:divsChild>
        <w:div w:id="175656275">
          <w:marLeft w:val="0"/>
          <w:marRight w:val="0"/>
          <w:marTop w:val="0"/>
          <w:marBottom w:val="0"/>
          <w:divBdr>
            <w:top w:val="none" w:sz="0" w:space="0" w:color="auto"/>
            <w:left w:val="none" w:sz="0" w:space="0" w:color="auto"/>
            <w:bottom w:val="none" w:sz="0" w:space="0" w:color="auto"/>
            <w:right w:val="none" w:sz="0" w:space="0" w:color="auto"/>
          </w:divBdr>
        </w:div>
        <w:div w:id="270087426">
          <w:marLeft w:val="0"/>
          <w:marRight w:val="0"/>
          <w:marTop w:val="0"/>
          <w:marBottom w:val="0"/>
          <w:divBdr>
            <w:top w:val="none" w:sz="0" w:space="0" w:color="auto"/>
            <w:left w:val="none" w:sz="0" w:space="0" w:color="auto"/>
            <w:bottom w:val="none" w:sz="0" w:space="0" w:color="auto"/>
            <w:right w:val="none" w:sz="0" w:space="0" w:color="auto"/>
          </w:divBdr>
        </w:div>
        <w:div w:id="324631456">
          <w:marLeft w:val="0"/>
          <w:marRight w:val="0"/>
          <w:marTop w:val="0"/>
          <w:marBottom w:val="0"/>
          <w:divBdr>
            <w:top w:val="none" w:sz="0" w:space="0" w:color="auto"/>
            <w:left w:val="none" w:sz="0" w:space="0" w:color="auto"/>
            <w:bottom w:val="none" w:sz="0" w:space="0" w:color="auto"/>
            <w:right w:val="none" w:sz="0" w:space="0" w:color="auto"/>
          </w:divBdr>
        </w:div>
        <w:div w:id="356271892">
          <w:marLeft w:val="0"/>
          <w:marRight w:val="0"/>
          <w:marTop w:val="0"/>
          <w:marBottom w:val="0"/>
          <w:divBdr>
            <w:top w:val="none" w:sz="0" w:space="0" w:color="auto"/>
            <w:left w:val="none" w:sz="0" w:space="0" w:color="auto"/>
            <w:bottom w:val="none" w:sz="0" w:space="0" w:color="auto"/>
            <w:right w:val="none" w:sz="0" w:space="0" w:color="auto"/>
          </w:divBdr>
        </w:div>
        <w:div w:id="360128632">
          <w:marLeft w:val="0"/>
          <w:marRight w:val="0"/>
          <w:marTop w:val="0"/>
          <w:marBottom w:val="0"/>
          <w:divBdr>
            <w:top w:val="none" w:sz="0" w:space="0" w:color="auto"/>
            <w:left w:val="none" w:sz="0" w:space="0" w:color="auto"/>
            <w:bottom w:val="none" w:sz="0" w:space="0" w:color="auto"/>
            <w:right w:val="none" w:sz="0" w:space="0" w:color="auto"/>
          </w:divBdr>
        </w:div>
        <w:div w:id="362442607">
          <w:marLeft w:val="0"/>
          <w:marRight w:val="0"/>
          <w:marTop w:val="0"/>
          <w:marBottom w:val="0"/>
          <w:divBdr>
            <w:top w:val="none" w:sz="0" w:space="0" w:color="auto"/>
            <w:left w:val="none" w:sz="0" w:space="0" w:color="auto"/>
            <w:bottom w:val="none" w:sz="0" w:space="0" w:color="auto"/>
            <w:right w:val="none" w:sz="0" w:space="0" w:color="auto"/>
          </w:divBdr>
        </w:div>
        <w:div w:id="533692130">
          <w:marLeft w:val="0"/>
          <w:marRight w:val="0"/>
          <w:marTop w:val="0"/>
          <w:marBottom w:val="0"/>
          <w:divBdr>
            <w:top w:val="none" w:sz="0" w:space="0" w:color="auto"/>
            <w:left w:val="none" w:sz="0" w:space="0" w:color="auto"/>
            <w:bottom w:val="none" w:sz="0" w:space="0" w:color="auto"/>
            <w:right w:val="none" w:sz="0" w:space="0" w:color="auto"/>
          </w:divBdr>
        </w:div>
        <w:div w:id="570120372">
          <w:marLeft w:val="0"/>
          <w:marRight w:val="0"/>
          <w:marTop w:val="0"/>
          <w:marBottom w:val="0"/>
          <w:divBdr>
            <w:top w:val="none" w:sz="0" w:space="0" w:color="auto"/>
            <w:left w:val="none" w:sz="0" w:space="0" w:color="auto"/>
            <w:bottom w:val="none" w:sz="0" w:space="0" w:color="auto"/>
            <w:right w:val="none" w:sz="0" w:space="0" w:color="auto"/>
          </w:divBdr>
        </w:div>
        <w:div w:id="824316242">
          <w:marLeft w:val="0"/>
          <w:marRight w:val="0"/>
          <w:marTop w:val="0"/>
          <w:marBottom w:val="0"/>
          <w:divBdr>
            <w:top w:val="none" w:sz="0" w:space="0" w:color="auto"/>
            <w:left w:val="none" w:sz="0" w:space="0" w:color="auto"/>
            <w:bottom w:val="none" w:sz="0" w:space="0" w:color="auto"/>
            <w:right w:val="none" w:sz="0" w:space="0" w:color="auto"/>
          </w:divBdr>
        </w:div>
        <w:div w:id="883323912">
          <w:marLeft w:val="0"/>
          <w:marRight w:val="0"/>
          <w:marTop w:val="0"/>
          <w:marBottom w:val="0"/>
          <w:divBdr>
            <w:top w:val="none" w:sz="0" w:space="0" w:color="auto"/>
            <w:left w:val="none" w:sz="0" w:space="0" w:color="auto"/>
            <w:bottom w:val="none" w:sz="0" w:space="0" w:color="auto"/>
            <w:right w:val="none" w:sz="0" w:space="0" w:color="auto"/>
          </w:divBdr>
        </w:div>
        <w:div w:id="1126895428">
          <w:marLeft w:val="0"/>
          <w:marRight w:val="0"/>
          <w:marTop w:val="0"/>
          <w:marBottom w:val="0"/>
          <w:divBdr>
            <w:top w:val="none" w:sz="0" w:space="0" w:color="auto"/>
            <w:left w:val="none" w:sz="0" w:space="0" w:color="auto"/>
            <w:bottom w:val="none" w:sz="0" w:space="0" w:color="auto"/>
            <w:right w:val="none" w:sz="0" w:space="0" w:color="auto"/>
          </w:divBdr>
        </w:div>
        <w:div w:id="1413965726">
          <w:marLeft w:val="0"/>
          <w:marRight w:val="0"/>
          <w:marTop w:val="0"/>
          <w:marBottom w:val="0"/>
          <w:divBdr>
            <w:top w:val="none" w:sz="0" w:space="0" w:color="auto"/>
            <w:left w:val="none" w:sz="0" w:space="0" w:color="auto"/>
            <w:bottom w:val="none" w:sz="0" w:space="0" w:color="auto"/>
            <w:right w:val="none" w:sz="0" w:space="0" w:color="auto"/>
          </w:divBdr>
        </w:div>
        <w:div w:id="1647196727">
          <w:marLeft w:val="0"/>
          <w:marRight w:val="0"/>
          <w:marTop w:val="0"/>
          <w:marBottom w:val="0"/>
          <w:divBdr>
            <w:top w:val="none" w:sz="0" w:space="0" w:color="auto"/>
            <w:left w:val="none" w:sz="0" w:space="0" w:color="auto"/>
            <w:bottom w:val="none" w:sz="0" w:space="0" w:color="auto"/>
            <w:right w:val="none" w:sz="0" w:space="0" w:color="auto"/>
          </w:divBdr>
        </w:div>
        <w:div w:id="1676767133">
          <w:marLeft w:val="0"/>
          <w:marRight w:val="0"/>
          <w:marTop w:val="0"/>
          <w:marBottom w:val="0"/>
          <w:divBdr>
            <w:top w:val="none" w:sz="0" w:space="0" w:color="auto"/>
            <w:left w:val="none" w:sz="0" w:space="0" w:color="auto"/>
            <w:bottom w:val="none" w:sz="0" w:space="0" w:color="auto"/>
            <w:right w:val="none" w:sz="0" w:space="0" w:color="auto"/>
          </w:divBdr>
        </w:div>
        <w:div w:id="1864900168">
          <w:marLeft w:val="0"/>
          <w:marRight w:val="0"/>
          <w:marTop w:val="0"/>
          <w:marBottom w:val="0"/>
          <w:divBdr>
            <w:top w:val="none" w:sz="0" w:space="0" w:color="auto"/>
            <w:left w:val="none" w:sz="0" w:space="0" w:color="auto"/>
            <w:bottom w:val="none" w:sz="0" w:space="0" w:color="auto"/>
            <w:right w:val="none" w:sz="0" w:space="0" w:color="auto"/>
          </w:divBdr>
        </w:div>
        <w:div w:id="1974751595">
          <w:marLeft w:val="0"/>
          <w:marRight w:val="0"/>
          <w:marTop w:val="0"/>
          <w:marBottom w:val="0"/>
          <w:divBdr>
            <w:top w:val="none" w:sz="0" w:space="0" w:color="auto"/>
            <w:left w:val="none" w:sz="0" w:space="0" w:color="auto"/>
            <w:bottom w:val="none" w:sz="0" w:space="0" w:color="auto"/>
            <w:right w:val="none" w:sz="0" w:space="0" w:color="auto"/>
          </w:divBdr>
        </w:div>
        <w:div w:id="1979338246">
          <w:marLeft w:val="0"/>
          <w:marRight w:val="0"/>
          <w:marTop w:val="0"/>
          <w:marBottom w:val="0"/>
          <w:divBdr>
            <w:top w:val="none" w:sz="0" w:space="0" w:color="auto"/>
            <w:left w:val="none" w:sz="0" w:space="0" w:color="auto"/>
            <w:bottom w:val="none" w:sz="0" w:space="0" w:color="auto"/>
            <w:right w:val="none" w:sz="0" w:space="0" w:color="auto"/>
          </w:divBdr>
        </w:div>
        <w:div w:id="2091344800">
          <w:marLeft w:val="0"/>
          <w:marRight w:val="0"/>
          <w:marTop w:val="0"/>
          <w:marBottom w:val="0"/>
          <w:divBdr>
            <w:top w:val="none" w:sz="0" w:space="0" w:color="auto"/>
            <w:left w:val="none" w:sz="0" w:space="0" w:color="auto"/>
            <w:bottom w:val="none" w:sz="0" w:space="0" w:color="auto"/>
            <w:right w:val="none" w:sz="0" w:space="0" w:color="auto"/>
          </w:divBdr>
        </w:div>
      </w:divsChild>
    </w:div>
    <w:div w:id="466896467">
      <w:bodyDiv w:val="1"/>
      <w:marLeft w:val="0"/>
      <w:marRight w:val="0"/>
      <w:marTop w:val="0"/>
      <w:marBottom w:val="0"/>
      <w:divBdr>
        <w:top w:val="none" w:sz="0" w:space="0" w:color="auto"/>
        <w:left w:val="none" w:sz="0" w:space="0" w:color="auto"/>
        <w:bottom w:val="none" w:sz="0" w:space="0" w:color="auto"/>
        <w:right w:val="none" w:sz="0" w:space="0" w:color="auto"/>
      </w:divBdr>
    </w:div>
    <w:div w:id="467866177">
      <w:bodyDiv w:val="1"/>
      <w:marLeft w:val="0"/>
      <w:marRight w:val="0"/>
      <w:marTop w:val="0"/>
      <w:marBottom w:val="0"/>
      <w:divBdr>
        <w:top w:val="none" w:sz="0" w:space="0" w:color="auto"/>
        <w:left w:val="none" w:sz="0" w:space="0" w:color="auto"/>
        <w:bottom w:val="none" w:sz="0" w:space="0" w:color="auto"/>
        <w:right w:val="none" w:sz="0" w:space="0" w:color="auto"/>
      </w:divBdr>
      <w:divsChild>
        <w:div w:id="49965627">
          <w:marLeft w:val="0"/>
          <w:marRight w:val="0"/>
          <w:marTop w:val="0"/>
          <w:marBottom w:val="0"/>
          <w:divBdr>
            <w:top w:val="none" w:sz="0" w:space="0" w:color="auto"/>
            <w:left w:val="none" w:sz="0" w:space="0" w:color="auto"/>
            <w:bottom w:val="none" w:sz="0" w:space="0" w:color="auto"/>
            <w:right w:val="none" w:sz="0" w:space="0" w:color="auto"/>
          </w:divBdr>
        </w:div>
        <w:div w:id="67963054">
          <w:marLeft w:val="0"/>
          <w:marRight w:val="0"/>
          <w:marTop w:val="0"/>
          <w:marBottom w:val="0"/>
          <w:divBdr>
            <w:top w:val="none" w:sz="0" w:space="0" w:color="auto"/>
            <w:left w:val="none" w:sz="0" w:space="0" w:color="auto"/>
            <w:bottom w:val="none" w:sz="0" w:space="0" w:color="auto"/>
            <w:right w:val="none" w:sz="0" w:space="0" w:color="auto"/>
          </w:divBdr>
        </w:div>
        <w:div w:id="87847945">
          <w:marLeft w:val="0"/>
          <w:marRight w:val="0"/>
          <w:marTop w:val="0"/>
          <w:marBottom w:val="0"/>
          <w:divBdr>
            <w:top w:val="none" w:sz="0" w:space="0" w:color="auto"/>
            <w:left w:val="none" w:sz="0" w:space="0" w:color="auto"/>
            <w:bottom w:val="none" w:sz="0" w:space="0" w:color="auto"/>
            <w:right w:val="none" w:sz="0" w:space="0" w:color="auto"/>
          </w:divBdr>
        </w:div>
        <w:div w:id="261886961">
          <w:marLeft w:val="0"/>
          <w:marRight w:val="0"/>
          <w:marTop w:val="0"/>
          <w:marBottom w:val="0"/>
          <w:divBdr>
            <w:top w:val="none" w:sz="0" w:space="0" w:color="auto"/>
            <w:left w:val="none" w:sz="0" w:space="0" w:color="auto"/>
            <w:bottom w:val="none" w:sz="0" w:space="0" w:color="auto"/>
            <w:right w:val="none" w:sz="0" w:space="0" w:color="auto"/>
          </w:divBdr>
        </w:div>
        <w:div w:id="337391146">
          <w:marLeft w:val="0"/>
          <w:marRight w:val="0"/>
          <w:marTop w:val="0"/>
          <w:marBottom w:val="0"/>
          <w:divBdr>
            <w:top w:val="none" w:sz="0" w:space="0" w:color="auto"/>
            <w:left w:val="none" w:sz="0" w:space="0" w:color="auto"/>
            <w:bottom w:val="none" w:sz="0" w:space="0" w:color="auto"/>
            <w:right w:val="none" w:sz="0" w:space="0" w:color="auto"/>
          </w:divBdr>
        </w:div>
        <w:div w:id="505050553">
          <w:marLeft w:val="0"/>
          <w:marRight w:val="0"/>
          <w:marTop w:val="0"/>
          <w:marBottom w:val="0"/>
          <w:divBdr>
            <w:top w:val="none" w:sz="0" w:space="0" w:color="auto"/>
            <w:left w:val="none" w:sz="0" w:space="0" w:color="auto"/>
            <w:bottom w:val="none" w:sz="0" w:space="0" w:color="auto"/>
            <w:right w:val="none" w:sz="0" w:space="0" w:color="auto"/>
          </w:divBdr>
        </w:div>
        <w:div w:id="544560087">
          <w:marLeft w:val="0"/>
          <w:marRight w:val="0"/>
          <w:marTop w:val="0"/>
          <w:marBottom w:val="0"/>
          <w:divBdr>
            <w:top w:val="none" w:sz="0" w:space="0" w:color="auto"/>
            <w:left w:val="none" w:sz="0" w:space="0" w:color="auto"/>
            <w:bottom w:val="none" w:sz="0" w:space="0" w:color="auto"/>
            <w:right w:val="none" w:sz="0" w:space="0" w:color="auto"/>
          </w:divBdr>
        </w:div>
        <w:div w:id="903956705">
          <w:marLeft w:val="0"/>
          <w:marRight w:val="0"/>
          <w:marTop w:val="0"/>
          <w:marBottom w:val="0"/>
          <w:divBdr>
            <w:top w:val="none" w:sz="0" w:space="0" w:color="auto"/>
            <w:left w:val="none" w:sz="0" w:space="0" w:color="auto"/>
            <w:bottom w:val="none" w:sz="0" w:space="0" w:color="auto"/>
            <w:right w:val="none" w:sz="0" w:space="0" w:color="auto"/>
          </w:divBdr>
        </w:div>
        <w:div w:id="1645961640">
          <w:marLeft w:val="0"/>
          <w:marRight w:val="0"/>
          <w:marTop w:val="0"/>
          <w:marBottom w:val="0"/>
          <w:divBdr>
            <w:top w:val="none" w:sz="0" w:space="0" w:color="auto"/>
            <w:left w:val="none" w:sz="0" w:space="0" w:color="auto"/>
            <w:bottom w:val="none" w:sz="0" w:space="0" w:color="auto"/>
            <w:right w:val="none" w:sz="0" w:space="0" w:color="auto"/>
          </w:divBdr>
        </w:div>
        <w:div w:id="2010673230">
          <w:marLeft w:val="0"/>
          <w:marRight w:val="0"/>
          <w:marTop w:val="0"/>
          <w:marBottom w:val="0"/>
          <w:divBdr>
            <w:top w:val="none" w:sz="0" w:space="0" w:color="auto"/>
            <w:left w:val="none" w:sz="0" w:space="0" w:color="auto"/>
            <w:bottom w:val="none" w:sz="0" w:space="0" w:color="auto"/>
            <w:right w:val="none" w:sz="0" w:space="0" w:color="auto"/>
          </w:divBdr>
        </w:div>
        <w:div w:id="2027365572">
          <w:marLeft w:val="0"/>
          <w:marRight w:val="0"/>
          <w:marTop w:val="0"/>
          <w:marBottom w:val="0"/>
          <w:divBdr>
            <w:top w:val="none" w:sz="0" w:space="0" w:color="auto"/>
            <w:left w:val="none" w:sz="0" w:space="0" w:color="auto"/>
            <w:bottom w:val="none" w:sz="0" w:space="0" w:color="auto"/>
            <w:right w:val="none" w:sz="0" w:space="0" w:color="auto"/>
          </w:divBdr>
        </w:div>
        <w:div w:id="2044015154">
          <w:marLeft w:val="0"/>
          <w:marRight w:val="0"/>
          <w:marTop w:val="0"/>
          <w:marBottom w:val="0"/>
          <w:divBdr>
            <w:top w:val="none" w:sz="0" w:space="0" w:color="auto"/>
            <w:left w:val="none" w:sz="0" w:space="0" w:color="auto"/>
            <w:bottom w:val="none" w:sz="0" w:space="0" w:color="auto"/>
            <w:right w:val="none" w:sz="0" w:space="0" w:color="auto"/>
          </w:divBdr>
        </w:div>
      </w:divsChild>
    </w:div>
    <w:div w:id="502818343">
      <w:bodyDiv w:val="1"/>
      <w:marLeft w:val="0"/>
      <w:marRight w:val="0"/>
      <w:marTop w:val="0"/>
      <w:marBottom w:val="0"/>
      <w:divBdr>
        <w:top w:val="none" w:sz="0" w:space="0" w:color="auto"/>
        <w:left w:val="none" w:sz="0" w:space="0" w:color="auto"/>
        <w:bottom w:val="none" w:sz="0" w:space="0" w:color="auto"/>
        <w:right w:val="none" w:sz="0" w:space="0" w:color="auto"/>
      </w:divBdr>
      <w:divsChild>
        <w:div w:id="283468581">
          <w:marLeft w:val="0"/>
          <w:marRight w:val="0"/>
          <w:marTop w:val="0"/>
          <w:marBottom w:val="0"/>
          <w:divBdr>
            <w:top w:val="none" w:sz="0" w:space="0" w:color="auto"/>
            <w:left w:val="none" w:sz="0" w:space="0" w:color="auto"/>
            <w:bottom w:val="none" w:sz="0" w:space="0" w:color="auto"/>
            <w:right w:val="none" w:sz="0" w:space="0" w:color="auto"/>
          </w:divBdr>
        </w:div>
        <w:div w:id="286352442">
          <w:marLeft w:val="0"/>
          <w:marRight w:val="0"/>
          <w:marTop w:val="0"/>
          <w:marBottom w:val="0"/>
          <w:divBdr>
            <w:top w:val="none" w:sz="0" w:space="0" w:color="auto"/>
            <w:left w:val="none" w:sz="0" w:space="0" w:color="auto"/>
            <w:bottom w:val="none" w:sz="0" w:space="0" w:color="auto"/>
            <w:right w:val="none" w:sz="0" w:space="0" w:color="auto"/>
          </w:divBdr>
        </w:div>
        <w:div w:id="405761819">
          <w:marLeft w:val="0"/>
          <w:marRight w:val="0"/>
          <w:marTop w:val="0"/>
          <w:marBottom w:val="0"/>
          <w:divBdr>
            <w:top w:val="none" w:sz="0" w:space="0" w:color="auto"/>
            <w:left w:val="none" w:sz="0" w:space="0" w:color="auto"/>
            <w:bottom w:val="none" w:sz="0" w:space="0" w:color="auto"/>
            <w:right w:val="none" w:sz="0" w:space="0" w:color="auto"/>
          </w:divBdr>
        </w:div>
        <w:div w:id="460272515">
          <w:marLeft w:val="0"/>
          <w:marRight w:val="0"/>
          <w:marTop w:val="0"/>
          <w:marBottom w:val="0"/>
          <w:divBdr>
            <w:top w:val="none" w:sz="0" w:space="0" w:color="auto"/>
            <w:left w:val="none" w:sz="0" w:space="0" w:color="auto"/>
            <w:bottom w:val="none" w:sz="0" w:space="0" w:color="auto"/>
            <w:right w:val="none" w:sz="0" w:space="0" w:color="auto"/>
          </w:divBdr>
        </w:div>
        <w:div w:id="488904004">
          <w:marLeft w:val="0"/>
          <w:marRight w:val="0"/>
          <w:marTop w:val="0"/>
          <w:marBottom w:val="0"/>
          <w:divBdr>
            <w:top w:val="none" w:sz="0" w:space="0" w:color="auto"/>
            <w:left w:val="none" w:sz="0" w:space="0" w:color="auto"/>
            <w:bottom w:val="none" w:sz="0" w:space="0" w:color="auto"/>
            <w:right w:val="none" w:sz="0" w:space="0" w:color="auto"/>
          </w:divBdr>
        </w:div>
        <w:div w:id="589462212">
          <w:marLeft w:val="0"/>
          <w:marRight w:val="0"/>
          <w:marTop w:val="0"/>
          <w:marBottom w:val="0"/>
          <w:divBdr>
            <w:top w:val="none" w:sz="0" w:space="0" w:color="auto"/>
            <w:left w:val="none" w:sz="0" w:space="0" w:color="auto"/>
            <w:bottom w:val="none" w:sz="0" w:space="0" w:color="auto"/>
            <w:right w:val="none" w:sz="0" w:space="0" w:color="auto"/>
          </w:divBdr>
        </w:div>
        <w:div w:id="622426528">
          <w:marLeft w:val="0"/>
          <w:marRight w:val="0"/>
          <w:marTop w:val="0"/>
          <w:marBottom w:val="0"/>
          <w:divBdr>
            <w:top w:val="none" w:sz="0" w:space="0" w:color="auto"/>
            <w:left w:val="none" w:sz="0" w:space="0" w:color="auto"/>
            <w:bottom w:val="none" w:sz="0" w:space="0" w:color="auto"/>
            <w:right w:val="none" w:sz="0" w:space="0" w:color="auto"/>
          </w:divBdr>
        </w:div>
        <w:div w:id="639266195">
          <w:marLeft w:val="0"/>
          <w:marRight w:val="0"/>
          <w:marTop w:val="0"/>
          <w:marBottom w:val="0"/>
          <w:divBdr>
            <w:top w:val="none" w:sz="0" w:space="0" w:color="auto"/>
            <w:left w:val="none" w:sz="0" w:space="0" w:color="auto"/>
            <w:bottom w:val="none" w:sz="0" w:space="0" w:color="auto"/>
            <w:right w:val="none" w:sz="0" w:space="0" w:color="auto"/>
          </w:divBdr>
        </w:div>
        <w:div w:id="913200256">
          <w:marLeft w:val="0"/>
          <w:marRight w:val="0"/>
          <w:marTop w:val="0"/>
          <w:marBottom w:val="0"/>
          <w:divBdr>
            <w:top w:val="none" w:sz="0" w:space="0" w:color="auto"/>
            <w:left w:val="none" w:sz="0" w:space="0" w:color="auto"/>
            <w:bottom w:val="none" w:sz="0" w:space="0" w:color="auto"/>
            <w:right w:val="none" w:sz="0" w:space="0" w:color="auto"/>
          </w:divBdr>
        </w:div>
        <w:div w:id="964696246">
          <w:marLeft w:val="0"/>
          <w:marRight w:val="0"/>
          <w:marTop w:val="0"/>
          <w:marBottom w:val="0"/>
          <w:divBdr>
            <w:top w:val="none" w:sz="0" w:space="0" w:color="auto"/>
            <w:left w:val="none" w:sz="0" w:space="0" w:color="auto"/>
            <w:bottom w:val="none" w:sz="0" w:space="0" w:color="auto"/>
            <w:right w:val="none" w:sz="0" w:space="0" w:color="auto"/>
          </w:divBdr>
        </w:div>
        <w:div w:id="1070275389">
          <w:marLeft w:val="0"/>
          <w:marRight w:val="0"/>
          <w:marTop w:val="0"/>
          <w:marBottom w:val="0"/>
          <w:divBdr>
            <w:top w:val="none" w:sz="0" w:space="0" w:color="auto"/>
            <w:left w:val="none" w:sz="0" w:space="0" w:color="auto"/>
            <w:bottom w:val="none" w:sz="0" w:space="0" w:color="auto"/>
            <w:right w:val="none" w:sz="0" w:space="0" w:color="auto"/>
          </w:divBdr>
        </w:div>
        <w:div w:id="1104112141">
          <w:marLeft w:val="0"/>
          <w:marRight w:val="0"/>
          <w:marTop w:val="0"/>
          <w:marBottom w:val="0"/>
          <w:divBdr>
            <w:top w:val="none" w:sz="0" w:space="0" w:color="auto"/>
            <w:left w:val="none" w:sz="0" w:space="0" w:color="auto"/>
            <w:bottom w:val="none" w:sz="0" w:space="0" w:color="auto"/>
            <w:right w:val="none" w:sz="0" w:space="0" w:color="auto"/>
          </w:divBdr>
        </w:div>
        <w:div w:id="1339696295">
          <w:marLeft w:val="0"/>
          <w:marRight w:val="0"/>
          <w:marTop w:val="0"/>
          <w:marBottom w:val="0"/>
          <w:divBdr>
            <w:top w:val="none" w:sz="0" w:space="0" w:color="auto"/>
            <w:left w:val="none" w:sz="0" w:space="0" w:color="auto"/>
            <w:bottom w:val="none" w:sz="0" w:space="0" w:color="auto"/>
            <w:right w:val="none" w:sz="0" w:space="0" w:color="auto"/>
          </w:divBdr>
        </w:div>
        <w:div w:id="1359087259">
          <w:marLeft w:val="0"/>
          <w:marRight w:val="0"/>
          <w:marTop w:val="0"/>
          <w:marBottom w:val="0"/>
          <w:divBdr>
            <w:top w:val="none" w:sz="0" w:space="0" w:color="auto"/>
            <w:left w:val="none" w:sz="0" w:space="0" w:color="auto"/>
            <w:bottom w:val="none" w:sz="0" w:space="0" w:color="auto"/>
            <w:right w:val="none" w:sz="0" w:space="0" w:color="auto"/>
          </w:divBdr>
        </w:div>
        <w:div w:id="1423335975">
          <w:marLeft w:val="0"/>
          <w:marRight w:val="0"/>
          <w:marTop w:val="0"/>
          <w:marBottom w:val="0"/>
          <w:divBdr>
            <w:top w:val="none" w:sz="0" w:space="0" w:color="auto"/>
            <w:left w:val="none" w:sz="0" w:space="0" w:color="auto"/>
            <w:bottom w:val="none" w:sz="0" w:space="0" w:color="auto"/>
            <w:right w:val="none" w:sz="0" w:space="0" w:color="auto"/>
          </w:divBdr>
        </w:div>
        <w:div w:id="1442535018">
          <w:marLeft w:val="0"/>
          <w:marRight w:val="0"/>
          <w:marTop w:val="0"/>
          <w:marBottom w:val="0"/>
          <w:divBdr>
            <w:top w:val="none" w:sz="0" w:space="0" w:color="auto"/>
            <w:left w:val="none" w:sz="0" w:space="0" w:color="auto"/>
            <w:bottom w:val="none" w:sz="0" w:space="0" w:color="auto"/>
            <w:right w:val="none" w:sz="0" w:space="0" w:color="auto"/>
          </w:divBdr>
        </w:div>
        <w:div w:id="1469204811">
          <w:marLeft w:val="0"/>
          <w:marRight w:val="0"/>
          <w:marTop w:val="0"/>
          <w:marBottom w:val="0"/>
          <w:divBdr>
            <w:top w:val="none" w:sz="0" w:space="0" w:color="auto"/>
            <w:left w:val="none" w:sz="0" w:space="0" w:color="auto"/>
            <w:bottom w:val="none" w:sz="0" w:space="0" w:color="auto"/>
            <w:right w:val="none" w:sz="0" w:space="0" w:color="auto"/>
          </w:divBdr>
        </w:div>
        <w:div w:id="1582372389">
          <w:marLeft w:val="0"/>
          <w:marRight w:val="0"/>
          <w:marTop w:val="0"/>
          <w:marBottom w:val="0"/>
          <w:divBdr>
            <w:top w:val="none" w:sz="0" w:space="0" w:color="auto"/>
            <w:left w:val="none" w:sz="0" w:space="0" w:color="auto"/>
            <w:bottom w:val="none" w:sz="0" w:space="0" w:color="auto"/>
            <w:right w:val="none" w:sz="0" w:space="0" w:color="auto"/>
          </w:divBdr>
        </w:div>
        <w:div w:id="1626086289">
          <w:marLeft w:val="0"/>
          <w:marRight w:val="0"/>
          <w:marTop w:val="0"/>
          <w:marBottom w:val="0"/>
          <w:divBdr>
            <w:top w:val="none" w:sz="0" w:space="0" w:color="auto"/>
            <w:left w:val="none" w:sz="0" w:space="0" w:color="auto"/>
            <w:bottom w:val="none" w:sz="0" w:space="0" w:color="auto"/>
            <w:right w:val="none" w:sz="0" w:space="0" w:color="auto"/>
          </w:divBdr>
        </w:div>
        <w:div w:id="1720283093">
          <w:marLeft w:val="0"/>
          <w:marRight w:val="0"/>
          <w:marTop w:val="0"/>
          <w:marBottom w:val="0"/>
          <w:divBdr>
            <w:top w:val="none" w:sz="0" w:space="0" w:color="auto"/>
            <w:left w:val="none" w:sz="0" w:space="0" w:color="auto"/>
            <w:bottom w:val="none" w:sz="0" w:space="0" w:color="auto"/>
            <w:right w:val="none" w:sz="0" w:space="0" w:color="auto"/>
          </w:divBdr>
        </w:div>
        <w:div w:id="1784109401">
          <w:marLeft w:val="0"/>
          <w:marRight w:val="0"/>
          <w:marTop w:val="0"/>
          <w:marBottom w:val="0"/>
          <w:divBdr>
            <w:top w:val="none" w:sz="0" w:space="0" w:color="auto"/>
            <w:left w:val="none" w:sz="0" w:space="0" w:color="auto"/>
            <w:bottom w:val="none" w:sz="0" w:space="0" w:color="auto"/>
            <w:right w:val="none" w:sz="0" w:space="0" w:color="auto"/>
          </w:divBdr>
        </w:div>
        <w:div w:id="1953393547">
          <w:marLeft w:val="0"/>
          <w:marRight w:val="0"/>
          <w:marTop w:val="0"/>
          <w:marBottom w:val="0"/>
          <w:divBdr>
            <w:top w:val="none" w:sz="0" w:space="0" w:color="auto"/>
            <w:left w:val="none" w:sz="0" w:space="0" w:color="auto"/>
            <w:bottom w:val="none" w:sz="0" w:space="0" w:color="auto"/>
            <w:right w:val="none" w:sz="0" w:space="0" w:color="auto"/>
          </w:divBdr>
        </w:div>
        <w:div w:id="1979651827">
          <w:marLeft w:val="0"/>
          <w:marRight w:val="0"/>
          <w:marTop w:val="0"/>
          <w:marBottom w:val="0"/>
          <w:divBdr>
            <w:top w:val="none" w:sz="0" w:space="0" w:color="auto"/>
            <w:left w:val="none" w:sz="0" w:space="0" w:color="auto"/>
            <w:bottom w:val="none" w:sz="0" w:space="0" w:color="auto"/>
            <w:right w:val="none" w:sz="0" w:space="0" w:color="auto"/>
          </w:divBdr>
        </w:div>
        <w:div w:id="2006324811">
          <w:marLeft w:val="0"/>
          <w:marRight w:val="0"/>
          <w:marTop w:val="0"/>
          <w:marBottom w:val="0"/>
          <w:divBdr>
            <w:top w:val="none" w:sz="0" w:space="0" w:color="auto"/>
            <w:left w:val="none" w:sz="0" w:space="0" w:color="auto"/>
            <w:bottom w:val="none" w:sz="0" w:space="0" w:color="auto"/>
            <w:right w:val="none" w:sz="0" w:space="0" w:color="auto"/>
          </w:divBdr>
        </w:div>
      </w:divsChild>
    </w:div>
    <w:div w:id="524945173">
      <w:bodyDiv w:val="1"/>
      <w:marLeft w:val="0"/>
      <w:marRight w:val="0"/>
      <w:marTop w:val="0"/>
      <w:marBottom w:val="0"/>
      <w:divBdr>
        <w:top w:val="none" w:sz="0" w:space="0" w:color="auto"/>
        <w:left w:val="none" w:sz="0" w:space="0" w:color="auto"/>
        <w:bottom w:val="none" w:sz="0" w:space="0" w:color="auto"/>
        <w:right w:val="none" w:sz="0" w:space="0" w:color="auto"/>
      </w:divBdr>
    </w:div>
    <w:div w:id="563370181">
      <w:bodyDiv w:val="1"/>
      <w:marLeft w:val="0"/>
      <w:marRight w:val="0"/>
      <w:marTop w:val="0"/>
      <w:marBottom w:val="0"/>
      <w:divBdr>
        <w:top w:val="none" w:sz="0" w:space="0" w:color="auto"/>
        <w:left w:val="none" w:sz="0" w:space="0" w:color="auto"/>
        <w:bottom w:val="none" w:sz="0" w:space="0" w:color="auto"/>
        <w:right w:val="none" w:sz="0" w:space="0" w:color="auto"/>
      </w:divBdr>
    </w:div>
    <w:div w:id="710960550">
      <w:bodyDiv w:val="1"/>
      <w:marLeft w:val="0"/>
      <w:marRight w:val="0"/>
      <w:marTop w:val="0"/>
      <w:marBottom w:val="0"/>
      <w:divBdr>
        <w:top w:val="none" w:sz="0" w:space="0" w:color="auto"/>
        <w:left w:val="none" w:sz="0" w:space="0" w:color="auto"/>
        <w:bottom w:val="none" w:sz="0" w:space="0" w:color="auto"/>
        <w:right w:val="none" w:sz="0" w:space="0" w:color="auto"/>
      </w:divBdr>
      <w:divsChild>
        <w:div w:id="1867017561">
          <w:marLeft w:val="0"/>
          <w:marRight w:val="0"/>
          <w:marTop w:val="0"/>
          <w:marBottom w:val="0"/>
          <w:divBdr>
            <w:top w:val="none" w:sz="0" w:space="0" w:color="auto"/>
            <w:left w:val="none" w:sz="0" w:space="0" w:color="auto"/>
            <w:bottom w:val="none" w:sz="0" w:space="0" w:color="auto"/>
            <w:right w:val="none" w:sz="0" w:space="0" w:color="auto"/>
          </w:divBdr>
          <w:divsChild>
            <w:div w:id="135687625">
              <w:marLeft w:val="0"/>
              <w:marRight w:val="0"/>
              <w:marTop w:val="0"/>
              <w:marBottom w:val="0"/>
              <w:divBdr>
                <w:top w:val="none" w:sz="0" w:space="0" w:color="auto"/>
                <w:left w:val="none" w:sz="0" w:space="0" w:color="auto"/>
                <w:bottom w:val="none" w:sz="0" w:space="0" w:color="auto"/>
                <w:right w:val="none" w:sz="0" w:space="0" w:color="auto"/>
              </w:divBdr>
            </w:div>
            <w:div w:id="757485958">
              <w:marLeft w:val="0"/>
              <w:marRight w:val="0"/>
              <w:marTop w:val="0"/>
              <w:marBottom w:val="0"/>
              <w:divBdr>
                <w:top w:val="none" w:sz="0" w:space="0" w:color="auto"/>
                <w:left w:val="none" w:sz="0" w:space="0" w:color="auto"/>
                <w:bottom w:val="none" w:sz="0" w:space="0" w:color="auto"/>
                <w:right w:val="none" w:sz="0" w:space="0" w:color="auto"/>
              </w:divBdr>
            </w:div>
            <w:div w:id="19426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5069">
      <w:bodyDiv w:val="1"/>
      <w:marLeft w:val="0"/>
      <w:marRight w:val="0"/>
      <w:marTop w:val="0"/>
      <w:marBottom w:val="0"/>
      <w:divBdr>
        <w:top w:val="none" w:sz="0" w:space="0" w:color="auto"/>
        <w:left w:val="none" w:sz="0" w:space="0" w:color="auto"/>
        <w:bottom w:val="none" w:sz="0" w:space="0" w:color="auto"/>
        <w:right w:val="none" w:sz="0" w:space="0" w:color="auto"/>
      </w:divBdr>
      <w:divsChild>
        <w:div w:id="29452075">
          <w:marLeft w:val="0"/>
          <w:marRight w:val="0"/>
          <w:marTop w:val="0"/>
          <w:marBottom w:val="0"/>
          <w:divBdr>
            <w:top w:val="none" w:sz="0" w:space="0" w:color="auto"/>
            <w:left w:val="none" w:sz="0" w:space="0" w:color="auto"/>
            <w:bottom w:val="none" w:sz="0" w:space="0" w:color="auto"/>
            <w:right w:val="none" w:sz="0" w:space="0" w:color="auto"/>
          </w:divBdr>
        </w:div>
        <w:div w:id="41103475">
          <w:marLeft w:val="0"/>
          <w:marRight w:val="0"/>
          <w:marTop w:val="0"/>
          <w:marBottom w:val="0"/>
          <w:divBdr>
            <w:top w:val="none" w:sz="0" w:space="0" w:color="auto"/>
            <w:left w:val="none" w:sz="0" w:space="0" w:color="auto"/>
            <w:bottom w:val="none" w:sz="0" w:space="0" w:color="auto"/>
            <w:right w:val="none" w:sz="0" w:space="0" w:color="auto"/>
          </w:divBdr>
        </w:div>
        <w:div w:id="56051005">
          <w:marLeft w:val="0"/>
          <w:marRight w:val="0"/>
          <w:marTop w:val="0"/>
          <w:marBottom w:val="0"/>
          <w:divBdr>
            <w:top w:val="none" w:sz="0" w:space="0" w:color="auto"/>
            <w:left w:val="none" w:sz="0" w:space="0" w:color="auto"/>
            <w:bottom w:val="none" w:sz="0" w:space="0" w:color="auto"/>
            <w:right w:val="none" w:sz="0" w:space="0" w:color="auto"/>
          </w:divBdr>
        </w:div>
        <w:div w:id="134762670">
          <w:marLeft w:val="0"/>
          <w:marRight w:val="0"/>
          <w:marTop w:val="0"/>
          <w:marBottom w:val="0"/>
          <w:divBdr>
            <w:top w:val="none" w:sz="0" w:space="0" w:color="auto"/>
            <w:left w:val="none" w:sz="0" w:space="0" w:color="auto"/>
            <w:bottom w:val="none" w:sz="0" w:space="0" w:color="auto"/>
            <w:right w:val="none" w:sz="0" w:space="0" w:color="auto"/>
          </w:divBdr>
        </w:div>
        <w:div w:id="158280165">
          <w:marLeft w:val="0"/>
          <w:marRight w:val="0"/>
          <w:marTop w:val="0"/>
          <w:marBottom w:val="0"/>
          <w:divBdr>
            <w:top w:val="none" w:sz="0" w:space="0" w:color="auto"/>
            <w:left w:val="none" w:sz="0" w:space="0" w:color="auto"/>
            <w:bottom w:val="none" w:sz="0" w:space="0" w:color="auto"/>
            <w:right w:val="none" w:sz="0" w:space="0" w:color="auto"/>
          </w:divBdr>
        </w:div>
        <w:div w:id="246382191">
          <w:marLeft w:val="0"/>
          <w:marRight w:val="0"/>
          <w:marTop w:val="0"/>
          <w:marBottom w:val="0"/>
          <w:divBdr>
            <w:top w:val="none" w:sz="0" w:space="0" w:color="auto"/>
            <w:left w:val="none" w:sz="0" w:space="0" w:color="auto"/>
            <w:bottom w:val="none" w:sz="0" w:space="0" w:color="auto"/>
            <w:right w:val="none" w:sz="0" w:space="0" w:color="auto"/>
          </w:divBdr>
        </w:div>
        <w:div w:id="248974559">
          <w:marLeft w:val="0"/>
          <w:marRight w:val="0"/>
          <w:marTop w:val="0"/>
          <w:marBottom w:val="0"/>
          <w:divBdr>
            <w:top w:val="none" w:sz="0" w:space="0" w:color="auto"/>
            <w:left w:val="none" w:sz="0" w:space="0" w:color="auto"/>
            <w:bottom w:val="none" w:sz="0" w:space="0" w:color="auto"/>
            <w:right w:val="none" w:sz="0" w:space="0" w:color="auto"/>
          </w:divBdr>
        </w:div>
        <w:div w:id="352003188">
          <w:marLeft w:val="0"/>
          <w:marRight w:val="0"/>
          <w:marTop w:val="0"/>
          <w:marBottom w:val="0"/>
          <w:divBdr>
            <w:top w:val="none" w:sz="0" w:space="0" w:color="auto"/>
            <w:left w:val="none" w:sz="0" w:space="0" w:color="auto"/>
            <w:bottom w:val="none" w:sz="0" w:space="0" w:color="auto"/>
            <w:right w:val="none" w:sz="0" w:space="0" w:color="auto"/>
          </w:divBdr>
        </w:div>
        <w:div w:id="363991416">
          <w:marLeft w:val="0"/>
          <w:marRight w:val="0"/>
          <w:marTop w:val="0"/>
          <w:marBottom w:val="0"/>
          <w:divBdr>
            <w:top w:val="none" w:sz="0" w:space="0" w:color="auto"/>
            <w:left w:val="none" w:sz="0" w:space="0" w:color="auto"/>
            <w:bottom w:val="none" w:sz="0" w:space="0" w:color="auto"/>
            <w:right w:val="none" w:sz="0" w:space="0" w:color="auto"/>
          </w:divBdr>
        </w:div>
        <w:div w:id="391739579">
          <w:marLeft w:val="0"/>
          <w:marRight w:val="0"/>
          <w:marTop w:val="0"/>
          <w:marBottom w:val="0"/>
          <w:divBdr>
            <w:top w:val="none" w:sz="0" w:space="0" w:color="auto"/>
            <w:left w:val="none" w:sz="0" w:space="0" w:color="auto"/>
            <w:bottom w:val="none" w:sz="0" w:space="0" w:color="auto"/>
            <w:right w:val="none" w:sz="0" w:space="0" w:color="auto"/>
          </w:divBdr>
        </w:div>
        <w:div w:id="490222026">
          <w:marLeft w:val="0"/>
          <w:marRight w:val="0"/>
          <w:marTop w:val="0"/>
          <w:marBottom w:val="0"/>
          <w:divBdr>
            <w:top w:val="none" w:sz="0" w:space="0" w:color="auto"/>
            <w:left w:val="none" w:sz="0" w:space="0" w:color="auto"/>
            <w:bottom w:val="none" w:sz="0" w:space="0" w:color="auto"/>
            <w:right w:val="none" w:sz="0" w:space="0" w:color="auto"/>
          </w:divBdr>
        </w:div>
        <w:div w:id="595483971">
          <w:marLeft w:val="0"/>
          <w:marRight w:val="0"/>
          <w:marTop w:val="0"/>
          <w:marBottom w:val="0"/>
          <w:divBdr>
            <w:top w:val="none" w:sz="0" w:space="0" w:color="auto"/>
            <w:left w:val="none" w:sz="0" w:space="0" w:color="auto"/>
            <w:bottom w:val="none" w:sz="0" w:space="0" w:color="auto"/>
            <w:right w:val="none" w:sz="0" w:space="0" w:color="auto"/>
          </w:divBdr>
        </w:div>
        <w:div w:id="596141143">
          <w:marLeft w:val="0"/>
          <w:marRight w:val="0"/>
          <w:marTop w:val="0"/>
          <w:marBottom w:val="0"/>
          <w:divBdr>
            <w:top w:val="none" w:sz="0" w:space="0" w:color="auto"/>
            <w:left w:val="none" w:sz="0" w:space="0" w:color="auto"/>
            <w:bottom w:val="none" w:sz="0" w:space="0" w:color="auto"/>
            <w:right w:val="none" w:sz="0" w:space="0" w:color="auto"/>
          </w:divBdr>
        </w:div>
        <w:div w:id="633102322">
          <w:marLeft w:val="0"/>
          <w:marRight w:val="0"/>
          <w:marTop w:val="0"/>
          <w:marBottom w:val="0"/>
          <w:divBdr>
            <w:top w:val="none" w:sz="0" w:space="0" w:color="auto"/>
            <w:left w:val="none" w:sz="0" w:space="0" w:color="auto"/>
            <w:bottom w:val="none" w:sz="0" w:space="0" w:color="auto"/>
            <w:right w:val="none" w:sz="0" w:space="0" w:color="auto"/>
          </w:divBdr>
        </w:div>
        <w:div w:id="722291496">
          <w:marLeft w:val="0"/>
          <w:marRight w:val="0"/>
          <w:marTop w:val="0"/>
          <w:marBottom w:val="0"/>
          <w:divBdr>
            <w:top w:val="none" w:sz="0" w:space="0" w:color="auto"/>
            <w:left w:val="none" w:sz="0" w:space="0" w:color="auto"/>
            <w:bottom w:val="none" w:sz="0" w:space="0" w:color="auto"/>
            <w:right w:val="none" w:sz="0" w:space="0" w:color="auto"/>
          </w:divBdr>
        </w:div>
        <w:div w:id="796487468">
          <w:marLeft w:val="0"/>
          <w:marRight w:val="0"/>
          <w:marTop w:val="0"/>
          <w:marBottom w:val="0"/>
          <w:divBdr>
            <w:top w:val="none" w:sz="0" w:space="0" w:color="auto"/>
            <w:left w:val="none" w:sz="0" w:space="0" w:color="auto"/>
            <w:bottom w:val="none" w:sz="0" w:space="0" w:color="auto"/>
            <w:right w:val="none" w:sz="0" w:space="0" w:color="auto"/>
          </w:divBdr>
        </w:div>
        <w:div w:id="811481268">
          <w:marLeft w:val="0"/>
          <w:marRight w:val="0"/>
          <w:marTop w:val="0"/>
          <w:marBottom w:val="0"/>
          <w:divBdr>
            <w:top w:val="none" w:sz="0" w:space="0" w:color="auto"/>
            <w:left w:val="none" w:sz="0" w:space="0" w:color="auto"/>
            <w:bottom w:val="none" w:sz="0" w:space="0" w:color="auto"/>
            <w:right w:val="none" w:sz="0" w:space="0" w:color="auto"/>
          </w:divBdr>
        </w:div>
        <w:div w:id="813376271">
          <w:marLeft w:val="0"/>
          <w:marRight w:val="0"/>
          <w:marTop w:val="0"/>
          <w:marBottom w:val="0"/>
          <w:divBdr>
            <w:top w:val="none" w:sz="0" w:space="0" w:color="auto"/>
            <w:left w:val="none" w:sz="0" w:space="0" w:color="auto"/>
            <w:bottom w:val="none" w:sz="0" w:space="0" w:color="auto"/>
            <w:right w:val="none" w:sz="0" w:space="0" w:color="auto"/>
          </w:divBdr>
        </w:div>
        <w:div w:id="822625365">
          <w:marLeft w:val="0"/>
          <w:marRight w:val="0"/>
          <w:marTop w:val="0"/>
          <w:marBottom w:val="0"/>
          <w:divBdr>
            <w:top w:val="none" w:sz="0" w:space="0" w:color="auto"/>
            <w:left w:val="none" w:sz="0" w:space="0" w:color="auto"/>
            <w:bottom w:val="none" w:sz="0" w:space="0" w:color="auto"/>
            <w:right w:val="none" w:sz="0" w:space="0" w:color="auto"/>
          </w:divBdr>
        </w:div>
        <w:div w:id="836309816">
          <w:marLeft w:val="0"/>
          <w:marRight w:val="0"/>
          <w:marTop w:val="0"/>
          <w:marBottom w:val="0"/>
          <w:divBdr>
            <w:top w:val="none" w:sz="0" w:space="0" w:color="auto"/>
            <w:left w:val="none" w:sz="0" w:space="0" w:color="auto"/>
            <w:bottom w:val="none" w:sz="0" w:space="0" w:color="auto"/>
            <w:right w:val="none" w:sz="0" w:space="0" w:color="auto"/>
          </w:divBdr>
        </w:div>
        <w:div w:id="859898041">
          <w:marLeft w:val="0"/>
          <w:marRight w:val="0"/>
          <w:marTop w:val="0"/>
          <w:marBottom w:val="0"/>
          <w:divBdr>
            <w:top w:val="none" w:sz="0" w:space="0" w:color="auto"/>
            <w:left w:val="none" w:sz="0" w:space="0" w:color="auto"/>
            <w:bottom w:val="none" w:sz="0" w:space="0" w:color="auto"/>
            <w:right w:val="none" w:sz="0" w:space="0" w:color="auto"/>
          </w:divBdr>
        </w:div>
        <w:div w:id="909580389">
          <w:marLeft w:val="0"/>
          <w:marRight w:val="0"/>
          <w:marTop w:val="0"/>
          <w:marBottom w:val="0"/>
          <w:divBdr>
            <w:top w:val="none" w:sz="0" w:space="0" w:color="auto"/>
            <w:left w:val="none" w:sz="0" w:space="0" w:color="auto"/>
            <w:bottom w:val="none" w:sz="0" w:space="0" w:color="auto"/>
            <w:right w:val="none" w:sz="0" w:space="0" w:color="auto"/>
          </w:divBdr>
        </w:div>
        <w:div w:id="963734410">
          <w:marLeft w:val="0"/>
          <w:marRight w:val="0"/>
          <w:marTop w:val="0"/>
          <w:marBottom w:val="0"/>
          <w:divBdr>
            <w:top w:val="none" w:sz="0" w:space="0" w:color="auto"/>
            <w:left w:val="none" w:sz="0" w:space="0" w:color="auto"/>
            <w:bottom w:val="none" w:sz="0" w:space="0" w:color="auto"/>
            <w:right w:val="none" w:sz="0" w:space="0" w:color="auto"/>
          </w:divBdr>
        </w:div>
        <w:div w:id="968125453">
          <w:marLeft w:val="0"/>
          <w:marRight w:val="0"/>
          <w:marTop w:val="0"/>
          <w:marBottom w:val="0"/>
          <w:divBdr>
            <w:top w:val="none" w:sz="0" w:space="0" w:color="auto"/>
            <w:left w:val="none" w:sz="0" w:space="0" w:color="auto"/>
            <w:bottom w:val="none" w:sz="0" w:space="0" w:color="auto"/>
            <w:right w:val="none" w:sz="0" w:space="0" w:color="auto"/>
          </w:divBdr>
        </w:div>
        <w:div w:id="1026561503">
          <w:marLeft w:val="0"/>
          <w:marRight w:val="0"/>
          <w:marTop w:val="0"/>
          <w:marBottom w:val="0"/>
          <w:divBdr>
            <w:top w:val="none" w:sz="0" w:space="0" w:color="auto"/>
            <w:left w:val="none" w:sz="0" w:space="0" w:color="auto"/>
            <w:bottom w:val="none" w:sz="0" w:space="0" w:color="auto"/>
            <w:right w:val="none" w:sz="0" w:space="0" w:color="auto"/>
          </w:divBdr>
        </w:div>
        <w:div w:id="1028481555">
          <w:marLeft w:val="0"/>
          <w:marRight w:val="0"/>
          <w:marTop w:val="0"/>
          <w:marBottom w:val="0"/>
          <w:divBdr>
            <w:top w:val="none" w:sz="0" w:space="0" w:color="auto"/>
            <w:left w:val="none" w:sz="0" w:space="0" w:color="auto"/>
            <w:bottom w:val="none" w:sz="0" w:space="0" w:color="auto"/>
            <w:right w:val="none" w:sz="0" w:space="0" w:color="auto"/>
          </w:divBdr>
        </w:div>
        <w:div w:id="1049379770">
          <w:marLeft w:val="0"/>
          <w:marRight w:val="0"/>
          <w:marTop w:val="0"/>
          <w:marBottom w:val="0"/>
          <w:divBdr>
            <w:top w:val="none" w:sz="0" w:space="0" w:color="auto"/>
            <w:left w:val="none" w:sz="0" w:space="0" w:color="auto"/>
            <w:bottom w:val="none" w:sz="0" w:space="0" w:color="auto"/>
            <w:right w:val="none" w:sz="0" w:space="0" w:color="auto"/>
          </w:divBdr>
        </w:div>
        <w:div w:id="1071343370">
          <w:marLeft w:val="0"/>
          <w:marRight w:val="0"/>
          <w:marTop w:val="0"/>
          <w:marBottom w:val="0"/>
          <w:divBdr>
            <w:top w:val="none" w:sz="0" w:space="0" w:color="auto"/>
            <w:left w:val="none" w:sz="0" w:space="0" w:color="auto"/>
            <w:bottom w:val="none" w:sz="0" w:space="0" w:color="auto"/>
            <w:right w:val="none" w:sz="0" w:space="0" w:color="auto"/>
          </w:divBdr>
        </w:div>
        <w:div w:id="1089424807">
          <w:marLeft w:val="0"/>
          <w:marRight w:val="0"/>
          <w:marTop w:val="0"/>
          <w:marBottom w:val="0"/>
          <w:divBdr>
            <w:top w:val="none" w:sz="0" w:space="0" w:color="auto"/>
            <w:left w:val="none" w:sz="0" w:space="0" w:color="auto"/>
            <w:bottom w:val="none" w:sz="0" w:space="0" w:color="auto"/>
            <w:right w:val="none" w:sz="0" w:space="0" w:color="auto"/>
          </w:divBdr>
        </w:div>
        <w:div w:id="1096905591">
          <w:marLeft w:val="0"/>
          <w:marRight w:val="0"/>
          <w:marTop w:val="0"/>
          <w:marBottom w:val="0"/>
          <w:divBdr>
            <w:top w:val="none" w:sz="0" w:space="0" w:color="auto"/>
            <w:left w:val="none" w:sz="0" w:space="0" w:color="auto"/>
            <w:bottom w:val="none" w:sz="0" w:space="0" w:color="auto"/>
            <w:right w:val="none" w:sz="0" w:space="0" w:color="auto"/>
          </w:divBdr>
        </w:div>
        <w:div w:id="1121412650">
          <w:marLeft w:val="0"/>
          <w:marRight w:val="0"/>
          <w:marTop w:val="0"/>
          <w:marBottom w:val="0"/>
          <w:divBdr>
            <w:top w:val="none" w:sz="0" w:space="0" w:color="auto"/>
            <w:left w:val="none" w:sz="0" w:space="0" w:color="auto"/>
            <w:bottom w:val="none" w:sz="0" w:space="0" w:color="auto"/>
            <w:right w:val="none" w:sz="0" w:space="0" w:color="auto"/>
          </w:divBdr>
        </w:div>
        <w:div w:id="1128623790">
          <w:marLeft w:val="0"/>
          <w:marRight w:val="0"/>
          <w:marTop w:val="0"/>
          <w:marBottom w:val="0"/>
          <w:divBdr>
            <w:top w:val="none" w:sz="0" w:space="0" w:color="auto"/>
            <w:left w:val="none" w:sz="0" w:space="0" w:color="auto"/>
            <w:bottom w:val="none" w:sz="0" w:space="0" w:color="auto"/>
            <w:right w:val="none" w:sz="0" w:space="0" w:color="auto"/>
          </w:divBdr>
        </w:div>
        <w:div w:id="1163351967">
          <w:marLeft w:val="0"/>
          <w:marRight w:val="0"/>
          <w:marTop w:val="0"/>
          <w:marBottom w:val="0"/>
          <w:divBdr>
            <w:top w:val="none" w:sz="0" w:space="0" w:color="auto"/>
            <w:left w:val="none" w:sz="0" w:space="0" w:color="auto"/>
            <w:bottom w:val="none" w:sz="0" w:space="0" w:color="auto"/>
            <w:right w:val="none" w:sz="0" w:space="0" w:color="auto"/>
          </w:divBdr>
        </w:div>
        <w:div w:id="1174033516">
          <w:marLeft w:val="0"/>
          <w:marRight w:val="0"/>
          <w:marTop w:val="0"/>
          <w:marBottom w:val="0"/>
          <w:divBdr>
            <w:top w:val="none" w:sz="0" w:space="0" w:color="auto"/>
            <w:left w:val="none" w:sz="0" w:space="0" w:color="auto"/>
            <w:bottom w:val="none" w:sz="0" w:space="0" w:color="auto"/>
            <w:right w:val="none" w:sz="0" w:space="0" w:color="auto"/>
          </w:divBdr>
        </w:div>
        <w:div w:id="1281231080">
          <w:marLeft w:val="0"/>
          <w:marRight w:val="0"/>
          <w:marTop w:val="0"/>
          <w:marBottom w:val="0"/>
          <w:divBdr>
            <w:top w:val="none" w:sz="0" w:space="0" w:color="auto"/>
            <w:left w:val="none" w:sz="0" w:space="0" w:color="auto"/>
            <w:bottom w:val="none" w:sz="0" w:space="0" w:color="auto"/>
            <w:right w:val="none" w:sz="0" w:space="0" w:color="auto"/>
          </w:divBdr>
        </w:div>
        <w:div w:id="1330133295">
          <w:marLeft w:val="0"/>
          <w:marRight w:val="0"/>
          <w:marTop w:val="0"/>
          <w:marBottom w:val="0"/>
          <w:divBdr>
            <w:top w:val="none" w:sz="0" w:space="0" w:color="auto"/>
            <w:left w:val="none" w:sz="0" w:space="0" w:color="auto"/>
            <w:bottom w:val="none" w:sz="0" w:space="0" w:color="auto"/>
            <w:right w:val="none" w:sz="0" w:space="0" w:color="auto"/>
          </w:divBdr>
        </w:div>
        <w:div w:id="1332175660">
          <w:marLeft w:val="0"/>
          <w:marRight w:val="0"/>
          <w:marTop w:val="0"/>
          <w:marBottom w:val="0"/>
          <w:divBdr>
            <w:top w:val="none" w:sz="0" w:space="0" w:color="auto"/>
            <w:left w:val="none" w:sz="0" w:space="0" w:color="auto"/>
            <w:bottom w:val="none" w:sz="0" w:space="0" w:color="auto"/>
            <w:right w:val="none" w:sz="0" w:space="0" w:color="auto"/>
          </w:divBdr>
        </w:div>
        <w:div w:id="1336493092">
          <w:marLeft w:val="0"/>
          <w:marRight w:val="0"/>
          <w:marTop w:val="0"/>
          <w:marBottom w:val="0"/>
          <w:divBdr>
            <w:top w:val="none" w:sz="0" w:space="0" w:color="auto"/>
            <w:left w:val="none" w:sz="0" w:space="0" w:color="auto"/>
            <w:bottom w:val="none" w:sz="0" w:space="0" w:color="auto"/>
            <w:right w:val="none" w:sz="0" w:space="0" w:color="auto"/>
          </w:divBdr>
        </w:div>
        <w:div w:id="1341153728">
          <w:marLeft w:val="0"/>
          <w:marRight w:val="0"/>
          <w:marTop w:val="0"/>
          <w:marBottom w:val="0"/>
          <w:divBdr>
            <w:top w:val="none" w:sz="0" w:space="0" w:color="auto"/>
            <w:left w:val="none" w:sz="0" w:space="0" w:color="auto"/>
            <w:bottom w:val="none" w:sz="0" w:space="0" w:color="auto"/>
            <w:right w:val="none" w:sz="0" w:space="0" w:color="auto"/>
          </w:divBdr>
        </w:div>
        <w:div w:id="1421833143">
          <w:marLeft w:val="0"/>
          <w:marRight w:val="0"/>
          <w:marTop w:val="0"/>
          <w:marBottom w:val="0"/>
          <w:divBdr>
            <w:top w:val="none" w:sz="0" w:space="0" w:color="auto"/>
            <w:left w:val="none" w:sz="0" w:space="0" w:color="auto"/>
            <w:bottom w:val="none" w:sz="0" w:space="0" w:color="auto"/>
            <w:right w:val="none" w:sz="0" w:space="0" w:color="auto"/>
          </w:divBdr>
        </w:div>
        <w:div w:id="1446075170">
          <w:marLeft w:val="0"/>
          <w:marRight w:val="0"/>
          <w:marTop w:val="0"/>
          <w:marBottom w:val="0"/>
          <w:divBdr>
            <w:top w:val="none" w:sz="0" w:space="0" w:color="auto"/>
            <w:left w:val="none" w:sz="0" w:space="0" w:color="auto"/>
            <w:bottom w:val="none" w:sz="0" w:space="0" w:color="auto"/>
            <w:right w:val="none" w:sz="0" w:space="0" w:color="auto"/>
          </w:divBdr>
        </w:div>
        <w:div w:id="1460300575">
          <w:marLeft w:val="0"/>
          <w:marRight w:val="0"/>
          <w:marTop w:val="0"/>
          <w:marBottom w:val="0"/>
          <w:divBdr>
            <w:top w:val="none" w:sz="0" w:space="0" w:color="auto"/>
            <w:left w:val="none" w:sz="0" w:space="0" w:color="auto"/>
            <w:bottom w:val="none" w:sz="0" w:space="0" w:color="auto"/>
            <w:right w:val="none" w:sz="0" w:space="0" w:color="auto"/>
          </w:divBdr>
        </w:div>
        <w:div w:id="1506744658">
          <w:marLeft w:val="0"/>
          <w:marRight w:val="0"/>
          <w:marTop w:val="0"/>
          <w:marBottom w:val="0"/>
          <w:divBdr>
            <w:top w:val="none" w:sz="0" w:space="0" w:color="auto"/>
            <w:left w:val="none" w:sz="0" w:space="0" w:color="auto"/>
            <w:bottom w:val="none" w:sz="0" w:space="0" w:color="auto"/>
            <w:right w:val="none" w:sz="0" w:space="0" w:color="auto"/>
          </w:divBdr>
        </w:div>
        <w:div w:id="1588926811">
          <w:marLeft w:val="0"/>
          <w:marRight w:val="0"/>
          <w:marTop w:val="0"/>
          <w:marBottom w:val="0"/>
          <w:divBdr>
            <w:top w:val="none" w:sz="0" w:space="0" w:color="auto"/>
            <w:left w:val="none" w:sz="0" w:space="0" w:color="auto"/>
            <w:bottom w:val="none" w:sz="0" w:space="0" w:color="auto"/>
            <w:right w:val="none" w:sz="0" w:space="0" w:color="auto"/>
          </w:divBdr>
        </w:div>
        <w:div w:id="1602060239">
          <w:marLeft w:val="0"/>
          <w:marRight w:val="0"/>
          <w:marTop w:val="0"/>
          <w:marBottom w:val="0"/>
          <w:divBdr>
            <w:top w:val="none" w:sz="0" w:space="0" w:color="auto"/>
            <w:left w:val="none" w:sz="0" w:space="0" w:color="auto"/>
            <w:bottom w:val="none" w:sz="0" w:space="0" w:color="auto"/>
            <w:right w:val="none" w:sz="0" w:space="0" w:color="auto"/>
          </w:divBdr>
        </w:div>
        <w:div w:id="1637562428">
          <w:marLeft w:val="0"/>
          <w:marRight w:val="0"/>
          <w:marTop w:val="0"/>
          <w:marBottom w:val="0"/>
          <w:divBdr>
            <w:top w:val="none" w:sz="0" w:space="0" w:color="auto"/>
            <w:left w:val="none" w:sz="0" w:space="0" w:color="auto"/>
            <w:bottom w:val="none" w:sz="0" w:space="0" w:color="auto"/>
            <w:right w:val="none" w:sz="0" w:space="0" w:color="auto"/>
          </w:divBdr>
        </w:div>
        <w:div w:id="1676415457">
          <w:marLeft w:val="0"/>
          <w:marRight w:val="0"/>
          <w:marTop w:val="0"/>
          <w:marBottom w:val="0"/>
          <w:divBdr>
            <w:top w:val="none" w:sz="0" w:space="0" w:color="auto"/>
            <w:left w:val="none" w:sz="0" w:space="0" w:color="auto"/>
            <w:bottom w:val="none" w:sz="0" w:space="0" w:color="auto"/>
            <w:right w:val="none" w:sz="0" w:space="0" w:color="auto"/>
          </w:divBdr>
        </w:div>
        <w:div w:id="1750809035">
          <w:marLeft w:val="0"/>
          <w:marRight w:val="0"/>
          <w:marTop w:val="0"/>
          <w:marBottom w:val="0"/>
          <w:divBdr>
            <w:top w:val="none" w:sz="0" w:space="0" w:color="auto"/>
            <w:left w:val="none" w:sz="0" w:space="0" w:color="auto"/>
            <w:bottom w:val="none" w:sz="0" w:space="0" w:color="auto"/>
            <w:right w:val="none" w:sz="0" w:space="0" w:color="auto"/>
          </w:divBdr>
        </w:div>
        <w:div w:id="1754738175">
          <w:marLeft w:val="0"/>
          <w:marRight w:val="0"/>
          <w:marTop w:val="0"/>
          <w:marBottom w:val="0"/>
          <w:divBdr>
            <w:top w:val="none" w:sz="0" w:space="0" w:color="auto"/>
            <w:left w:val="none" w:sz="0" w:space="0" w:color="auto"/>
            <w:bottom w:val="none" w:sz="0" w:space="0" w:color="auto"/>
            <w:right w:val="none" w:sz="0" w:space="0" w:color="auto"/>
          </w:divBdr>
        </w:div>
        <w:div w:id="1803227007">
          <w:marLeft w:val="0"/>
          <w:marRight w:val="0"/>
          <w:marTop w:val="0"/>
          <w:marBottom w:val="0"/>
          <w:divBdr>
            <w:top w:val="none" w:sz="0" w:space="0" w:color="auto"/>
            <w:left w:val="none" w:sz="0" w:space="0" w:color="auto"/>
            <w:bottom w:val="none" w:sz="0" w:space="0" w:color="auto"/>
            <w:right w:val="none" w:sz="0" w:space="0" w:color="auto"/>
          </w:divBdr>
        </w:div>
        <w:div w:id="1858541077">
          <w:marLeft w:val="0"/>
          <w:marRight w:val="0"/>
          <w:marTop w:val="0"/>
          <w:marBottom w:val="0"/>
          <w:divBdr>
            <w:top w:val="none" w:sz="0" w:space="0" w:color="auto"/>
            <w:left w:val="none" w:sz="0" w:space="0" w:color="auto"/>
            <w:bottom w:val="none" w:sz="0" w:space="0" w:color="auto"/>
            <w:right w:val="none" w:sz="0" w:space="0" w:color="auto"/>
          </w:divBdr>
        </w:div>
        <w:div w:id="2043433931">
          <w:marLeft w:val="0"/>
          <w:marRight w:val="0"/>
          <w:marTop w:val="0"/>
          <w:marBottom w:val="0"/>
          <w:divBdr>
            <w:top w:val="none" w:sz="0" w:space="0" w:color="auto"/>
            <w:left w:val="none" w:sz="0" w:space="0" w:color="auto"/>
            <w:bottom w:val="none" w:sz="0" w:space="0" w:color="auto"/>
            <w:right w:val="none" w:sz="0" w:space="0" w:color="auto"/>
          </w:divBdr>
        </w:div>
        <w:div w:id="2043632538">
          <w:marLeft w:val="0"/>
          <w:marRight w:val="0"/>
          <w:marTop w:val="0"/>
          <w:marBottom w:val="0"/>
          <w:divBdr>
            <w:top w:val="none" w:sz="0" w:space="0" w:color="auto"/>
            <w:left w:val="none" w:sz="0" w:space="0" w:color="auto"/>
            <w:bottom w:val="none" w:sz="0" w:space="0" w:color="auto"/>
            <w:right w:val="none" w:sz="0" w:space="0" w:color="auto"/>
          </w:divBdr>
        </w:div>
        <w:div w:id="2053073615">
          <w:marLeft w:val="0"/>
          <w:marRight w:val="0"/>
          <w:marTop w:val="0"/>
          <w:marBottom w:val="0"/>
          <w:divBdr>
            <w:top w:val="none" w:sz="0" w:space="0" w:color="auto"/>
            <w:left w:val="none" w:sz="0" w:space="0" w:color="auto"/>
            <w:bottom w:val="none" w:sz="0" w:space="0" w:color="auto"/>
            <w:right w:val="none" w:sz="0" w:space="0" w:color="auto"/>
          </w:divBdr>
        </w:div>
        <w:div w:id="2089766744">
          <w:marLeft w:val="0"/>
          <w:marRight w:val="0"/>
          <w:marTop w:val="0"/>
          <w:marBottom w:val="0"/>
          <w:divBdr>
            <w:top w:val="none" w:sz="0" w:space="0" w:color="auto"/>
            <w:left w:val="none" w:sz="0" w:space="0" w:color="auto"/>
            <w:bottom w:val="none" w:sz="0" w:space="0" w:color="auto"/>
            <w:right w:val="none" w:sz="0" w:space="0" w:color="auto"/>
          </w:divBdr>
        </w:div>
        <w:div w:id="2108840429">
          <w:marLeft w:val="0"/>
          <w:marRight w:val="0"/>
          <w:marTop w:val="0"/>
          <w:marBottom w:val="0"/>
          <w:divBdr>
            <w:top w:val="none" w:sz="0" w:space="0" w:color="auto"/>
            <w:left w:val="none" w:sz="0" w:space="0" w:color="auto"/>
            <w:bottom w:val="none" w:sz="0" w:space="0" w:color="auto"/>
            <w:right w:val="none" w:sz="0" w:space="0" w:color="auto"/>
          </w:divBdr>
        </w:div>
      </w:divsChild>
    </w:div>
    <w:div w:id="723255425">
      <w:bodyDiv w:val="1"/>
      <w:marLeft w:val="0"/>
      <w:marRight w:val="0"/>
      <w:marTop w:val="0"/>
      <w:marBottom w:val="0"/>
      <w:divBdr>
        <w:top w:val="none" w:sz="0" w:space="0" w:color="auto"/>
        <w:left w:val="none" w:sz="0" w:space="0" w:color="auto"/>
        <w:bottom w:val="none" w:sz="0" w:space="0" w:color="auto"/>
        <w:right w:val="none" w:sz="0" w:space="0" w:color="auto"/>
      </w:divBdr>
    </w:div>
    <w:div w:id="729882567">
      <w:bodyDiv w:val="1"/>
      <w:marLeft w:val="0"/>
      <w:marRight w:val="0"/>
      <w:marTop w:val="0"/>
      <w:marBottom w:val="0"/>
      <w:divBdr>
        <w:top w:val="none" w:sz="0" w:space="0" w:color="auto"/>
        <w:left w:val="none" w:sz="0" w:space="0" w:color="auto"/>
        <w:bottom w:val="none" w:sz="0" w:space="0" w:color="auto"/>
        <w:right w:val="none" w:sz="0" w:space="0" w:color="auto"/>
      </w:divBdr>
    </w:div>
    <w:div w:id="773283562">
      <w:bodyDiv w:val="1"/>
      <w:marLeft w:val="0"/>
      <w:marRight w:val="0"/>
      <w:marTop w:val="0"/>
      <w:marBottom w:val="0"/>
      <w:divBdr>
        <w:top w:val="none" w:sz="0" w:space="0" w:color="auto"/>
        <w:left w:val="none" w:sz="0" w:space="0" w:color="auto"/>
        <w:bottom w:val="none" w:sz="0" w:space="0" w:color="auto"/>
        <w:right w:val="none" w:sz="0" w:space="0" w:color="auto"/>
      </w:divBdr>
    </w:div>
    <w:div w:id="792793805">
      <w:bodyDiv w:val="1"/>
      <w:marLeft w:val="0"/>
      <w:marRight w:val="0"/>
      <w:marTop w:val="0"/>
      <w:marBottom w:val="0"/>
      <w:divBdr>
        <w:top w:val="none" w:sz="0" w:space="0" w:color="auto"/>
        <w:left w:val="none" w:sz="0" w:space="0" w:color="auto"/>
        <w:bottom w:val="none" w:sz="0" w:space="0" w:color="auto"/>
        <w:right w:val="none" w:sz="0" w:space="0" w:color="auto"/>
      </w:divBdr>
    </w:div>
    <w:div w:id="834492579">
      <w:bodyDiv w:val="1"/>
      <w:marLeft w:val="0"/>
      <w:marRight w:val="0"/>
      <w:marTop w:val="0"/>
      <w:marBottom w:val="0"/>
      <w:divBdr>
        <w:top w:val="none" w:sz="0" w:space="0" w:color="auto"/>
        <w:left w:val="none" w:sz="0" w:space="0" w:color="auto"/>
        <w:bottom w:val="none" w:sz="0" w:space="0" w:color="auto"/>
        <w:right w:val="none" w:sz="0" w:space="0" w:color="auto"/>
      </w:divBdr>
      <w:divsChild>
        <w:div w:id="880433374">
          <w:marLeft w:val="0"/>
          <w:marRight w:val="0"/>
          <w:marTop w:val="0"/>
          <w:marBottom w:val="0"/>
          <w:divBdr>
            <w:top w:val="none" w:sz="0" w:space="0" w:color="auto"/>
            <w:left w:val="none" w:sz="0" w:space="0" w:color="auto"/>
            <w:bottom w:val="none" w:sz="0" w:space="0" w:color="auto"/>
            <w:right w:val="none" w:sz="0" w:space="0" w:color="auto"/>
          </w:divBdr>
        </w:div>
        <w:div w:id="1146126163">
          <w:marLeft w:val="0"/>
          <w:marRight w:val="0"/>
          <w:marTop w:val="0"/>
          <w:marBottom w:val="0"/>
          <w:divBdr>
            <w:top w:val="none" w:sz="0" w:space="0" w:color="auto"/>
            <w:left w:val="none" w:sz="0" w:space="0" w:color="auto"/>
            <w:bottom w:val="none" w:sz="0" w:space="0" w:color="auto"/>
            <w:right w:val="none" w:sz="0" w:space="0" w:color="auto"/>
          </w:divBdr>
        </w:div>
        <w:div w:id="1425952563">
          <w:marLeft w:val="0"/>
          <w:marRight w:val="0"/>
          <w:marTop w:val="0"/>
          <w:marBottom w:val="0"/>
          <w:divBdr>
            <w:top w:val="none" w:sz="0" w:space="0" w:color="auto"/>
            <w:left w:val="none" w:sz="0" w:space="0" w:color="auto"/>
            <w:bottom w:val="none" w:sz="0" w:space="0" w:color="auto"/>
            <w:right w:val="none" w:sz="0" w:space="0" w:color="auto"/>
          </w:divBdr>
        </w:div>
        <w:div w:id="1546217868">
          <w:marLeft w:val="0"/>
          <w:marRight w:val="0"/>
          <w:marTop w:val="0"/>
          <w:marBottom w:val="0"/>
          <w:divBdr>
            <w:top w:val="none" w:sz="0" w:space="0" w:color="auto"/>
            <w:left w:val="none" w:sz="0" w:space="0" w:color="auto"/>
            <w:bottom w:val="none" w:sz="0" w:space="0" w:color="auto"/>
            <w:right w:val="none" w:sz="0" w:space="0" w:color="auto"/>
          </w:divBdr>
        </w:div>
        <w:div w:id="1718773309">
          <w:marLeft w:val="0"/>
          <w:marRight w:val="0"/>
          <w:marTop w:val="0"/>
          <w:marBottom w:val="0"/>
          <w:divBdr>
            <w:top w:val="none" w:sz="0" w:space="0" w:color="auto"/>
            <w:left w:val="none" w:sz="0" w:space="0" w:color="auto"/>
            <w:bottom w:val="none" w:sz="0" w:space="0" w:color="auto"/>
            <w:right w:val="none" w:sz="0" w:space="0" w:color="auto"/>
          </w:divBdr>
        </w:div>
        <w:div w:id="1899239584">
          <w:marLeft w:val="0"/>
          <w:marRight w:val="0"/>
          <w:marTop w:val="0"/>
          <w:marBottom w:val="0"/>
          <w:divBdr>
            <w:top w:val="none" w:sz="0" w:space="0" w:color="auto"/>
            <w:left w:val="none" w:sz="0" w:space="0" w:color="auto"/>
            <w:bottom w:val="none" w:sz="0" w:space="0" w:color="auto"/>
            <w:right w:val="none" w:sz="0" w:space="0" w:color="auto"/>
          </w:divBdr>
        </w:div>
      </w:divsChild>
    </w:div>
    <w:div w:id="838232961">
      <w:bodyDiv w:val="1"/>
      <w:marLeft w:val="0"/>
      <w:marRight w:val="0"/>
      <w:marTop w:val="0"/>
      <w:marBottom w:val="0"/>
      <w:divBdr>
        <w:top w:val="none" w:sz="0" w:space="0" w:color="auto"/>
        <w:left w:val="none" w:sz="0" w:space="0" w:color="auto"/>
        <w:bottom w:val="none" w:sz="0" w:space="0" w:color="auto"/>
        <w:right w:val="none" w:sz="0" w:space="0" w:color="auto"/>
      </w:divBdr>
    </w:div>
    <w:div w:id="861550527">
      <w:bodyDiv w:val="1"/>
      <w:marLeft w:val="0"/>
      <w:marRight w:val="0"/>
      <w:marTop w:val="0"/>
      <w:marBottom w:val="0"/>
      <w:divBdr>
        <w:top w:val="none" w:sz="0" w:space="0" w:color="auto"/>
        <w:left w:val="none" w:sz="0" w:space="0" w:color="auto"/>
        <w:bottom w:val="none" w:sz="0" w:space="0" w:color="auto"/>
        <w:right w:val="none" w:sz="0" w:space="0" w:color="auto"/>
      </w:divBdr>
    </w:div>
    <w:div w:id="977153340">
      <w:bodyDiv w:val="1"/>
      <w:marLeft w:val="0"/>
      <w:marRight w:val="0"/>
      <w:marTop w:val="0"/>
      <w:marBottom w:val="0"/>
      <w:divBdr>
        <w:top w:val="none" w:sz="0" w:space="0" w:color="auto"/>
        <w:left w:val="none" w:sz="0" w:space="0" w:color="auto"/>
        <w:bottom w:val="none" w:sz="0" w:space="0" w:color="auto"/>
        <w:right w:val="none" w:sz="0" w:space="0" w:color="auto"/>
      </w:divBdr>
    </w:div>
    <w:div w:id="1044250968">
      <w:bodyDiv w:val="1"/>
      <w:marLeft w:val="0"/>
      <w:marRight w:val="0"/>
      <w:marTop w:val="0"/>
      <w:marBottom w:val="0"/>
      <w:divBdr>
        <w:top w:val="none" w:sz="0" w:space="0" w:color="auto"/>
        <w:left w:val="none" w:sz="0" w:space="0" w:color="auto"/>
        <w:bottom w:val="none" w:sz="0" w:space="0" w:color="auto"/>
        <w:right w:val="none" w:sz="0" w:space="0" w:color="auto"/>
      </w:divBdr>
      <w:divsChild>
        <w:div w:id="26150987">
          <w:marLeft w:val="0"/>
          <w:marRight w:val="0"/>
          <w:marTop w:val="0"/>
          <w:marBottom w:val="0"/>
          <w:divBdr>
            <w:top w:val="none" w:sz="0" w:space="0" w:color="auto"/>
            <w:left w:val="none" w:sz="0" w:space="0" w:color="auto"/>
            <w:bottom w:val="none" w:sz="0" w:space="0" w:color="auto"/>
            <w:right w:val="none" w:sz="0" w:space="0" w:color="auto"/>
          </w:divBdr>
        </w:div>
        <w:div w:id="109445246">
          <w:marLeft w:val="0"/>
          <w:marRight w:val="0"/>
          <w:marTop w:val="0"/>
          <w:marBottom w:val="0"/>
          <w:divBdr>
            <w:top w:val="none" w:sz="0" w:space="0" w:color="auto"/>
            <w:left w:val="none" w:sz="0" w:space="0" w:color="auto"/>
            <w:bottom w:val="none" w:sz="0" w:space="0" w:color="auto"/>
            <w:right w:val="none" w:sz="0" w:space="0" w:color="auto"/>
          </w:divBdr>
        </w:div>
        <w:div w:id="203715936">
          <w:marLeft w:val="0"/>
          <w:marRight w:val="0"/>
          <w:marTop w:val="0"/>
          <w:marBottom w:val="0"/>
          <w:divBdr>
            <w:top w:val="none" w:sz="0" w:space="0" w:color="auto"/>
            <w:left w:val="none" w:sz="0" w:space="0" w:color="auto"/>
            <w:bottom w:val="none" w:sz="0" w:space="0" w:color="auto"/>
            <w:right w:val="none" w:sz="0" w:space="0" w:color="auto"/>
          </w:divBdr>
        </w:div>
        <w:div w:id="480385967">
          <w:marLeft w:val="0"/>
          <w:marRight w:val="0"/>
          <w:marTop w:val="0"/>
          <w:marBottom w:val="0"/>
          <w:divBdr>
            <w:top w:val="none" w:sz="0" w:space="0" w:color="auto"/>
            <w:left w:val="none" w:sz="0" w:space="0" w:color="auto"/>
            <w:bottom w:val="none" w:sz="0" w:space="0" w:color="auto"/>
            <w:right w:val="none" w:sz="0" w:space="0" w:color="auto"/>
          </w:divBdr>
        </w:div>
        <w:div w:id="540674774">
          <w:marLeft w:val="0"/>
          <w:marRight w:val="0"/>
          <w:marTop w:val="0"/>
          <w:marBottom w:val="0"/>
          <w:divBdr>
            <w:top w:val="none" w:sz="0" w:space="0" w:color="auto"/>
            <w:left w:val="none" w:sz="0" w:space="0" w:color="auto"/>
            <w:bottom w:val="none" w:sz="0" w:space="0" w:color="auto"/>
            <w:right w:val="none" w:sz="0" w:space="0" w:color="auto"/>
          </w:divBdr>
        </w:div>
        <w:div w:id="556236068">
          <w:marLeft w:val="0"/>
          <w:marRight w:val="0"/>
          <w:marTop w:val="0"/>
          <w:marBottom w:val="0"/>
          <w:divBdr>
            <w:top w:val="none" w:sz="0" w:space="0" w:color="auto"/>
            <w:left w:val="none" w:sz="0" w:space="0" w:color="auto"/>
            <w:bottom w:val="none" w:sz="0" w:space="0" w:color="auto"/>
            <w:right w:val="none" w:sz="0" w:space="0" w:color="auto"/>
          </w:divBdr>
        </w:div>
        <w:div w:id="622461192">
          <w:marLeft w:val="0"/>
          <w:marRight w:val="0"/>
          <w:marTop w:val="0"/>
          <w:marBottom w:val="0"/>
          <w:divBdr>
            <w:top w:val="none" w:sz="0" w:space="0" w:color="auto"/>
            <w:left w:val="none" w:sz="0" w:space="0" w:color="auto"/>
            <w:bottom w:val="none" w:sz="0" w:space="0" w:color="auto"/>
            <w:right w:val="none" w:sz="0" w:space="0" w:color="auto"/>
          </w:divBdr>
        </w:div>
        <w:div w:id="887491955">
          <w:marLeft w:val="0"/>
          <w:marRight w:val="0"/>
          <w:marTop w:val="0"/>
          <w:marBottom w:val="0"/>
          <w:divBdr>
            <w:top w:val="none" w:sz="0" w:space="0" w:color="auto"/>
            <w:left w:val="none" w:sz="0" w:space="0" w:color="auto"/>
            <w:bottom w:val="none" w:sz="0" w:space="0" w:color="auto"/>
            <w:right w:val="none" w:sz="0" w:space="0" w:color="auto"/>
          </w:divBdr>
        </w:div>
        <w:div w:id="889540972">
          <w:marLeft w:val="0"/>
          <w:marRight w:val="0"/>
          <w:marTop w:val="0"/>
          <w:marBottom w:val="0"/>
          <w:divBdr>
            <w:top w:val="none" w:sz="0" w:space="0" w:color="auto"/>
            <w:left w:val="none" w:sz="0" w:space="0" w:color="auto"/>
            <w:bottom w:val="none" w:sz="0" w:space="0" w:color="auto"/>
            <w:right w:val="none" w:sz="0" w:space="0" w:color="auto"/>
          </w:divBdr>
        </w:div>
        <w:div w:id="1065300457">
          <w:marLeft w:val="0"/>
          <w:marRight w:val="0"/>
          <w:marTop w:val="0"/>
          <w:marBottom w:val="0"/>
          <w:divBdr>
            <w:top w:val="none" w:sz="0" w:space="0" w:color="auto"/>
            <w:left w:val="none" w:sz="0" w:space="0" w:color="auto"/>
            <w:bottom w:val="none" w:sz="0" w:space="0" w:color="auto"/>
            <w:right w:val="none" w:sz="0" w:space="0" w:color="auto"/>
          </w:divBdr>
        </w:div>
        <w:div w:id="1185944244">
          <w:marLeft w:val="0"/>
          <w:marRight w:val="0"/>
          <w:marTop w:val="0"/>
          <w:marBottom w:val="0"/>
          <w:divBdr>
            <w:top w:val="none" w:sz="0" w:space="0" w:color="auto"/>
            <w:left w:val="none" w:sz="0" w:space="0" w:color="auto"/>
            <w:bottom w:val="none" w:sz="0" w:space="0" w:color="auto"/>
            <w:right w:val="none" w:sz="0" w:space="0" w:color="auto"/>
          </w:divBdr>
        </w:div>
        <w:div w:id="1294600653">
          <w:marLeft w:val="0"/>
          <w:marRight w:val="0"/>
          <w:marTop w:val="0"/>
          <w:marBottom w:val="0"/>
          <w:divBdr>
            <w:top w:val="none" w:sz="0" w:space="0" w:color="auto"/>
            <w:left w:val="none" w:sz="0" w:space="0" w:color="auto"/>
            <w:bottom w:val="none" w:sz="0" w:space="0" w:color="auto"/>
            <w:right w:val="none" w:sz="0" w:space="0" w:color="auto"/>
          </w:divBdr>
        </w:div>
        <w:div w:id="1331526376">
          <w:marLeft w:val="0"/>
          <w:marRight w:val="0"/>
          <w:marTop w:val="0"/>
          <w:marBottom w:val="0"/>
          <w:divBdr>
            <w:top w:val="none" w:sz="0" w:space="0" w:color="auto"/>
            <w:left w:val="none" w:sz="0" w:space="0" w:color="auto"/>
            <w:bottom w:val="none" w:sz="0" w:space="0" w:color="auto"/>
            <w:right w:val="none" w:sz="0" w:space="0" w:color="auto"/>
          </w:divBdr>
        </w:div>
        <w:div w:id="1333798651">
          <w:marLeft w:val="0"/>
          <w:marRight w:val="0"/>
          <w:marTop w:val="0"/>
          <w:marBottom w:val="0"/>
          <w:divBdr>
            <w:top w:val="none" w:sz="0" w:space="0" w:color="auto"/>
            <w:left w:val="none" w:sz="0" w:space="0" w:color="auto"/>
            <w:bottom w:val="none" w:sz="0" w:space="0" w:color="auto"/>
            <w:right w:val="none" w:sz="0" w:space="0" w:color="auto"/>
          </w:divBdr>
        </w:div>
        <w:div w:id="1557744501">
          <w:marLeft w:val="0"/>
          <w:marRight w:val="0"/>
          <w:marTop w:val="0"/>
          <w:marBottom w:val="0"/>
          <w:divBdr>
            <w:top w:val="none" w:sz="0" w:space="0" w:color="auto"/>
            <w:left w:val="none" w:sz="0" w:space="0" w:color="auto"/>
            <w:bottom w:val="none" w:sz="0" w:space="0" w:color="auto"/>
            <w:right w:val="none" w:sz="0" w:space="0" w:color="auto"/>
          </w:divBdr>
        </w:div>
        <w:div w:id="1592010677">
          <w:marLeft w:val="0"/>
          <w:marRight w:val="0"/>
          <w:marTop w:val="0"/>
          <w:marBottom w:val="0"/>
          <w:divBdr>
            <w:top w:val="none" w:sz="0" w:space="0" w:color="auto"/>
            <w:left w:val="none" w:sz="0" w:space="0" w:color="auto"/>
            <w:bottom w:val="none" w:sz="0" w:space="0" w:color="auto"/>
            <w:right w:val="none" w:sz="0" w:space="0" w:color="auto"/>
          </w:divBdr>
        </w:div>
        <w:div w:id="1904297090">
          <w:marLeft w:val="0"/>
          <w:marRight w:val="0"/>
          <w:marTop w:val="0"/>
          <w:marBottom w:val="0"/>
          <w:divBdr>
            <w:top w:val="none" w:sz="0" w:space="0" w:color="auto"/>
            <w:left w:val="none" w:sz="0" w:space="0" w:color="auto"/>
            <w:bottom w:val="none" w:sz="0" w:space="0" w:color="auto"/>
            <w:right w:val="none" w:sz="0" w:space="0" w:color="auto"/>
          </w:divBdr>
        </w:div>
        <w:div w:id="2018536858">
          <w:marLeft w:val="0"/>
          <w:marRight w:val="0"/>
          <w:marTop w:val="0"/>
          <w:marBottom w:val="0"/>
          <w:divBdr>
            <w:top w:val="none" w:sz="0" w:space="0" w:color="auto"/>
            <w:left w:val="none" w:sz="0" w:space="0" w:color="auto"/>
            <w:bottom w:val="none" w:sz="0" w:space="0" w:color="auto"/>
            <w:right w:val="none" w:sz="0" w:space="0" w:color="auto"/>
          </w:divBdr>
        </w:div>
        <w:div w:id="2091778422">
          <w:marLeft w:val="0"/>
          <w:marRight w:val="0"/>
          <w:marTop w:val="0"/>
          <w:marBottom w:val="0"/>
          <w:divBdr>
            <w:top w:val="none" w:sz="0" w:space="0" w:color="auto"/>
            <w:left w:val="none" w:sz="0" w:space="0" w:color="auto"/>
            <w:bottom w:val="none" w:sz="0" w:space="0" w:color="auto"/>
            <w:right w:val="none" w:sz="0" w:space="0" w:color="auto"/>
          </w:divBdr>
        </w:div>
        <w:div w:id="2127772400">
          <w:marLeft w:val="0"/>
          <w:marRight w:val="0"/>
          <w:marTop w:val="0"/>
          <w:marBottom w:val="0"/>
          <w:divBdr>
            <w:top w:val="none" w:sz="0" w:space="0" w:color="auto"/>
            <w:left w:val="none" w:sz="0" w:space="0" w:color="auto"/>
            <w:bottom w:val="none" w:sz="0" w:space="0" w:color="auto"/>
            <w:right w:val="none" w:sz="0" w:space="0" w:color="auto"/>
          </w:divBdr>
        </w:div>
      </w:divsChild>
    </w:div>
    <w:div w:id="1201891600">
      <w:bodyDiv w:val="1"/>
      <w:marLeft w:val="0"/>
      <w:marRight w:val="0"/>
      <w:marTop w:val="0"/>
      <w:marBottom w:val="0"/>
      <w:divBdr>
        <w:top w:val="none" w:sz="0" w:space="0" w:color="auto"/>
        <w:left w:val="none" w:sz="0" w:space="0" w:color="auto"/>
        <w:bottom w:val="none" w:sz="0" w:space="0" w:color="auto"/>
        <w:right w:val="none" w:sz="0" w:space="0" w:color="auto"/>
      </w:divBdr>
    </w:div>
    <w:div w:id="1203637174">
      <w:bodyDiv w:val="1"/>
      <w:marLeft w:val="0"/>
      <w:marRight w:val="0"/>
      <w:marTop w:val="0"/>
      <w:marBottom w:val="0"/>
      <w:divBdr>
        <w:top w:val="none" w:sz="0" w:space="0" w:color="auto"/>
        <w:left w:val="none" w:sz="0" w:space="0" w:color="auto"/>
        <w:bottom w:val="none" w:sz="0" w:space="0" w:color="auto"/>
        <w:right w:val="none" w:sz="0" w:space="0" w:color="auto"/>
      </w:divBdr>
      <w:divsChild>
        <w:div w:id="304624629">
          <w:marLeft w:val="0"/>
          <w:marRight w:val="0"/>
          <w:marTop w:val="0"/>
          <w:marBottom w:val="0"/>
          <w:divBdr>
            <w:top w:val="none" w:sz="0" w:space="0" w:color="auto"/>
            <w:left w:val="none" w:sz="0" w:space="0" w:color="auto"/>
            <w:bottom w:val="none" w:sz="0" w:space="0" w:color="auto"/>
            <w:right w:val="none" w:sz="0" w:space="0" w:color="auto"/>
          </w:divBdr>
        </w:div>
        <w:div w:id="668102715">
          <w:marLeft w:val="0"/>
          <w:marRight w:val="0"/>
          <w:marTop w:val="0"/>
          <w:marBottom w:val="0"/>
          <w:divBdr>
            <w:top w:val="none" w:sz="0" w:space="0" w:color="auto"/>
            <w:left w:val="none" w:sz="0" w:space="0" w:color="auto"/>
            <w:bottom w:val="none" w:sz="0" w:space="0" w:color="auto"/>
            <w:right w:val="none" w:sz="0" w:space="0" w:color="auto"/>
          </w:divBdr>
        </w:div>
        <w:div w:id="679089122">
          <w:marLeft w:val="0"/>
          <w:marRight w:val="0"/>
          <w:marTop w:val="0"/>
          <w:marBottom w:val="0"/>
          <w:divBdr>
            <w:top w:val="none" w:sz="0" w:space="0" w:color="auto"/>
            <w:left w:val="none" w:sz="0" w:space="0" w:color="auto"/>
            <w:bottom w:val="none" w:sz="0" w:space="0" w:color="auto"/>
            <w:right w:val="none" w:sz="0" w:space="0" w:color="auto"/>
          </w:divBdr>
        </w:div>
        <w:div w:id="1599488718">
          <w:marLeft w:val="0"/>
          <w:marRight w:val="0"/>
          <w:marTop w:val="0"/>
          <w:marBottom w:val="0"/>
          <w:divBdr>
            <w:top w:val="none" w:sz="0" w:space="0" w:color="auto"/>
            <w:left w:val="none" w:sz="0" w:space="0" w:color="auto"/>
            <w:bottom w:val="none" w:sz="0" w:space="0" w:color="auto"/>
            <w:right w:val="none" w:sz="0" w:space="0" w:color="auto"/>
          </w:divBdr>
        </w:div>
        <w:div w:id="1712532192">
          <w:marLeft w:val="0"/>
          <w:marRight w:val="0"/>
          <w:marTop w:val="0"/>
          <w:marBottom w:val="0"/>
          <w:divBdr>
            <w:top w:val="none" w:sz="0" w:space="0" w:color="auto"/>
            <w:left w:val="none" w:sz="0" w:space="0" w:color="auto"/>
            <w:bottom w:val="none" w:sz="0" w:space="0" w:color="auto"/>
            <w:right w:val="none" w:sz="0" w:space="0" w:color="auto"/>
          </w:divBdr>
        </w:div>
        <w:div w:id="1863009849">
          <w:marLeft w:val="0"/>
          <w:marRight w:val="0"/>
          <w:marTop w:val="0"/>
          <w:marBottom w:val="0"/>
          <w:divBdr>
            <w:top w:val="none" w:sz="0" w:space="0" w:color="auto"/>
            <w:left w:val="none" w:sz="0" w:space="0" w:color="auto"/>
            <w:bottom w:val="none" w:sz="0" w:space="0" w:color="auto"/>
            <w:right w:val="none" w:sz="0" w:space="0" w:color="auto"/>
          </w:divBdr>
        </w:div>
      </w:divsChild>
    </w:div>
    <w:div w:id="1206408384">
      <w:bodyDiv w:val="1"/>
      <w:marLeft w:val="0"/>
      <w:marRight w:val="0"/>
      <w:marTop w:val="0"/>
      <w:marBottom w:val="0"/>
      <w:divBdr>
        <w:top w:val="none" w:sz="0" w:space="0" w:color="auto"/>
        <w:left w:val="none" w:sz="0" w:space="0" w:color="auto"/>
        <w:bottom w:val="none" w:sz="0" w:space="0" w:color="auto"/>
        <w:right w:val="none" w:sz="0" w:space="0" w:color="auto"/>
      </w:divBdr>
    </w:div>
    <w:div w:id="1215122441">
      <w:bodyDiv w:val="1"/>
      <w:marLeft w:val="0"/>
      <w:marRight w:val="0"/>
      <w:marTop w:val="0"/>
      <w:marBottom w:val="0"/>
      <w:divBdr>
        <w:top w:val="none" w:sz="0" w:space="0" w:color="auto"/>
        <w:left w:val="none" w:sz="0" w:space="0" w:color="auto"/>
        <w:bottom w:val="none" w:sz="0" w:space="0" w:color="auto"/>
        <w:right w:val="none" w:sz="0" w:space="0" w:color="auto"/>
      </w:divBdr>
      <w:divsChild>
        <w:div w:id="132405016">
          <w:marLeft w:val="0"/>
          <w:marRight w:val="0"/>
          <w:marTop w:val="0"/>
          <w:marBottom w:val="0"/>
          <w:divBdr>
            <w:top w:val="none" w:sz="0" w:space="0" w:color="auto"/>
            <w:left w:val="none" w:sz="0" w:space="0" w:color="auto"/>
            <w:bottom w:val="none" w:sz="0" w:space="0" w:color="auto"/>
            <w:right w:val="none" w:sz="0" w:space="0" w:color="auto"/>
          </w:divBdr>
          <w:divsChild>
            <w:div w:id="251670988">
              <w:marLeft w:val="0"/>
              <w:marRight w:val="0"/>
              <w:marTop w:val="0"/>
              <w:marBottom w:val="0"/>
              <w:divBdr>
                <w:top w:val="none" w:sz="0" w:space="0" w:color="auto"/>
                <w:left w:val="none" w:sz="0" w:space="0" w:color="auto"/>
                <w:bottom w:val="none" w:sz="0" w:space="0" w:color="auto"/>
                <w:right w:val="none" w:sz="0" w:space="0" w:color="auto"/>
              </w:divBdr>
            </w:div>
            <w:div w:id="947397907">
              <w:marLeft w:val="0"/>
              <w:marRight w:val="0"/>
              <w:marTop w:val="0"/>
              <w:marBottom w:val="0"/>
              <w:divBdr>
                <w:top w:val="none" w:sz="0" w:space="0" w:color="auto"/>
                <w:left w:val="none" w:sz="0" w:space="0" w:color="auto"/>
                <w:bottom w:val="none" w:sz="0" w:space="0" w:color="auto"/>
                <w:right w:val="none" w:sz="0" w:space="0" w:color="auto"/>
              </w:divBdr>
            </w:div>
            <w:div w:id="15375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7848">
      <w:bodyDiv w:val="1"/>
      <w:marLeft w:val="0"/>
      <w:marRight w:val="0"/>
      <w:marTop w:val="0"/>
      <w:marBottom w:val="0"/>
      <w:divBdr>
        <w:top w:val="none" w:sz="0" w:space="0" w:color="auto"/>
        <w:left w:val="none" w:sz="0" w:space="0" w:color="auto"/>
        <w:bottom w:val="none" w:sz="0" w:space="0" w:color="auto"/>
        <w:right w:val="none" w:sz="0" w:space="0" w:color="auto"/>
      </w:divBdr>
      <w:divsChild>
        <w:div w:id="14158999">
          <w:marLeft w:val="0"/>
          <w:marRight w:val="0"/>
          <w:marTop w:val="0"/>
          <w:marBottom w:val="0"/>
          <w:divBdr>
            <w:top w:val="none" w:sz="0" w:space="0" w:color="auto"/>
            <w:left w:val="none" w:sz="0" w:space="0" w:color="auto"/>
            <w:bottom w:val="none" w:sz="0" w:space="0" w:color="auto"/>
            <w:right w:val="none" w:sz="0" w:space="0" w:color="auto"/>
          </w:divBdr>
        </w:div>
        <w:div w:id="53966976">
          <w:marLeft w:val="0"/>
          <w:marRight w:val="0"/>
          <w:marTop w:val="0"/>
          <w:marBottom w:val="0"/>
          <w:divBdr>
            <w:top w:val="none" w:sz="0" w:space="0" w:color="auto"/>
            <w:left w:val="none" w:sz="0" w:space="0" w:color="auto"/>
            <w:bottom w:val="none" w:sz="0" w:space="0" w:color="auto"/>
            <w:right w:val="none" w:sz="0" w:space="0" w:color="auto"/>
          </w:divBdr>
        </w:div>
        <w:div w:id="81805924">
          <w:marLeft w:val="0"/>
          <w:marRight w:val="0"/>
          <w:marTop w:val="0"/>
          <w:marBottom w:val="0"/>
          <w:divBdr>
            <w:top w:val="none" w:sz="0" w:space="0" w:color="auto"/>
            <w:left w:val="none" w:sz="0" w:space="0" w:color="auto"/>
            <w:bottom w:val="none" w:sz="0" w:space="0" w:color="auto"/>
            <w:right w:val="none" w:sz="0" w:space="0" w:color="auto"/>
          </w:divBdr>
        </w:div>
        <w:div w:id="244000559">
          <w:marLeft w:val="0"/>
          <w:marRight w:val="0"/>
          <w:marTop w:val="0"/>
          <w:marBottom w:val="0"/>
          <w:divBdr>
            <w:top w:val="none" w:sz="0" w:space="0" w:color="auto"/>
            <w:left w:val="none" w:sz="0" w:space="0" w:color="auto"/>
            <w:bottom w:val="none" w:sz="0" w:space="0" w:color="auto"/>
            <w:right w:val="none" w:sz="0" w:space="0" w:color="auto"/>
          </w:divBdr>
        </w:div>
        <w:div w:id="254091542">
          <w:marLeft w:val="0"/>
          <w:marRight w:val="0"/>
          <w:marTop w:val="0"/>
          <w:marBottom w:val="0"/>
          <w:divBdr>
            <w:top w:val="none" w:sz="0" w:space="0" w:color="auto"/>
            <w:left w:val="none" w:sz="0" w:space="0" w:color="auto"/>
            <w:bottom w:val="none" w:sz="0" w:space="0" w:color="auto"/>
            <w:right w:val="none" w:sz="0" w:space="0" w:color="auto"/>
          </w:divBdr>
        </w:div>
        <w:div w:id="267081775">
          <w:marLeft w:val="0"/>
          <w:marRight w:val="0"/>
          <w:marTop w:val="0"/>
          <w:marBottom w:val="0"/>
          <w:divBdr>
            <w:top w:val="none" w:sz="0" w:space="0" w:color="auto"/>
            <w:left w:val="none" w:sz="0" w:space="0" w:color="auto"/>
            <w:bottom w:val="none" w:sz="0" w:space="0" w:color="auto"/>
            <w:right w:val="none" w:sz="0" w:space="0" w:color="auto"/>
          </w:divBdr>
        </w:div>
        <w:div w:id="299112213">
          <w:marLeft w:val="0"/>
          <w:marRight w:val="0"/>
          <w:marTop w:val="0"/>
          <w:marBottom w:val="0"/>
          <w:divBdr>
            <w:top w:val="none" w:sz="0" w:space="0" w:color="auto"/>
            <w:left w:val="none" w:sz="0" w:space="0" w:color="auto"/>
            <w:bottom w:val="none" w:sz="0" w:space="0" w:color="auto"/>
            <w:right w:val="none" w:sz="0" w:space="0" w:color="auto"/>
          </w:divBdr>
        </w:div>
        <w:div w:id="426200209">
          <w:marLeft w:val="0"/>
          <w:marRight w:val="0"/>
          <w:marTop w:val="0"/>
          <w:marBottom w:val="0"/>
          <w:divBdr>
            <w:top w:val="none" w:sz="0" w:space="0" w:color="auto"/>
            <w:left w:val="none" w:sz="0" w:space="0" w:color="auto"/>
            <w:bottom w:val="none" w:sz="0" w:space="0" w:color="auto"/>
            <w:right w:val="none" w:sz="0" w:space="0" w:color="auto"/>
          </w:divBdr>
        </w:div>
        <w:div w:id="626156219">
          <w:marLeft w:val="0"/>
          <w:marRight w:val="0"/>
          <w:marTop w:val="0"/>
          <w:marBottom w:val="0"/>
          <w:divBdr>
            <w:top w:val="none" w:sz="0" w:space="0" w:color="auto"/>
            <w:left w:val="none" w:sz="0" w:space="0" w:color="auto"/>
            <w:bottom w:val="none" w:sz="0" w:space="0" w:color="auto"/>
            <w:right w:val="none" w:sz="0" w:space="0" w:color="auto"/>
          </w:divBdr>
        </w:div>
        <w:div w:id="648629856">
          <w:marLeft w:val="0"/>
          <w:marRight w:val="0"/>
          <w:marTop w:val="0"/>
          <w:marBottom w:val="0"/>
          <w:divBdr>
            <w:top w:val="none" w:sz="0" w:space="0" w:color="auto"/>
            <w:left w:val="none" w:sz="0" w:space="0" w:color="auto"/>
            <w:bottom w:val="none" w:sz="0" w:space="0" w:color="auto"/>
            <w:right w:val="none" w:sz="0" w:space="0" w:color="auto"/>
          </w:divBdr>
        </w:div>
        <w:div w:id="700127146">
          <w:marLeft w:val="0"/>
          <w:marRight w:val="0"/>
          <w:marTop w:val="0"/>
          <w:marBottom w:val="0"/>
          <w:divBdr>
            <w:top w:val="none" w:sz="0" w:space="0" w:color="auto"/>
            <w:left w:val="none" w:sz="0" w:space="0" w:color="auto"/>
            <w:bottom w:val="none" w:sz="0" w:space="0" w:color="auto"/>
            <w:right w:val="none" w:sz="0" w:space="0" w:color="auto"/>
          </w:divBdr>
        </w:div>
        <w:div w:id="883757508">
          <w:marLeft w:val="0"/>
          <w:marRight w:val="0"/>
          <w:marTop w:val="0"/>
          <w:marBottom w:val="0"/>
          <w:divBdr>
            <w:top w:val="none" w:sz="0" w:space="0" w:color="auto"/>
            <w:left w:val="none" w:sz="0" w:space="0" w:color="auto"/>
            <w:bottom w:val="none" w:sz="0" w:space="0" w:color="auto"/>
            <w:right w:val="none" w:sz="0" w:space="0" w:color="auto"/>
          </w:divBdr>
        </w:div>
        <w:div w:id="901020341">
          <w:marLeft w:val="0"/>
          <w:marRight w:val="0"/>
          <w:marTop w:val="0"/>
          <w:marBottom w:val="0"/>
          <w:divBdr>
            <w:top w:val="none" w:sz="0" w:space="0" w:color="auto"/>
            <w:left w:val="none" w:sz="0" w:space="0" w:color="auto"/>
            <w:bottom w:val="none" w:sz="0" w:space="0" w:color="auto"/>
            <w:right w:val="none" w:sz="0" w:space="0" w:color="auto"/>
          </w:divBdr>
        </w:div>
        <w:div w:id="962267339">
          <w:marLeft w:val="0"/>
          <w:marRight w:val="0"/>
          <w:marTop w:val="0"/>
          <w:marBottom w:val="0"/>
          <w:divBdr>
            <w:top w:val="none" w:sz="0" w:space="0" w:color="auto"/>
            <w:left w:val="none" w:sz="0" w:space="0" w:color="auto"/>
            <w:bottom w:val="none" w:sz="0" w:space="0" w:color="auto"/>
            <w:right w:val="none" w:sz="0" w:space="0" w:color="auto"/>
          </w:divBdr>
        </w:div>
        <w:div w:id="978995703">
          <w:marLeft w:val="0"/>
          <w:marRight w:val="0"/>
          <w:marTop w:val="0"/>
          <w:marBottom w:val="0"/>
          <w:divBdr>
            <w:top w:val="none" w:sz="0" w:space="0" w:color="auto"/>
            <w:left w:val="none" w:sz="0" w:space="0" w:color="auto"/>
            <w:bottom w:val="none" w:sz="0" w:space="0" w:color="auto"/>
            <w:right w:val="none" w:sz="0" w:space="0" w:color="auto"/>
          </w:divBdr>
        </w:div>
        <w:div w:id="992413597">
          <w:marLeft w:val="0"/>
          <w:marRight w:val="0"/>
          <w:marTop w:val="0"/>
          <w:marBottom w:val="0"/>
          <w:divBdr>
            <w:top w:val="none" w:sz="0" w:space="0" w:color="auto"/>
            <w:left w:val="none" w:sz="0" w:space="0" w:color="auto"/>
            <w:bottom w:val="none" w:sz="0" w:space="0" w:color="auto"/>
            <w:right w:val="none" w:sz="0" w:space="0" w:color="auto"/>
          </w:divBdr>
        </w:div>
        <w:div w:id="1274556217">
          <w:marLeft w:val="0"/>
          <w:marRight w:val="0"/>
          <w:marTop w:val="0"/>
          <w:marBottom w:val="0"/>
          <w:divBdr>
            <w:top w:val="none" w:sz="0" w:space="0" w:color="auto"/>
            <w:left w:val="none" w:sz="0" w:space="0" w:color="auto"/>
            <w:bottom w:val="none" w:sz="0" w:space="0" w:color="auto"/>
            <w:right w:val="none" w:sz="0" w:space="0" w:color="auto"/>
          </w:divBdr>
        </w:div>
        <w:div w:id="1278488211">
          <w:marLeft w:val="0"/>
          <w:marRight w:val="0"/>
          <w:marTop w:val="0"/>
          <w:marBottom w:val="0"/>
          <w:divBdr>
            <w:top w:val="none" w:sz="0" w:space="0" w:color="auto"/>
            <w:left w:val="none" w:sz="0" w:space="0" w:color="auto"/>
            <w:bottom w:val="none" w:sz="0" w:space="0" w:color="auto"/>
            <w:right w:val="none" w:sz="0" w:space="0" w:color="auto"/>
          </w:divBdr>
        </w:div>
        <w:div w:id="1474634352">
          <w:marLeft w:val="0"/>
          <w:marRight w:val="0"/>
          <w:marTop w:val="0"/>
          <w:marBottom w:val="0"/>
          <w:divBdr>
            <w:top w:val="none" w:sz="0" w:space="0" w:color="auto"/>
            <w:left w:val="none" w:sz="0" w:space="0" w:color="auto"/>
            <w:bottom w:val="none" w:sz="0" w:space="0" w:color="auto"/>
            <w:right w:val="none" w:sz="0" w:space="0" w:color="auto"/>
          </w:divBdr>
        </w:div>
        <w:div w:id="1581017372">
          <w:marLeft w:val="0"/>
          <w:marRight w:val="0"/>
          <w:marTop w:val="0"/>
          <w:marBottom w:val="0"/>
          <w:divBdr>
            <w:top w:val="none" w:sz="0" w:space="0" w:color="auto"/>
            <w:left w:val="none" w:sz="0" w:space="0" w:color="auto"/>
            <w:bottom w:val="none" w:sz="0" w:space="0" w:color="auto"/>
            <w:right w:val="none" w:sz="0" w:space="0" w:color="auto"/>
          </w:divBdr>
        </w:div>
        <w:div w:id="1714887831">
          <w:marLeft w:val="0"/>
          <w:marRight w:val="0"/>
          <w:marTop w:val="0"/>
          <w:marBottom w:val="0"/>
          <w:divBdr>
            <w:top w:val="none" w:sz="0" w:space="0" w:color="auto"/>
            <w:left w:val="none" w:sz="0" w:space="0" w:color="auto"/>
            <w:bottom w:val="none" w:sz="0" w:space="0" w:color="auto"/>
            <w:right w:val="none" w:sz="0" w:space="0" w:color="auto"/>
          </w:divBdr>
        </w:div>
        <w:div w:id="1861625653">
          <w:marLeft w:val="0"/>
          <w:marRight w:val="0"/>
          <w:marTop w:val="0"/>
          <w:marBottom w:val="0"/>
          <w:divBdr>
            <w:top w:val="none" w:sz="0" w:space="0" w:color="auto"/>
            <w:left w:val="none" w:sz="0" w:space="0" w:color="auto"/>
            <w:bottom w:val="none" w:sz="0" w:space="0" w:color="auto"/>
            <w:right w:val="none" w:sz="0" w:space="0" w:color="auto"/>
          </w:divBdr>
        </w:div>
        <w:div w:id="2047561151">
          <w:marLeft w:val="0"/>
          <w:marRight w:val="0"/>
          <w:marTop w:val="0"/>
          <w:marBottom w:val="0"/>
          <w:divBdr>
            <w:top w:val="none" w:sz="0" w:space="0" w:color="auto"/>
            <w:left w:val="none" w:sz="0" w:space="0" w:color="auto"/>
            <w:bottom w:val="none" w:sz="0" w:space="0" w:color="auto"/>
            <w:right w:val="none" w:sz="0" w:space="0" w:color="auto"/>
          </w:divBdr>
        </w:div>
      </w:divsChild>
    </w:div>
    <w:div w:id="1296520076">
      <w:bodyDiv w:val="1"/>
      <w:marLeft w:val="0"/>
      <w:marRight w:val="0"/>
      <w:marTop w:val="0"/>
      <w:marBottom w:val="0"/>
      <w:divBdr>
        <w:top w:val="none" w:sz="0" w:space="0" w:color="auto"/>
        <w:left w:val="none" w:sz="0" w:space="0" w:color="auto"/>
        <w:bottom w:val="none" w:sz="0" w:space="0" w:color="auto"/>
        <w:right w:val="none" w:sz="0" w:space="0" w:color="auto"/>
      </w:divBdr>
    </w:div>
    <w:div w:id="1334065889">
      <w:bodyDiv w:val="1"/>
      <w:marLeft w:val="0"/>
      <w:marRight w:val="0"/>
      <w:marTop w:val="0"/>
      <w:marBottom w:val="0"/>
      <w:divBdr>
        <w:top w:val="none" w:sz="0" w:space="0" w:color="auto"/>
        <w:left w:val="none" w:sz="0" w:space="0" w:color="auto"/>
        <w:bottom w:val="none" w:sz="0" w:space="0" w:color="auto"/>
        <w:right w:val="none" w:sz="0" w:space="0" w:color="auto"/>
      </w:divBdr>
    </w:div>
    <w:div w:id="1404990850">
      <w:bodyDiv w:val="1"/>
      <w:marLeft w:val="0"/>
      <w:marRight w:val="0"/>
      <w:marTop w:val="0"/>
      <w:marBottom w:val="0"/>
      <w:divBdr>
        <w:top w:val="none" w:sz="0" w:space="0" w:color="auto"/>
        <w:left w:val="none" w:sz="0" w:space="0" w:color="auto"/>
        <w:bottom w:val="none" w:sz="0" w:space="0" w:color="auto"/>
        <w:right w:val="none" w:sz="0" w:space="0" w:color="auto"/>
      </w:divBdr>
    </w:div>
    <w:div w:id="1425105728">
      <w:bodyDiv w:val="1"/>
      <w:marLeft w:val="0"/>
      <w:marRight w:val="0"/>
      <w:marTop w:val="0"/>
      <w:marBottom w:val="0"/>
      <w:divBdr>
        <w:top w:val="none" w:sz="0" w:space="0" w:color="auto"/>
        <w:left w:val="none" w:sz="0" w:space="0" w:color="auto"/>
        <w:bottom w:val="none" w:sz="0" w:space="0" w:color="auto"/>
        <w:right w:val="none" w:sz="0" w:space="0" w:color="auto"/>
      </w:divBdr>
    </w:div>
    <w:div w:id="1432773840">
      <w:bodyDiv w:val="1"/>
      <w:marLeft w:val="0"/>
      <w:marRight w:val="0"/>
      <w:marTop w:val="0"/>
      <w:marBottom w:val="0"/>
      <w:divBdr>
        <w:top w:val="none" w:sz="0" w:space="0" w:color="auto"/>
        <w:left w:val="none" w:sz="0" w:space="0" w:color="auto"/>
        <w:bottom w:val="none" w:sz="0" w:space="0" w:color="auto"/>
        <w:right w:val="none" w:sz="0" w:space="0" w:color="auto"/>
      </w:divBdr>
    </w:div>
    <w:div w:id="1434671119">
      <w:bodyDiv w:val="1"/>
      <w:marLeft w:val="0"/>
      <w:marRight w:val="0"/>
      <w:marTop w:val="0"/>
      <w:marBottom w:val="0"/>
      <w:divBdr>
        <w:top w:val="none" w:sz="0" w:space="0" w:color="auto"/>
        <w:left w:val="none" w:sz="0" w:space="0" w:color="auto"/>
        <w:bottom w:val="none" w:sz="0" w:space="0" w:color="auto"/>
        <w:right w:val="none" w:sz="0" w:space="0" w:color="auto"/>
      </w:divBdr>
    </w:div>
    <w:div w:id="1444685828">
      <w:bodyDiv w:val="1"/>
      <w:marLeft w:val="0"/>
      <w:marRight w:val="0"/>
      <w:marTop w:val="0"/>
      <w:marBottom w:val="0"/>
      <w:divBdr>
        <w:top w:val="none" w:sz="0" w:space="0" w:color="auto"/>
        <w:left w:val="none" w:sz="0" w:space="0" w:color="auto"/>
        <w:bottom w:val="none" w:sz="0" w:space="0" w:color="auto"/>
        <w:right w:val="none" w:sz="0" w:space="0" w:color="auto"/>
      </w:divBdr>
    </w:div>
    <w:div w:id="1471091893">
      <w:bodyDiv w:val="1"/>
      <w:marLeft w:val="0"/>
      <w:marRight w:val="0"/>
      <w:marTop w:val="0"/>
      <w:marBottom w:val="0"/>
      <w:divBdr>
        <w:top w:val="none" w:sz="0" w:space="0" w:color="auto"/>
        <w:left w:val="none" w:sz="0" w:space="0" w:color="auto"/>
        <w:bottom w:val="none" w:sz="0" w:space="0" w:color="auto"/>
        <w:right w:val="none" w:sz="0" w:space="0" w:color="auto"/>
      </w:divBdr>
      <w:divsChild>
        <w:div w:id="233976163">
          <w:marLeft w:val="0"/>
          <w:marRight w:val="0"/>
          <w:marTop w:val="0"/>
          <w:marBottom w:val="0"/>
          <w:divBdr>
            <w:top w:val="none" w:sz="0" w:space="0" w:color="auto"/>
            <w:left w:val="none" w:sz="0" w:space="0" w:color="auto"/>
            <w:bottom w:val="none" w:sz="0" w:space="0" w:color="auto"/>
            <w:right w:val="none" w:sz="0" w:space="0" w:color="auto"/>
          </w:divBdr>
        </w:div>
        <w:div w:id="280501067">
          <w:marLeft w:val="0"/>
          <w:marRight w:val="0"/>
          <w:marTop w:val="0"/>
          <w:marBottom w:val="0"/>
          <w:divBdr>
            <w:top w:val="none" w:sz="0" w:space="0" w:color="auto"/>
            <w:left w:val="none" w:sz="0" w:space="0" w:color="auto"/>
            <w:bottom w:val="none" w:sz="0" w:space="0" w:color="auto"/>
            <w:right w:val="none" w:sz="0" w:space="0" w:color="auto"/>
          </w:divBdr>
        </w:div>
        <w:div w:id="648022025">
          <w:marLeft w:val="0"/>
          <w:marRight w:val="0"/>
          <w:marTop w:val="0"/>
          <w:marBottom w:val="0"/>
          <w:divBdr>
            <w:top w:val="none" w:sz="0" w:space="0" w:color="auto"/>
            <w:left w:val="none" w:sz="0" w:space="0" w:color="auto"/>
            <w:bottom w:val="none" w:sz="0" w:space="0" w:color="auto"/>
            <w:right w:val="none" w:sz="0" w:space="0" w:color="auto"/>
          </w:divBdr>
        </w:div>
        <w:div w:id="711151240">
          <w:marLeft w:val="0"/>
          <w:marRight w:val="0"/>
          <w:marTop w:val="0"/>
          <w:marBottom w:val="0"/>
          <w:divBdr>
            <w:top w:val="none" w:sz="0" w:space="0" w:color="auto"/>
            <w:left w:val="none" w:sz="0" w:space="0" w:color="auto"/>
            <w:bottom w:val="none" w:sz="0" w:space="0" w:color="auto"/>
            <w:right w:val="none" w:sz="0" w:space="0" w:color="auto"/>
          </w:divBdr>
        </w:div>
        <w:div w:id="753210023">
          <w:marLeft w:val="0"/>
          <w:marRight w:val="0"/>
          <w:marTop w:val="0"/>
          <w:marBottom w:val="0"/>
          <w:divBdr>
            <w:top w:val="none" w:sz="0" w:space="0" w:color="auto"/>
            <w:left w:val="none" w:sz="0" w:space="0" w:color="auto"/>
            <w:bottom w:val="none" w:sz="0" w:space="0" w:color="auto"/>
            <w:right w:val="none" w:sz="0" w:space="0" w:color="auto"/>
          </w:divBdr>
        </w:div>
        <w:div w:id="1244756168">
          <w:marLeft w:val="0"/>
          <w:marRight w:val="0"/>
          <w:marTop w:val="0"/>
          <w:marBottom w:val="0"/>
          <w:divBdr>
            <w:top w:val="none" w:sz="0" w:space="0" w:color="auto"/>
            <w:left w:val="none" w:sz="0" w:space="0" w:color="auto"/>
            <w:bottom w:val="none" w:sz="0" w:space="0" w:color="auto"/>
            <w:right w:val="none" w:sz="0" w:space="0" w:color="auto"/>
          </w:divBdr>
        </w:div>
      </w:divsChild>
    </w:div>
    <w:div w:id="1495342154">
      <w:bodyDiv w:val="1"/>
      <w:marLeft w:val="0"/>
      <w:marRight w:val="0"/>
      <w:marTop w:val="0"/>
      <w:marBottom w:val="0"/>
      <w:divBdr>
        <w:top w:val="none" w:sz="0" w:space="0" w:color="auto"/>
        <w:left w:val="none" w:sz="0" w:space="0" w:color="auto"/>
        <w:bottom w:val="none" w:sz="0" w:space="0" w:color="auto"/>
        <w:right w:val="none" w:sz="0" w:space="0" w:color="auto"/>
      </w:divBdr>
      <w:divsChild>
        <w:div w:id="38282335">
          <w:marLeft w:val="0"/>
          <w:marRight w:val="0"/>
          <w:marTop w:val="0"/>
          <w:marBottom w:val="0"/>
          <w:divBdr>
            <w:top w:val="none" w:sz="0" w:space="0" w:color="auto"/>
            <w:left w:val="none" w:sz="0" w:space="0" w:color="auto"/>
            <w:bottom w:val="none" w:sz="0" w:space="0" w:color="auto"/>
            <w:right w:val="none" w:sz="0" w:space="0" w:color="auto"/>
          </w:divBdr>
        </w:div>
        <w:div w:id="74672594">
          <w:marLeft w:val="0"/>
          <w:marRight w:val="0"/>
          <w:marTop w:val="0"/>
          <w:marBottom w:val="0"/>
          <w:divBdr>
            <w:top w:val="none" w:sz="0" w:space="0" w:color="auto"/>
            <w:left w:val="none" w:sz="0" w:space="0" w:color="auto"/>
            <w:bottom w:val="none" w:sz="0" w:space="0" w:color="auto"/>
            <w:right w:val="none" w:sz="0" w:space="0" w:color="auto"/>
          </w:divBdr>
        </w:div>
        <w:div w:id="31083908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323706284">
          <w:marLeft w:val="0"/>
          <w:marRight w:val="0"/>
          <w:marTop w:val="0"/>
          <w:marBottom w:val="0"/>
          <w:divBdr>
            <w:top w:val="none" w:sz="0" w:space="0" w:color="auto"/>
            <w:left w:val="none" w:sz="0" w:space="0" w:color="auto"/>
            <w:bottom w:val="none" w:sz="0" w:space="0" w:color="auto"/>
            <w:right w:val="none" w:sz="0" w:space="0" w:color="auto"/>
          </w:divBdr>
        </w:div>
        <w:div w:id="622730113">
          <w:marLeft w:val="0"/>
          <w:marRight w:val="0"/>
          <w:marTop w:val="0"/>
          <w:marBottom w:val="0"/>
          <w:divBdr>
            <w:top w:val="none" w:sz="0" w:space="0" w:color="auto"/>
            <w:left w:val="none" w:sz="0" w:space="0" w:color="auto"/>
            <w:bottom w:val="none" w:sz="0" w:space="0" w:color="auto"/>
            <w:right w:val="none" w:sz="0" w:space="0" w:color="auto"/>
          </w:divBdr>
        </w:div>
        <w:div w:id="706487371">
          <w:marLeft w:val="0"/>
          <w:marRight w:val="0"/>
          <w:marTop w:val="0"/>
          <w:marBottom w:val="0"/>
          <w:divBdr>
            <w:top w:val="none" w:sz="0" w:space="0" w:color="auto"/>
            <w:left w:val="none" w:sz="0" w:space="0" w:color="auto"/>
            <w:bottom w:val="none" w:sz="0" w:space="0" w:color="auto"/>
            <w:right w:val="none" w:sz="0" w:space="0" w:color="auto"/>
          </w:divBdr>
        </w:div>
        <w:div w:id="848953699">
          <w:marLeft w:val="0"/>
          <w:marRight w:val="0"/>
          <w:marTop w:val="0"/>
          <w:marBottom w:val="0"/>
          <w:divBdr>
            <w:top w:val="none" w:sz="0" w:space="0" w:color="auto"/>
            <w:left w:val="none" w:sz="0" w:space="0" w:color="auto"/>
            <w:bottom w:val="none" w:sz="0" w:space="0" w:color="auto"/>
            <w:right w:val="none" w:sz="0" w:space="0" w:color="auto"/>
          </w:divBdr>
        </w:div>
        <w:div w:id="911431904">
          <w:marLeft w:val="0"/>
          <w:marRight w:val="0"/>
          <w:marTop w:val="0"/>
          <w:marBottom w:val="0"/>
          <w:divBdr>
            <w:top w:val="none" w:sz="0" w:space="0" w:color="auto"/>
            <w:left w:val="none" w:sz="0" w:space="0" w:color="auto"/>
            <w:bottom w:val="none" w:sz="0" w:space="0" w:color="auto"/>
            <w:right w:val="none" w:sz="0" w:space="0" w:color="auto"/>
          </w:divBdr>
        </w:div>
        <w:div w:id="912355319">
          <w:marLeft w:val="0"/>
          <w:marRight w:val="0"/>
          <w:marTop w:val="0"/>
          <w:marBottom w:val="0"/>
          <w:divBdr>
            <w:top w:val="none" w:sz="0" w:space="0" w:color="auto"/>
            <w:left w:val="none" w:sz="0" w:space="0" w:color="auto"/>
            <w:bottom w:val="none" w:sz="0" w:space="0" w:color="auto"/>
            <w:right w:val="none" w:sz="0" w:space="0" w:color="auto"/>
          </w:divBdr>
        </w:div>
        <w:div w:id="926110533">
          <w:marLeft w:val="0"/>
          <w:marRight w:val="0"/>
          <w:marTop w:val="0"/>
          <w:marBottom w:val="0"/>
          <w:divBdr>
            <w:top w:val="none" w:sz="0" w:space="0" w:color="auto"/>
            <w:left w:val="none" w:sz="0" w:space="0" w:color="auto"/>
            <w:bottom w:val="none" w:sz="0" w:space="0" w:color="auto"/>
            <w:right w:val="none" w:sz="0" w:space="0" w:color="auto"/>
          </w:divBdr>
        </w:div>
        <w:div w:id="936984532">
          <w:marLeft w:val="0"/>
          <w:marRight w:val="0"/>
          <w:marTop w:val="0"/>
          <w:marBottom w:val="0"/>
          <w:divBdr>
            <w:top w:val="none" w:sz="0" w:space="0" w:color="auto"/>
            <w:left w:val="none" w:sz="0" w:space="0" w:color="auto"/>
            <w:bottom w:val="none" w:sz="0" w:space="0" w:color="auto"/>
            <w:right w:val="none" w:sz="0" w:space="0" w:color="auto"/>
          </w:divBdr>
        </w:div>
        <w:div w:id="958102996">
          <w:marLeft w:val="0"/>
          <w:marRight w:val="0"/>
          <w:marTop w:val="0"/>
          <w:marBottom w:val="0"/>
          <w:divBdr>
            <w:top w:val="none" w:sz="0" w:space="0" w:color="auto"/>
            <w:left w:val="none" w:sz="0" w:space="0" w:color="auto"/>
            <w:bottom w:val="none" w:sz="0" w:space="0" w:color="auto"/>
            <w:right w:val="none" w:sz="0" w:space="0" w:color="auto"/>
          </w:divBdr>
        </w:div>
        <w:div w:id="1077559781">
          <w:marLeft w:val="0"/>
          <w:marRight w:val="0"/>
          <w:marTop w:val="0"/>
          <w:marBottom w:val="0"/>
          <w:divBdr>
            <w:top w:val="none" w:sz="0" w:space="0" w:color="auto"/>
            <w:left w:val="none" w:sz="0" w:space="0" w:color="auto"/>
            <w:bottom w:val="none" w:sz="0" w:space="0" w:color="auto"/>
            <w:right w:val="none" w:sz="0" w:space="0" w:color="auto"/>
          </w:divBdr>
        </w:div>
        <w:div w:id="1117022993">
          <w:marLeft w:val="0"/>
          <w:marRight w:val="0"/>
          <w:marTop w:val="0"/>
          <w:marBottom w:val="0"/>
          <w:divBdr>
            <w:top w:val="none" w:sz="0" w:space="0" w:color="auto"/>
            <w:left w:val="none" w:sz="0" w:space="0" w:color="auto"/>
            <w:bottom w:val="none" w:sz="0" w:space="0" w:color="auto"/>
            <w:right w:val="none" w:sz="0" w:space="0" w:color="auto"/>
          </w:divBdr>
        </w:div>
        <w:div w:id="1126580671">
          <w:marLeft w:val="0"/>
          <w:marRight w:val="0"/>
          <w:marTop w:val="0"/>
          <w:marBottom w:val="0"/>
          <w:divBdr>
            <w:top w:val="none" w:sz="0" w:space="0" w:color="auto"/>
            <w:left w:val="none" w:sz="0" w:space="0" w:color="auto"/>
            <w:bottom w:val="none" w:sz="0" w:space="0" w:color="auto"/>
            <w:right w:val="none" w:sz="0" w:space="0" w:color="auto"/>
          </w:divBdr>
        </w:div>
        <w:div w:id="1160004798">
          <w:marLeft w:val="0"/>
          <w:marRight w:val="0"/>
          <w:marTop w:val="0"/>
          <w:marBottom w:val="0"/>
          <w:divBdr>
            <w:top w:val="none" w:sz="0" w:space="0" w:color="auto"/>
            <w:left w:val="none" w:sz="0" w:space="0" w:color="auto"/>
            <w:bottom w:val="none" w:sz="0" w:space="0" w:color="auto"/>
            <w:right w:val="none" w:sz="0" w:space="0" w:color="auto"/>
          </w:divBdr>
        </w:div>
        <w:div w:id="1170367392">
          <w:marLeft w:val="0"/>
          <w:marRight w:val="0"/>
          <w:marTop w:val="0"/>
          <w:marBottom w:val="0"/>
          <w:divBdr>
            <w:top w:val="none" w:sz="0" w:space="0" w:color="auto"/>
            <w:left w:val="none" w:sz="0" w:space="0" w:color="auto"/>
            <w:bottom w:val="none" w:sz="0" w:space="0" w:color="auto"/>
            <w:right w:val="none" w:sz="0" w:space="0" w:color="auto"/>
          </w:divBdr>
        </w:div>
        <w:div w:id="1210531782">
          <w:marLeft w:val="0"/>
          <w:marRight w:val="0"/>
          <w:marTop w:val="0"/>
          <w:marBottom w:val="0"/>
          <w:divBdr>
            <w:top w:val="none" w:sz="0" w:space="0" w:color="auto"/>
            <w:left w:val="none" w:sz="0" w:space="0" w:color="auto"/>
            <w:bottom w:val="none" w:sz="0" w:space="0" w:color="auto"/>
            <w:right w:val="none" w:sz="0" w:space="0" w:color="auto"/>
          </w:divBdr>
        </w:div>
        <w:div w:id="1573543962">
          <w:marLeft w:val="0"/>
          <w:marRight w:val="0"/>
          <w:marTop w:val="0"/>
          <w:marBottom w:val="0"/>
          <w:divBdr>
            <w:top w:val="none" w:sz="0" w:space="0" w:color="auto"/>
            <w:left w:val="none" w:sz="0" w:space="0" w:color="auto"/>
            <w:bottom w:val="none" w:sz="0" w:space="0" w:color="auto"/>
            <w:right w:val="none" w:sz="0" w:space="0" w:color="auto"/>
          </w:divBdr>
        </w:div>
        <w:div w:id="1750807944">
          <w:marLeft w:val="0"/>
          <w:marRight w:val="0"/>
          <w:marTop w:val="0"/>
          <w:marBottom w:val="0"/>
          <w:divBdr>
            <w:top w:val="none" w:sz="0" w:space="0" w:color="auto"/>
            <w:left w:val="none" w:sz="0" w:space="0" w:color="auto"/>
            <w:bottom w:val="none" w:sz="0" w:space="0" w:color="auto"/>
            <w:right w:val="none" w:sz="0" w:space="0" w:color="auto"/>
          </w:divBdr>
        </w:div>
        <w:div w:id="1859388084">
          <w:marLeft w:val="0"/>
          <w:marRight w:val="0"/>
          <w:marTop w:val="0"/>
          <w:marBottom w:val="0"/>
          <w:divBdr>
            <w:top w:val="none" w:sz="0" w:space="0" w:color="auto"/>
            <w:left w:val="none" w:sz="0" w:space="0" w:color="auto"/>
            <w:bottom w:val="none" w:sz="0" w:space="0" w:color="auto"/>
            <w:right w:val="none" w:sz="0" w:space="0" w:color="auto"/>
          </w:divBdr>
        </w:div>
        <w:div w:id="1972713706">
          <w:marLeft w:val="0"/>
          <w:marRight w:val="0"/>
          <w:marTop w:val="0"/>
          <w:marBottom w:val="0"/>
          <w:divBdr>
            <w:top w:val="none" w:sz="0" w:space="0" w:color="auto"/>
            <w:left w:val="none" w:sz="0" w:space="0" w:color="auto"/>
            <w:bottom w:val="none" w:sz="0" w:space="0" w:color="auto"/>
            <w:right w:val="none" w:sz="0" w:space="0" w:color="auto"/>
          </w:divBdr>
        </w:div>
        <w:div w:id="2006590831">
          <w:marLeft w:val="0"/>
          <w:marRight w:val="0"/>
          <w:marTop w:val="0"/>
          <w:marBottom w:val="0"/>
          <w:divBdr>
            <w:top w:val="none" w:sz="0" w:space="0" w:color="auto"/>
            <w:left w:val="none" w:sz="0" w:space="0" w:color="auto"/>
            <w:bottom w:val="none" w:sz="0" w:space="0" w:color="auto"/>
            <w:right w:val="none" w:sz="0" w:space="0" w:color="auto"/>
          </w:divBdr>
        </w:div>
      </w:divsChild>
    </w:div>
    <w:div w:id="1516918151">
      <w:bodyDiv w:val="1"/>
      <w:marLeft w:val="0"/>
      <w:marRight w:val="0"/>
      <w:marTop w:val="0"/>
      <w:marBottom w:val="0"/>
      <w:divBdr>
        <w:top w:val="none" w:sz="0" w:space="0" w:color="auto"/>
        <w:left w:val="none" w:sz="0" w:space="0" w:color="auto"/>
        <w:bottom w:val="none" w:sz="0" w:space="0" w:color="auto"/>
        <w:right w:val="none" w:sz="0" w:space="0" w:color="auto"/>
      </w:divBdr>
      <w:divsChild>
        <w:div w:id="437409290">
          <w:marLeft w:val="0"/>
          <w:marRight w:val="0"/>
          <w:marTop w:val="0"/>
          <w:marBottom w:val="0"/>
          <w:divBdr>
            <w:top w:val="none" w:sz="0" w:space="0" w:color="auto"/>
            <w:left w:val="none" w:sz="0" w:space="0" w:color="auto"/>
            <w:bottom w:val="none" w:sz="0" w:space="0" w:color="auto"/>
            <w:right w:val="none" w:sz="0" w:space="0" w:color="auto"/>
          </w:divBdr>
          <w:divsChild>
            <w:div w:id="318652625">
              <w:marLeft w:val="0"/>
              <w:marRight w:val="0"/>
              <w:marTop w:val="0"/>
              <w:marBottom w:val="0"/>
              <w:divBdr>
                <w:top w:val="none" w:sz="0" w:space="0" w:color="auto"/>
                <w:left w:val="none" w:sz="0" w:space="0" w:color="auto"/>
                <w:bottom w:val="none" w:sz="0" w:space="0" w:color="auto"/>
                <w:right w:val="none" w:sz="0" w:space="0" w:color="auto"/>
              </w:divBdr>
            </w:div>
            <w:div w:id="922184106">
              <w:marLeft w:val="0"/>
              <w:marRight w:val="0"/>
              <w:marTop w:val="0"/>
              <w:marBottom w:val="0"/>
              <w:divBdr>
                <w:top w:val="none" w:sz="0" w:space="0" w:color="auto"/>
                <w:left w:val="none" w:sz="0" w:space="0" w:color="auto"/>
                <w:bottom w:val="none" w:sz="0" w:space="0" w:color="auto"/>
                <w:right w:val="none" w:sz="0" w:space="0" w:color="auto"/>
              </w:divBdr>
            </w:div>
            <w:div w:id="15317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60018">
      <w:bodyDiv w:val="1"/>
      <w:marLeft w:val="0"/>
      <w:marRight w:val="0"/>
      <w:marTop w:val="0"/>
      <w:marBottom w:val="0"/>
      <w:divBdr>
        <w:top w:val="none" w:sz="0" w:space="0" w:color="auto"/>
        <w:left w:val="none" w:sz="0" w:space="0" w:color="auto"/>
        <w:bottom w:val="none" w:sz="0" w:space="0" w:color="auto"/>
        <w:right w:val="none" w:sz="0" w:space="0" w:color="auto"/>
      </w:divBdr>
      <w:divsChild>
        <w:div w:id="1666399836">
          <w:marLeft w:val="0"/>
          <w:marRight w:val="0"/>
          <w:marTop w:val="0"/>
          <w:marBottom w:val="0"/>
          <w:divBdr>
            <w:top w:val="none" w:sz="0" w:space="0" w:color="auto"/>
            <w:left w:val="none" w:sz="0" w:space="0" w:color="auto"/>
            <w:bottom w:val="none" w:sz="0" w:space="0" w:color="auto"/>
            <w:right w:val="none" w:sz="0" w:space="0" w:color="auto"/>
          </w:divBdr>
          <w:divsChild>
            <w:div w:id="241263636">
              <w:marLeft w:val="0"/>
              <w:marRight w:val="0"/>
              <w:marTop w:val="0"/>
              <w:marBottom w:val="0"/>
              <w:divBdr>
                <w:top w:val="none" w:sz="0" w:space="0" w:color="auto"/>
                <w:left w:val="none" w:sz="0" w:space="0" w:color="auto"/>
                <w:bottom w:val="none" w:sz="0" w:space="0" w:color="auto"/>
                <w:right w:val="none" w:sz="0" w:space="0" w:color="auto"/>
              </w:divBdr>
            </w:div>
            <w:div w:id="1115950357">
              <w:marLeft w:val="0"/>
              <w:marRight w:val="0"/>
              <w:marTop w:val="0"/>
              <w:marBottom w:val="0"/>
              <w:divBdr>
                <w:top w:val="none" w:sz="0" w:space="0" w:color="auto"/>
                <w:left w:val="none" w:sz="0" w:space="0" w:color="auto"/>
                <w:bottom w:val="none" w:sz="0" w:space="0" w:color="auto"/>
                <w:right w:val="none" w:sz="0" w:space="0" w:color="auto"/>
              </w:divBdr>
            </w:div>
            <w:div w:id="1655329594">
              <w:marLeft w:val="0"/>
              <w:marRight w:val="0"/>
              <w:marTop w:val="0"/>
              <w:marBottom w:val="0"/>
              <w:divBdr>
                <w:top w:val="none" w:sz="0" w:space="0" w:color="auto"/>
                <w:left w:val="none" w:sz="0" w:space="0" w:color="auto"/>
                <w:bottom w:val="none" w:sz="0" w:space="0" w:color="auto"/>
                <w:right w:val="none" w:sz="0" w:space="0" w:color="auto"/>
              </w:divBdr>
            </w:div>
            <w:div w:id="1779988116">
              <w:marLeft w:val="0"/>
              <w:marRight w:val="0"/>
              <w:marTop w:val="0"/>
              <w:marBottom w:val="0"/>
              <w:divBdr>
                <w:top w:val="none" w:sz="0" w:space="0" w:color="auto"/>
                <w:left w:val="none" w:sz="0" w:space="0" w:color="auto"/>
                <w:bottom w:val="none" w:sz="0" w:space="0" w:color="auto"/>
                <w:right w:val="none" w:sz="0" w:space="0" w:color="auto"/>
              </w:divBdr>
            </w:div>
            <w:div w:id="1892689985">
              <w:marLeft w:val="0"/>
              <w:marRight w:val="0"/>
              <w:marTop w:val="0"/>
              <w:marBottom w:val="0"/>
              <w:divBdr>
                <w:top w:val="none" w:sz="0" w:space="0" w:color="auto"/>
                <w:left w:val="none" w:sz="0" w:space="0" w:color="auto"/>
                <w:bottom w:val="none" w:sz="0" w:space="0" w:color="auto"/>
                <w:right w:val="none" w:sz="0" w:space="0" w:color="auto"/>
              </w:divBdr>
            </w:div>
            <w:div w:id="1945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2282">
      <w:bodyDiv w:val="1"/>
      <w:marLeft w:val="0"/>
      <w:marRight w:val="0"/>
      <w:marTop w:val="0"/>
      <w:marBottom w:val="0"/>
      <w:divBdr>
        <w:top w:val="none" w:sz="0" w:space="0" w:color="auto"/>
        <w:left w:val="none" w:sz="0" w:space="0" w:color="auto"/>
        <w:bottom w:val="none" w:sz="0" w:space="0" w:color="auto"/>
        <w:right w:val="none" w:sz="0" w:space="0" w:color="auto"/>
      </w:divBdr>
    </w:div>
    <w:div w:id="2009867551">
      <w:bodyDiv w:val="1"/>
      <w:marLeft w:val="0"/>
      <w:marRight w:val="0"/>
      <w:marTop w:val="0"/>
      <w:marBottom w:val="0"/>
      <w:divBdr>
        <w:top w:val="none" w:sz="0" w:space="0" w:color="auto"/>
        <w:left w:val="none" w:sz="0" w:space="0" w:color="auto"/>
        <w:bottom w:val="none" w:sz="0" w:space="0" w:color="auto"/>
        <w:right w:val="none" w:sz="0" w:space="0" w:color="auto"/>
      </w:divBdr>
    </w:div>
    <w:div w:id="2023897288">
      <w:bodyDiv w:val="1"/>
      <w:marLeft w:val="0"/>
      <w:marRight w:val="0"/>
      <w:marTop w:val="0"/>
      <w:marBottom w:val="0"/>
      <w:divBdr>
        <w:top w:val="none" w:sz="0" w:space="0" w:color="auto"/>
        <w:left w:val="none" w:sz="0" w:space="0" w:color="auto"/>
        <w:bottom w:val="none" w:sz="0" w:space="0" w:color="auto"/>
        <w:right w:val="none" w:sz="0" w:space="0" w:color="auto"/>
      </w:divBdr>
      <w:divsChild>
        <w:div w:id="119345548">
          <w:marLeft w:val="0"/>
          <w:marRight w:val="0"/>
          <w:marTop w:val="0"/>
          <w:marBottom w:val="0"/>
          <w:divBdr>
            <w:top w:val="none" w:sz="0" w:space="0" w:color="auto"/>
            <w:left w:val="none" w:sz="0" w:space="0" w:color="auto"/>
            <w:bottom w:val="none" w:sz="0" w:space="0" w:color="auto"/>
            <w:right w:val="none" w:sz="0" w:space="0" w:color="auto"/>
          </w:divBdr>
        </w:div>
        <w:div w:id="237595411">
          <w:marLeft w:val="0"/>
          <w:marRight w:val="0"/>
          <w:marTop w:val="0"/>
          <w:marBottom w:val="0"/>
          <w:divBdr>
            <w:top w:val="none" w:sz="0" w:space="0" w:color="auto"/>
            <w:left w:val="none" w:sz="0" w:space="0" w:color="auto"/>
            <w:bottom w:val="none" w:sz="0" w:space="0" w:color="auto"/>
            <w:right w:val="none" w:sz="0" w:space="0" w:color="auto"/>
          </w:divBdr>
        </w:div>
        <w:div w:id="244189530">
          <w:marLeft w:val="0"/>
          <w:marRight w:val="0"/>
          <w:marTop w:val="0"/>
          <w:marBottom w:val="0"/>
          <w:divBdr>
            <w:top w:val="none" w:sz="0" w:space="0" w:color="auto"/>
            <w:left w:val="none" w:sz="0" w:space="0" w:color="auto"/>
            <w:bottom w:val="none" w:sz="0" w:space="0" w:color="auto"/>
            <w:right w:val="none" w:sz="0" w:space="0" w:color="auto"/>
          </w:divBdr>
        </w:div>
        <w:div w:id="303581667">
          <w:marLeft w:val="0"/>
          <w:marRight w:val="0"/>
          <w:marTop w:val="0"/>
          <w:marBottom w:val="0"/>
          <w:divBdr>
            <w:top w:val="none" w:sz="0" w:space="0" w:color="auto"/>
            <w:left w:val="none" w:sz="0" w:space="0" w:color="auto"/>
            <w:bottom w:val="none" w:sz="0" w:space="0" w:color="auto"/>
            <w:right w:val="none" w:sz="0" w:space="0" w:color="auto"/>
          </w:divBdr>
        </w:div>
        <w:div w:id="542258189">
          <w:marLeft w:val="0"/>
          <w:marRight w:val="0"/>
          <w:marTop w:val="0"/>
          <w:marBottom w:val="0"/>
          <w:divBdr>
            <w:top w:val="none" w:sz="0" w:space="0" w:color="auto"/>
            <w:left w:val="none" w:sz="0" w:space="0" w:color="auto"/>
            <w:bottom w:val="none" w:sz="0" w:space="0" w:color="auto"/>
            <w:right w:val="none" w:sz="0" w:space="0" w:color="auto"/>
          </w:divBdr>
        </w:div>
        <w:div w:id="733352659">
          <w:marLeft w:val="0"/>
          <w:marRight w:val="0"/>
          <w:marTop w:val="0"/>
          <w:marBottom w:val="0"/>
          <w:divBdr>
            <w:top w:val="none" w:sz="0" w:space="0" w:color="auto"/>
            <w:left w:val="none" w:sz="0" w:space="0" w:color="auto"/>
            <w:bottom w:val="none" w:sz="0" w:space="0" w:color="auto"/>
            <w:right w:val="none" w:sz="0" w:space="0" w:color="auto"/>
          </w:divBdr>
        </w:div>
        <w:div w:id="760566176">
          <w:marLeft w:val="0"/>
          <w:marRight w:val="0"/>
          <w:marTop w:val="0"/>
          <w:marBottom w:val="0"/>
          <w:divBdr>
            <w:top w:val="none" w:sz="0" w:space="0" w:color="auto"/>
            <w:left w:val="none" w:sz="0" w:space="0" w:color="auto"/>
            <w:bottom w:val="none" w:sz="0" w:space="0" w:color="auto"/>
            <w:right w:val="none" w:sz="0" w:space="0" w:color="auto"/>
          </w:divBdr>
        </w:div>
        <w:div w:id="769009323">
          <w:marLeft w:val="0"/>
          <w:marRight w:val="0"/>
          <w:marTop w:val="0"/>
          <w:marBottom w:val="0"/>
          <w:divBdr>
            <w:top w:val="none" w:sz="0" w:space="0" w:color="auto"/>
            <w:left w:val="none" w:sz="0" w:space="0" w:color="auto"/>
            <w:bottom w:val="none" w:sz="0" w:space="0" w:color="auto"/>
            <w:right w:val="none" w:sz="0" w:space="0" w:color="auto"/>
          </w:divBdr>
        </w:div>
        <w:div w:id="781072935">
          <w:marLeft w:val="0"/>
          <w:marRight w:val="0"/>
          <w:marTop w:val="0"/>
          <w:marBottom w:val="0"/>
          <w:divBdr>
            <w:top w:val="none" w:sz="0" w:space="0" w:color="auto"/>
            <w:left w:val="none" w:sz="0" w:space="0" w:color="auto"/>
            <w:bottom w:val="none" w:sz="0" w:space="0" w:color="auto"/>
            <w:right w:val="none" w:sz="0" w:space="0" w:color="auto"/>
          </w:divBdr>
        </w:div>
        <w:div w:id="783497744">
          <w:marLeft w:val="0"/>
          <w:marRight w:val="0"/>
          <w:marTop w:val="0"/>
          <w:marBottom w:val="0"/>
          <w:divBdr>
            <w:top w:val="none" w:sz="0" w:space="0" w:color="auto"/>
            <w:left w:val="none" w:sz="0" w:space="0" w:color="auto"/>
            <w:bottom w:val="none" w:sz="0" w:space="0" w:color="auto"/>
            <w:right w:val="none" w:sz="0" w:space="0" w:color="auto"/>
          </w:divBdr>
        </w:div>
        <w:div w:id="1026248765">
          <w:marLeft w:val="0"/>
          <w:marRight w:val="0"/>
          <w:marTop w:val="0"/>
          <w:marBottom w:val="0"/>
          <w:divBdr>
            <w:top w:val="none" w:sz="0" w:space="0" w:color="auto"/>
            <w:left w:val="none" w:sz="0" w:space="0" w:color="auto"/>
            <w:bottom w:val="none" w:sz="0" w:space="0" w:color="auto"/>
            <w:right w:val="none" w:sz="0" w:space="0" w:color="auto"/>
          </w:divBdr>
        </w:div>
        <w:div w:id="1051803963">
          <w:marLeft w:val="0"/>
          <w:marRight w:val="0"/>
          <w:marTop w:val="0"/>
          <w:marBottom w:val="0"/>
          <w:divBdr>
            <w:top w:val="none" w:sz="0" w:space="0" w:color="auto"/>
            <w:left w:val="none" w:sz="0" w:space="0" w:color="auto"/>
            <w:bottom w:val="none" w:sz="0" w:space="0" w:color="auto"/>
            <w:right w:val="none" w:sz="0" w:space="0" w:color="auto"/>
          </w:divBdr>
        </w:div>
        <w:div w:id="1071465697">
          <w:marLeft w:val="0"/>
          <w:marRight w:val="0"/>
          <w:marTop w:val="0"/>
          <w:marBottom w:val="0"/>
          <w:divBdr>
            <w:top w:val="none" w:sz="0" w:space="0" w:color="auto"/>
            <w:left w:val="none" w:sz="0" w:space="0" w:color="auto"/>
            <w:bottom w:val="none" w:sz="0" w:space="0" w:color="auto"/>
            <w:right w:val="none" w:sz="0" w:space="0" w:color="auto"/>
          </w:divBdr>
        </w:div>
        <w:div w:id="1341272581">
          <w:marLeft w:val="0"/>
          <w:marRight w:val="0"/>
          <w:marTop w:val="0"/>
          <w:marBottom w:val="0"/>
          <w:divBdr>
            <w:top w:val="none" w:sz="0" w:space="0" w:color="auto"/>
            <w:left w:val="none" w:sz="0" w:space="0" w:color="auto"/>
            <w:bottom w:val="none" w:sz="0" w:space="0" w:color="auto"/>
            <w:right w:val="none" w:sz="0" w:space="0" w:color="auto"/>
          </w:divBdr>
        </w:div>
        <w:div w:id="1409763138">
          <w:marLeft w:val="0"/>
          <w:marRight w:val="0"/>
          <w:marTop w:val="0"/>
          <w:marBottom w:val="0"/>
          <w:divBdr>
            <w:top w:val="none" w:sz="0" w:space="0" w:color="auto"/>
            <w:left w:val="none" w:sz="0" w:space="0" w:color="auto"/>
            <w:bottom w:val="none" w:sz="0" w:space="0" w:color="auto"/>
            <w:right w:val="none" w:sz="0" w:space="0" w:color="auto"/>
          </w:divBdr>
        </w:div>
        <w:div w:id="1496997594">
          <w:marLeft w:val="0"/>
          <w:marRight w:val="0"/>
          <w:marTop w:val="0"/>
          <w:marBottom w:val="0"/>
          <w:divBdr>
            <w:top w:val="none" w:sz="0" w:space="0" w:color="auto"/>
            <w:left w:val="none" w:sz="0" w:space="0" w:color="auto"/>
            <w:bottom w:val="none" w:sz="0" w:space="0" w:color="auto"/>
            <w:right w:val="none" w:sz="0" w:space="0" w:color="auto"/>
          </w:divBdr>
        </w:div>
        <w:div w:id="1526214522">
          <w:marLeft w:val="0"/>
          <w:marRight w:val="0"/>
          <w:marTop w:val="0"/>
          <w:marBottom w:val="0"/>
          <w:divBdr>
            <w:top w:val="none" w:sz="0" w:space="0" w:color="auto"/>
            <w:left w:val="none" w:sz="0" w:space="0" w:color="auto"/>
            <w:bottom w:val="none" w:sz="0" w:space="0" w:color="auto"/>
            <w:right w:val="none" w:sz="0" w:space="0" w:color="auto"/>
          </w:divBdr>
        </w:div>
        <w:div w:id="1705985282">
          <w:marLeft w:val="0"/>
          <w:marRight w:val="0"/>
          <w:marTop w:val="0"/>
          <w:marBottom w:val="0"/>
          <w:divBdr>
            <w:top w:val="none" w:sz="0" w:space="0" w:color="auto"/>
            <w:left w:val="none" w:sz="0" w:space="0" w:color="auto"/>
            <w:bottom w:val="none" w:sz="0" w:space="0" w:color="auto"/>
            <w:right w:val="none" w:sz="0" w:space="0" w:color="auto"/>
          </w:divBdr>
        </w:div>
        <w:div w:id="1719668999">
          <w:marLeft w:val="0"/>
          <w:marRight w:val="0"/>
          <w:marTop w:val="0"/>
          <w:marBottom w:val="0"/>
          <w:divBdr>
            <w:top w:val="none" w:sz="0" w:space="0" w:color="auto"/>
            <w:left w:val="none" w:sz="0" w:space="0" w:color="auto"/>
            <w:bottom w:val="none" w:sz="0" w:space="0" w:color="auto"/>
            <w:right w:val="none" w:sz="0" w:space="0" w:color="auto"/>
          </w:divBdr>
        </w:div>
        <w:div w:id="1771077062">
          <w:marLeft w:val="0"/>
          <w:marRight w:val="0"/>
          <w:marTop w:val="0"/>
          <w:marBottom w:val="0"/>
          <w:divBdr>
            <w:top w:val="none" w:sz="0" w:space="0" w:color="auto"/>
            <w:left w:val="none" w:sz="0" w:space="0" w:color="auto"/>
            <w:bottom w:val="none" w:sz="0" w:space="0" w:color="auto"/>
            <w:right w:val="none" w:sz="0" w:space="0" w:color="auto"/>
          </w:divBdr>
        </w:div>
        <w:div w:id="1794589618">
          <w:marLeft w:val="0"/>
          <w:marRight w:val="0"/>
          <w:marTop w:val="0"/>
          <w:marBottom w:val="0"/>
          <w:divBdr>
            <w:top w:val="none" w:sz="0" w:space="0" w:color="auto"/>
            <w:left w:val="none" w:sz="0" w:space="0" w:color="auto"/>
            <w:bottom w:val="none" w:sz="0" w:space="0" w:color="auto"/>
            <w:right w:val="none" w:sz="0" w:space="0" w:color="auto"/>
          </w:divBdr>
        </w:div>
        <w:div w:id="1806969245">
          <w:marLeft w:val="0"/>
          <w:marRight w:val="0"/>
          <w:marTop w:val="0"/>
          <w:marBottom w:val="0"/>
          <w:divBdr>
            <w:top w:val="none" w:sz="0" w:space="0" w:color="auto"/>
            <w:left w:val="none" w:sz="0" w:space="0" w:color="auto"/>
            <w:bottom w:val="none" w:sz="0" w:space="0" w:color="auto"/>
            <w:right w:val="none" w:sz="0" w:space="0" w:color="auto"/>
          </w:divBdr>
        </w:div>
        <w:div w:id="1843935891">
          <w:marLeft w:val="0"/>
          <w:marRight w:val="0"/>
          <w:marTop w:val="0"/>
          <w:marBottom w:val="0"/>
          <w:divBdr>
            <w:top w:val="none" w:sz="0" w:space="0" w:color="auto"/>
            <w:left w:val="none" w:sz="0" w:space="0" w:color="auto"/>
            <w:bottom w:val="none" w:sz="0" w:space="0" w:color="auto"/>
            <w:right w:val="none" w:sz="0" w:space="0" w:color="auto"/>
          </w:divBdr>
        </w:div>
        <w:div w:id="1960143547">
          <w:marLeft w:val="0"/>
          <w:marRight w:val="0"/>
          <w:marTop w:val="0"/>
          <w:marBottom w:val="0"/>
          <w:divBdr>
            <w:top w:val="none" w:sz="0" w:space="0" w:color="auto"/>
            <w:left w:val="none" w:sz="0" w:space="0" w:color="auto"/>
            <w:bottom w:val="none" w:sz="0" w:space="0" w:color="auto"/>
            <w:right w:val="none" w:sz="0" w:space="0" w:color="auto"/>
          </w:divBdr>
        </w:div>
        <w:div w:id="1972243423">
          <w:marLeft w:val="0"/>
          <w:marRight w:val="0"/>
          <w:marTop w:val="0"/>
          <w:marBottom w:val="0"/>
          <w:divBdr>
            <w:top w:val="none" w:sz="0" w:space="0" w:color="auto"/>
            <w:left w:val="none" w:sz="0" w:space="0" w:color="auto"/>
            <w:bottom w:val="none" w:sz="0" w:space="0" w:color="auto"/>
            <w:right w:val="none" w:sz="0" w:space="0" w:color="auto"/>
          </w:divBdr>
        </w:div>
      </w:divsChild>
    </w:div>
    <w:div w:id="2050104761">
      <w:bodyDiv w:val="1"/>
      <w:marLeft w:val="0"/>
      <w:marRight w:val="0"/>
      <w:marTop w:val="0"/>
      <w:marBottom w:val="0"/>
      <w:divBdr>
        <w:top w:val="none" w:sz="0" w:space="0" w:color="auto"/>
        <w:left w:val="none" w:sz="0" w:space="0" w:color="auto"/>
        <w:bottom w:val="none" w:sz="0" w:space="0" w:color="auto"/>
        <w:right w:val="none" w:sz="0" w:space="0" w:color="auto"/>
      </w:divBdr>
    </w:div>
    <w:div w:id="2118871364">
      <w:bodyDiv w:val="1"/>
      <w:marLeft w:val="0"/>
      <w:marRight w:val="0"/>
      <w:marTop w:val="0"/>
      <w:marBottom w:val="0"/>
      <w:divBdr>
        <w:top w:val="none" w:sz="0" w:space="0" w:color="auto"/>
        <w:left w:val="none" w:sz="0" w:space="0" w:color="auto"/>
        <w:bottom w:val="none" w:sz="0" w:space="0" w:color="auto"/>
        <w:right w:val="none" w:sz="0" w:space="0" w:color="auto"/>
      </w:divBdr>
      <w:divsChild>
        <w:div w:id="765419216">
          <w:marLeft w:val="0"/>
          <w:marRight w:val="0"/>
          <w:marTop w:val="0"/>
          <w:marBottom w:val="0"/>
          <w:divBdr>
            <w:top w:val="none" w:sz="0" w:space="0" w:color="auto"/>
            <w:left w:val="none" w:sz="0" w:space="0" w:color="auto"/>
            <w:bottom w:val="none" w:sz="0" w:space="0" w:color="auto"/>
            <w:right w:val="none" w:sz="0" w:space="0" w:color="auto"/>
          </w:divBdr>
        </w:div>
        <w:div w:id="1009985438">
          <w:marLeft w:val="0"/>
          <w:marRight w:val="0"/>
          <w:marTop w:val="0"/>
          <w:marBottom w:val="0"/>
          <w:divBdr>
            <w:top w:val="none" w:sz="0" w:space="0" w:color="auto"/>
            <w:left w:val="none" w:sz="0" w:space="0" w:color="auto"/>
            <w:bottom w:val="none" w:sz="0" w:space="0" w:color="auto"/>
            <w:right w:val="none" w:sz="0" w:space="0" w:color="auto"/>
          </w:divBdr>
        </w:div>
        <w:div w:id="1185291737">
          <w:marLeft w:val="0"/>
          <w:marRight w:val="0"/>
          <w:marTop w:val="0"/>
          <w:marBottom w:val="0"/>
          <w:divBdr>
            <w:top w:val="none" w:sz="0" w:space="0" w:color="auto"/>
            <w:left w:val="none" w:sz="0" w:space="0" w:color="auto"/>
            <w:bottom w:val="none" w:sz="0" w:space="0" w:color="auto"/>
            <w:right w:val="none" w:sz="0" w:space="0" w:color="auto"/>
          </w:divBdr>
        </w:div>
        <w:div w:id="1816215344">
          <w:marLeft w:val="0"/>
          <w:marRight w:val="0"/>
          <w:marTop w:val="0"/>
          <w:marBottom w:val="0"/>
          <w:divBdr>
            <w:top w:val="none" w:sz="0" w:space="0" w:color="auto"/>
            <w:left w:val="none" w:sz="0" w:space="0" w:color="auto"/>
            <w:bottom w:val="none" w:sz="0" w:space="0" w:color="auto"/>
            <w:right w:val="none" w:sz="0" w:space="0" w:color="auto"/>
          </w:divBdr>
        </w:div>
        <w:div w:id="1912808102">
          <w:marLeft w:val="0"/>
          <w:marRight w:val="0"/>
          <w:marTop w:val="0"/>
          <w:marBottom w:val="0"/>
          <w:divBdr>
            <w:top w:val="none" w:sz="0" w:space="0" w:color="auto"/>
            <w:left w:val="none" w:sz="0" w:space="0" w:color="auto"/>
            <w:bottom w:val="none" w:sz="0" w:space="0" w:color="auto"/>
            <w:right w:val="none" w:sz="0" w:space="0" w:color="auto"/>
          </w:divBdr>
        </w:div>
        <w:div w:id="194815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ji\Application%20Data\Microsoft\Templates\Num%20Para.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rker27\Google%20Drive\Projects\Live\P30400%20KTP%20WDH\6%20Analysis\WDH%20KTP%20ground%20slab%20U_value%20sensitiv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991951587446915E-2"/>
          <c:y val="4.418913307478356E-2"/>
          <c:w val="0.77181817389105434"/>
          <c:h val="0.76231159164805895"/>
        </c:manualLayout>
      </c:layout>
      <c:areaChart>
        <c:grouping val="standard"/>
        <c:varyColors val="0"/>
        <c:ser>
          <c:idx val="3"/>
          <c:order val="0"/>
          <c:tx>
            <c:strRef>
              <c:f>'C:\Users\parker27\Google Drive\Projects\Live\HiveHaus\[DTS analysis.xlsx]Schedules'!$F$1</c:f>
              <c:strCache>
                <c:ptCount val="1"/>
                <c:pt idx="0">
                  <c:v>Lounge</c:v>
                </c:pt>
              </c:strCache>
            </c:strRef>
          </c:tx>
          <c:cat>
            <c:numRef>
              <c:f>'C:\Users\parker27\Google Drive\Projects\Live\HiveHaus\[DTS analysis.xlsx]Schedules'!$B$2:$B$25</c:f>
              <c:numCache>
                <c:formatCode>General</c:formatCode>
                <c:ptCount val="24"/>
                <c:pt idx="0">
                  <c:v>0</c:v>
                </c:pt>
                <c:pt idx="1">
                  <c:v>4.1666666666666664E-2</c:v>
                </c:pt>
                <c:pt idx="2">
                  <c:v>8.3333333333333329E-2</c:v>
                </c:pt>
                <c:pt idx="3">
                  <c:v>0.125</c:v>
                </c:pt>
                <c:pt idx="4">
                  <c:v>0.16666666666666666</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'C:\Users\parker27\Google Drive\Projects\Live\HiveHaus\[DTS analysis.xlsx]Schedules'!$F$2:$F$25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0.5</c:v>
                </c:pt>
                <c:pt idx="17">
                  <c:v>0.5</c:v>
                </c:pt>
                <c:pt idx="18">
                  <c:v>1</c:v>
                </c:pt>
                <c:pt idx="19">
                  <c:v>1</c:v>
                </c:pt>
                <c:pt idx="20">
                  <c:v>1</c:v>
                </c:pt>
                <c:pt idx="21">
                  <c:v>1</c:v>
                </c:pt>
                <c:pt idx="22">
                  <c:v>1</c:v>
                </c:pt>
                <c:pt idx="23">
                  <c:v>0.65</c:v>
                </c:pt>
              </c:numCache>
            </c:numRef>
          </c:val>
        </c:ser>
        <c:ser>
          <c:idx val="0"/>
          <c:order val="1"/>
          <c:tx>
            <c:v>Bathroom &amp; Kitchen</c:v>
          </c:tx>
          <c:spPr>
            <a:solidFill>
              <a:srgbClr val="99FF99"/>
            </a:solidFill>
          </c:spPr>
          <c:cat>
            <c:numRef>
              <c:f>'C:\Users\parker27\Google Drive\Projects\Live\HiveHaus\[DTS analysis.xlsx]Schedules'!$B$2:$B$25</c:f>
              <c:numCache>
                <c:formatCode>General</c:formatCode>
                <c:ptCount val="24"/>
                <c:pt idx="0">
                  <c:v>0</c:v>
                </c:pt>
                <c:pt idx="1">
                  <c:v>4.1666666666666664E-2</c:v>
                </c:pt>
                <c:pt idx="2">
                  <c:v>8.3333333333333329E-2</c:v>
                </c:pt>
                <c:pt idx="3">
                  <c:v>0.125</c:v>
                </c:pt>
                <c:pt idx="4">
                  <c:v>0.16666666666666666</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'C:\Users\parker27\Google Drive\Projects\Live\HiveHaus\[DTS analysis.xlsx]Schedules'!$C$2:$C$25</c:f>
              <c:numCache>
                <c:formatCode>General</c:formatCode>
                <c:ptCount val="24"/>
                <c:pt idx="0">
                  <c:v>0</c:v>
                </c:pt>
                <c:pt idx="1">
                  <c:v>0</c:v>
                </c:pt>
                <c:pt idx="2">
                  <c:v>0</c:v>
                </c:pt>
                <c:pt idx="3">
                  <c:v>0</c:v>
                </c:pt>
                <c:pt idx="4">
                  <c:v>0</c:v>
                </c:pt>
                <c:pt idx="5">
                  <c:v>0</c:v>
                </c:pt>
                <c:pt idx="6">
                  <c:v>0</c:v>
                </c:pt>
                <c:pt idx="7">
                  <c:v>1</c:v>
                </c:pt>
                <c:pt idx="8">
                  <c:v>1</c:v>
                </c:pt>
                <c:pt idx="9">
                  <c:v>1</c:v>
                </c:pt>
                <c:pt idx="10">
                  <c:v>0</c:v>
                </c:pt>
                <c:pt idx="11">
                  <c:v>0</c:v>
                </c:pt>
                <c:pt idx="12">
                  <c:v>0</c:v>
                </c:pt>
                <c:pt idx="13">
                  <c:v>0</c:v>
                </c:pt>
                <c:pt idx="14">
                  <c:v>0</c:v>
                </c:pt>
                <c:pt idx="15">
                  <c:v>0</c:v>
                </c:pt>
                <c:pt idx="16">
                  <c:v>0</c:v>
                </c:pt>
                <c:pt idx="17">
                  <c:v>0</c:v>
                </c:pt>
                <c:pt idx="18">
                  <c:v>0</c:v>
                </c:pt>
                <c:pt idx="19">
                  <c:v>0.2</c:v>
                </c:pt>
                <c:pt idx="20">
                  <c:v>0.2</c:v>
                </c:pt>
                <c:pt idx="21">
                  <c:v>0.2</c:v>
                </c:pt>
                <c:pt idx="22">
                  <c:v>0.2</c:v>
                </c:pt>
                <c:pt idx="23">
                  <c:v>0</c:v>
                </c:pt>
              </c:numCache>
            </c:numRef>
          </c:val>
        </c:ser>
        <c:ser>
          <c:idx val="1"/>
          <c:order val="2"/>
          <c:tx>
            <c:strRef>
              <c:f>'C:\Users\parker27\Google Drive\Projects\Live\HiveHaus\[DTS analysis.xlsx]Schedules'!$D$1</c:f>
              <c:strCache>
                <c:ptCount val="1"/>
                <c:pt idx="0">
                  <c:v>Bedroom</c:v>
                </c:pt>
              </c:strCache>
            </c:strRef>
          </c:tx>
          <c:spPr>
            <a:solidFill>
              <a:schemeClr val="accent2">
                <a:alpha val="72000"/>
              </a:schemeClr>
            </a:solidFill>
          </c:spPr>
          <c:cat>
            <c:numRef>
              <c:f>'C:\Users\parker27\Google Drive\Projects\Live\HiveHaus\[DTS analysis.xlsx]Schedules'!$B$2:$B$25</c:f>
              <c:numCache>
                <c:formatCode>General</c:formatCode>
                <c:ptCount val="24"/>
                <c:pt idx="0">
                  <c:v>0</c:v>
                </c:pt>
                <c:pt idx="1">
                  <c:v>4.1666666666666664E-2</c:v>
                </c:pt>
                <c:pt idx="2">
                  <c:v>8.3333333333333329E-2</c:v>
                </c:pt>
                <c:pt idx="3">
                  <c:v>0.125</c:v>
                </c:pt>
                <c:pt idx="4">
                  <c:v>0.16666666666666666</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'C:\Users\parker27\Google Drive\Projects\Live\HiveHaus\[DTS analysis.xlsx]Schedules'!$D$2:$D$25</c:f>
              <c:numCache>
                <c:formatCode>General</c:formatCode>
                <c:ptCount val="24"/>
                <c:pt idx="0">
                  <c:v>1</c:v>
                </c:pt>
                <c:pt idx="1">
                  <c:v>1</c:v>
                </c:pt>
                <c:pt idx="2">
                  <c:v>1</c:v>
                </c:pt>
                <c:pt idx="3">
                  <c:v>1</c:v>
                </c:pt>
                <c:pt idx="4">
                  <c:v>1</c:v>
                </c:pt>
                <c:pt idx="5">
                  <c:v>1</c:v>
                </c:pt>
                <c:pt idx="6">
                  <c:v>1</c:v>
                </c:pt>
                <c:pt idx="7">
                  <c:v>0.5</c:v>
                </c:pt>
                <c:pt idx="8">
                  <c:v>0.25</c:v>
                </c:pt>
                <c:pt idx="9">
                  <c:v>0</c:v>
                </c:pt>
                <c:pt idx="10">
                  <c:v>0</c:v>
                </c:pt>
                <c:pt idx="11">
                  <c:v>0</c:v>
                </c:pt>
                <c:pt idx="12">
                  <c:v>0</c:v>
                </c:pt>
                <c:pt idx="13">
                  <c:v>0</c:v>
                </c:pt>
                <c:pt idx="14">
                  <c:v>0</c:v>
                </c:pt>
                <c:pt idx="15">
                  <c:v>0</c:v>
                </c:pt>
                <c:pt idx="16">
                  <c:v>0</c:v>
                </c:pt>
                <c:pt idx="17">
                  <c:v>0</c:v>
                </c:pt>
                <c:pt idx="18">
                  <c:v>0</c:v>
                </c:pt>
                <c:pt idx="19">
                  <c:v>0</c:v>
                </c:pt>
                <c:pt idx="20">
                  <c:v>0</c:v>
                </c:pt>
                <c:pt idx="21">
                  <c:v>0</c:v>
                </c:pt>
                <c:pt idx="22">
                  <c:v>0.25</c:v>
                </c:pt>
                <c:pt idx="23">
                  <c:v>0.5</c:v>
                </c:pt>
              </c:numCache>
            </c:numRef>
          </c:val>
        </c:ser>
        <c:dLbls>
          <c:showLegendKey val="0"/>
          <c:showVal val="0"/>
          <c:showCatName val="0"/>
          <c:showSerName val="0"/>
          <c:showPercent val="0"/>
          <c:showBubbleSize val="0"/>
        </c:dLbls>
        <c:axId val="351995984"/>
        <c:axId val="351996376"/>
      </c:areaChart>
      <c:catAx>
        <c:axId val="351995984"/>
        <c:scaling>
          <c:orientation val="minMax"/>
        </c:scaling>
        <c:delete val="0"/>
        <c:axPos val="b"/>
        <c:numFmt formatCode="[$-F400]h:mm\ AM/PM" sourceLinked="0"/>
        <c:majorTickMark val="out"/>
        <c:minorTickMark val="none"/>
        <c:tickLblPos val="nextTo"/>
        <c:crossAx val="351996376"/>
        <c:crosses val="autoZero"/>
        <c:auto val="1"/>
        <c:lblAlgn val="ctr"/>
        <c:lblOffset val="100"/>
        <c:noMultiLvlLbl val="0"/>
      </c:catAx>
      <c:valAx>
        <c:axId val="351996376"/>
        <c:scaling>
          <c:orientation val="minMax"/>
          <c:max val="1"/>
        </c:scaling>
        <c:delete val="0"/>
        <c:axPos val="l"/>
        <c:majorGridlines/>
        <c:numFmt formatCode="0%" sourceLinked="0"/>
        <c:majorTickMark val="out"/>
        <c:minorTickMark val="none"/>
        <c:tickLblPos val="nextTo"/>
        <c:crossAx val="351995984"/>
        <c:crosses val="autoZero"/>
        <c:crossBetween val="midCat"/>
      </c:valAx>
    </c:plotArea>
    <c:legend>
      <c:legendPos val="r"/>
      <c:layout>
        <c:manualLayout>
          <c:xMode val="edge"/>
          <c:yMode val="edge"/>
          <c:x val="0.85872271779980991"/>
          <c:y val="0.33997752963709427"/>
          <c:w val="0.13902025818676056"/>
          <c:h val="0.2753166451208524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filled"/>
        <c:varyColors val="0"/>
        <c:ser>
          <c:idx val="0"/>
          <c:order val="0"/>
          <c:tx>
            <c:strRef>
              <c:f>Charts!$B$8</c:f>
              <c:strCache>
                <c:ptCount val="1"/>
                <c:pt idx="0">
                  <c:v>Total</c:v>
                </c:pt>
              </c:strCache>
            </c:strRef>
          </c:tx>
          <c:spPr>
            <a:solidFill>
              <a:srgbClr val="63BE7B"/>
            </a:solidFill>
          </c:spPr>
          <c:dLbls>
            <c:dLbl>
              <c:idx val="0"/>
              <c:layout>
                <c:manualLayout>
                  <c:x val="-2.7072121365199681E-3"/>
                  <c:y val="0.115132240698792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962779430329424E-2"/>
                  <c:y val="0.1145832957403885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864644722239864E-2"/>
                  <c:y val="6.24998154528164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69374909135713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218282768379627E-2"/>
                  <c:y val="-6.24999794947573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377331614888059E-2"/>
                  <c:y val="-0.1062499651410875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2323960201782595E-3"/>
                  <c:y val="-0.1141593205199905"/>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962779430329424E-2"/>
                  <c:y val="-0.1145832957403885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7157368629960574E-2"/>
                  <c:y val="-6.24999794947573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20473871374968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1218282768379557E-2"/>
                  <c:y val="6.24999794947574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2791883799446694E-2"/>
                  <c:y val="0.112499963090563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Charts!$A$9:$A$20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Charts!$B$9:$B$20</c:f>
              <c:numCache>
                <c:formatCode>#,##0</c:formatCode>
                <c:ptCount val="12"/>
                <c:pt idx="0">
                  <c:v>14505.3</c:v>
                </c:pt>
                <c:pt idx="1">
                  <c:v>14505.4</c:v>
                </c:pt>
                <c:pt idx="2">
                  <c:v>14518.4</c:v>
                </c:pt>
                <c:pt idx="3">
                  <c:v>14537.4</c:v>
                </c:pt>
                <c:pt idx="4">
                  <c:v>14554.5</c:v>
                </c:pt>
                <c:pt idx="5">
                  <c:v>14567.5</c:v>
                </c:pt>
                <c:pt idx="6">
                  <c:v>14576.8</c:v>
                </c:pt>
                <c:pt idx="7">
                  <c:v>14580.8</c:v>
                </c:pt>
                <c:pt idx="8">
                  <c:v>14578.8</c:v>
                </c:pt>
                <c:pt idx="9">
                  <c:v>14566.599999999999</c:v>
                </c:pt>
                <c:pt idx="10">
                  <c:v>14544.699999999999</c:v>
                </c:pt>
                <c:pt idx="11">
                  <c:v>14520.4</c:v>
                </c:pt>
              </c:numCache>
            </c:numRef>
          </c:val>
        </c:ser>
        <c:ser>
          <c:idx val="1"/>
          <c:order val="1"/>
          <c:tx>
            <c:strRef>
              <c:f>Charts!$C$8</c:f>
              <c:strCache>
                <c:ptCount val="1"/>
                <c:pt idx="0">
                  <c:v>Heating &amp; DHW</c:v>
                </c:pt>
              </c:strCache>
            </c:strRef>
          </c:tx>
          <c:spPr>
            <a:solidFill>
              <a:srgbClr val="F8696B"/>
            </a:solidFill>
            <a:ln w="25400">
              <a:noFill/>
            </a:ln>
          </c:spPr>
          <c:cat>
            <c:strRef>
              <c:f>Charts!$A$9:$A$20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Charts!$C$9:$C$20</c:f>
              <c:numCache>
                <c:formatCode>#,##0</c:formatCode>
                <c:ptCount val="12"/>
                <c:pt idx="0">
                  <c:v>9639.5</c:v>
                </c:pt>
                <c:pt idx="1">
                  <c:v>9639.6</c:v>
                </c:pt>
                <c:pt idx="2">
                  <c:v>9652.6</c:v>
                </c:pt>
                <c:pt idx="3">
                  <c:v>9671.6</c:v>
                </c:pt>
                <c:pt idx="4">
                  <c:v>9688.7000000000007</c:v>
                </c:pt>
                <c:pt idx="5">
                  <c:v>9701.7000000000007</c:v>
                </c:pt>
                <c:pt idx="6">
                  <c:v>9711</c:v>
                </c:pt>
                <c:pt idx="7">
                  <c:v>9715</c:v>
                </c:pt>
                <c:pt idx="8">
                  <c:v>9713</c:v>
                </c:pt>
                <c:pt idx="9">
                  <c:v>9700.7999999999993</c:v>
                </c:pt>
                <c:pt idx="10">
                  <c:v>9678.9</c:v>
                </c:pt>
                <c:pt idx="11">
                  <c:v>9654.6</c:v>
                </c:pt>
              </c:numCache>
            </c:numRef>
          </c:val>
        </c:ser>
        <c:ser>
          <c:idx val="4"/>
          <c:order val="2"/>
          <c:tx>
            <c:strRef>
              <c:f>Charts!$E$8</c:f>
              <c:strCache>
                <c:ptCount val="1"/>
                <c:pt idx="0">
                  <c:v>Lights</c:v>
                </c:pt>
              </c:strCache>
            </c:strRef>
          </c:tx>
          <c:spPr>
            <a:solidFill>
              <a:srgbClr val="FFEB84"/>
            </a:solidFill>
            <a:ln w="25400">
              <a:noFill/>
            </a:ln>
          </c:spPr>
          <c:cat>
            <c:strRef>
              <c:f>Charts!$A$9:$A$20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Charts!$E$9:$E$20</c:f>
              <c:numCache>
                <c:formatCode>#,##0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2"/>
          <c:order val="3"/>
          <c:tx>
            <c:strRef>
              <c:f>Charts!$F$8</c:f>
              <c:strCache>
                <c:ptCount val="1"/>
                <c:pt idx="0">
                  <c:v>Equipment</c:v>
                </c:pt>
              </c:strCache>
            </c:strRef>
          </c:tx>
          <c:spPr>
            <a:solidFill>
              <a:schemeClr val="bg1">
                <a:lumMod val="65000"/>
              </a:schemeClr>
            </a:solidFill>
            <a:ln w="25400">
              <a:noFill/>
            </a:ln>
          </c:spPr>
          <c:cat>
            <c:strRef>
              <c:f>Charts!$A$9:$A$20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Charts!$F$9:$F$20</c:f>
              <c:numCache>
                <c:formatCode>#,##0</c:formatCode>
                <c:ptCount val="12"/>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numCache>
            </c:numRef>
          </c:val>
        </c:ser>
        <c:ser>
          <c:idx val="3"/>
          <c:order val="4"/>
          <c:tx>
            <c:strRef>
              <c:f>Charts!$D$8</c:f>
              <c:strCache>
                <c:ptCount val="1"/>
                <c:pt idx="0">
                  <c:v>Ventilation</c:v>
                </c:pt>
              </c:strCache>
            </c:strRef>
          </c:tx>
          <c:spPr>
            <a:solidFill>
              <a:schemeClr val="accent5">
                <a:lumMod val="40000"/>
                <a:lumOff val="60000"/>
              </a:schemeClr>
            </a:solidFill>
            <a:ln w="25400">
              <a:noFill/>
            </a:ln>
          </c:spPr>
          <c:cat>
            <c:strRef>
              <c:f>Charts!$A$9:$A$20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Charts!$D$9:$D$20</c:f>
              <c:numCache>
                <c:formatCode>#,##0</c:formatCode>
                <c:ptCount val="12"/>
                <c:pt idx="0">
                  <c:v>461.3</c:v>
                </c:pt>
                <c:pt idx="1">
                  <c:v>461.3</c:v>
                </c:pt>
                <c:pt idx="2">
                  <c:v>461.3</c:v>
                </c:pt>
                <c:pt idx="3">
                  <c:v>461.3</c:v>
                </c:pt>
                <c:pt idx="4">
                  <c:v>461.3</c:v>
                </c:pt>
                <c:pt idx="5">
                  <c:v>461.3</c:v>
                </c:pt>
                <c:pt idx="6">
                  <c:v>461.3</c:v>
                </c:pt>
                <c:pt idx="7">
                  <c:v>461.3</c:v>
                </c:pt>
                <c:pt idx="8">
                  <c:v>461.3</c:v>
                </c:pt>
                <c:pt idx="9">
                  <c:v>461.3</c:v>
                </c:pt>
                <c:pt idx="10">
                  <c:v>461.3</c:v>
                </c:pt>
                <c:pt idx="11">
                  <c:v>461.3</c:v>
                </c:pt>
              </c:numCache>
            </c:numRef>
          </c:val>
        </c:ser>
        <c:dLbls>
          <c:showLegendKey val="0"/>
          <c:showVal val="0"/>
          <c:showCatName val="0"/>
          <c:showSerName val="0"/>
          <c:showPercent val="0"/>
          <c:showBubbleSize val="0"/>
        </c:dLbls>
        <c:axId val="351995200"/>
        <c:axId val="351996768"/>
      </c:radarChart>
      <c:catAx>
        <c:axId val="351995200"/>
        <c:scaling>
          <c:orientation val="minMax"/>
        </c:scaling>
        <c:delete val="0"/>
        <c:axPos val="b"/>
        <c:majorGridlines/>
        <c:numFmt formatCode="General" sourceLinked="0"/>
        <c:majorTickMark val="out"/>
        <c:minorTickMark val="none"/>
        <c:tickLblPos val="nextTo"/>
        <c:crossAx val="351996768"/>
        <c:crosses val="autoZero"/>
        <c:auto val="1"/>
        <c:lblAlgn val="ctr"/>
        <c:lblOffset val="100"/>
        <c:noMultiLvlLbl val="0"/>
      </c:catAx>
      <c:valAx>
        <c:axId val="351996768"/>
        <c:scaling>
          <c:orientation val="minMax"/>
        </c:scaling>
        <c:delete val="0"/>
        <c:axPos val="l"/>
        <c:majorGridlines>
          <c:spPr>
            <a:ln>
              <a:solidFill>
                <a:schemeClr val="tx1"/>
              </a:solidFill>
            </a:ln>
          </c:spPr>
        </c:majorGridlines>
        <c:minorGridlines>
          <c:spPr>
            <a:ln>
              <a:noFill/>
            </a:ln>
          </c:spPr>
        </c:minorGridlines>
        <c:numFmt formatCode="#,##0" sourceLinked="1"/>
        <c:majorTickMark val="cross"/>
        <c:minorTickMark val="none"/>
        <c:tickLblPos val="none"/>
        <c:spPr>
          <a:ln>
            <a:solidFill>
              <a:schemeClr val="bg1">
                <a:lumMod val="50000"/>
              </a:schemeClr>
            </a:solidFill>
          </a:ln>
        </c:spPr>
        <c:crossAx val="351995200"/>
        <c:crosses val="autoZero"/>
        <c:crossBetween val="between"/>
      </c:valAx>
    </c:plotArea>
    <c:legend>
      <c:legendPos val="r"/>
      <c:layout>
        <c:manualLayout>
          <c:xMode val="edge"/>
          <c:yMode val="edge"/>
          <c:x val="0.71848352289297168"/>
          <c:y val="0.34859857386772247"/>
          <c:w val="0.22578109939647376"/>
          <c:h val="0.27671567346441323"/>
        </c:manualLayout>
      </c:layou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filled"/>
        <c:varyColors val="0"/>
        <c:ser>
          <c:idx val="0"/>
          <c:order val="0"/>
          <c:tx>
            <c:strRef>
              <c:f>Charts!$B$28</c:f>
              <c:strCache>
                <c:ptCount val="1"/>
                <c:pt idx="0">
                  <c:v>Total</c:v>
                </c:pt>
              </c:strCache>
            </c:strRef>
          </c:tx>
          <c:spPr>
            <a:solidFill>
              <a:srgbClr val="63BE7B"/>
            </a:solidFill>
          </c:spPr>
          <c:dLbls>
            <c:dLbl>
              <c:idx val="0"/>
              <c:layout>
                <c:manualLayout>
                  <c:x val="-2.7072760922793176E-3"/>
                  <c:y val="8.95833039424855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962779430329424E-2"/>
                  <c:y val="0.1145832957403885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864644722239864E-2"/>
                  <c:y val="6.24998154528164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69374909135713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218282768379627E-2"/>
                  <c:y val="-6.24999794947573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377331614888059E-2"/>
                  <c:y val="-0.1062499651410875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536380461396588E-3"/>
                  <c:y val="-8.541663864283509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962779430329424E-2"/>
                  <c:y val="-0.1145832957403885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7157368629960574E-2"/>
                  <c:y val="-6.24999794947573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20473871374968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1218282768379557E-2"/>
                  <c:y val="6.24999794947574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2791883799446694E-2"/>
                  <c:y val="0.112499963090563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Charts!$A$29:$A$40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Charts!$B$29:$B$40</c:f>
              <c:numCache>
                <c:formatCode>#,##0</c:formatCode>
                <c:ptCount val="12"/>
                <c:pt idx="0">
                  <c:v>15623</c:v>
                </c:pt>
                <c:pt idx="1">
                  <c:v>15628.1</c:v>
                </c:pt>
                <c:pt idx="2">
                  <c:v>15644.699999999999</c:v>
                </c:pt>
                <c:pt idx="3">
                  <c:v>15665.199999999999</c:v>
                </c:pt>
                <c:pt idx="4">
                  <c:v>15682.4</c:v>
                </c:pt>
                <c:pt idx="5">
                  <c:v>15694.8</c:v>
                </c:pt>
                <c:pt idx="6">
                  <c:v>15702.9</c:v>
                </c:pt>
                <c:pt idx="7">
                  <c:v>15704.5</c:v>
                </c:pt>
                <c:pt idx="8">
                  <c:v>15698.8</c:v>
                </c:pt>
                <c:pt idx="9">
                  <c:v>15682.199999999999</c:v>
                </c:pt>
                <c:pt idx="10">
                  <c:v>15657.1</c:v>
                </c:pt>
                <c:pt idx="11">
                  <c:v>15633.5</c:v>
                </c:pt>
              </c:numCache>
            </c:numRef>
          </c:val>
        </c:ser>
        <c:ser>
          <c:idx val="1"/>
          <c:order val="1"/>
          <c:tx>
            <c:strRef>
              <c:f>Charts!$C$28</c:f>
              <c:strCache>
                <c:ptCount val="1"/>
                <c:pt idx="0">
                  <c:v>Heating &amp; DHW</c:v>
                </c:pt>
              </c:strCache>
            </c:strRef>
          </c:tx>
          <c:spPr>
            <a:solidFill>
              <a:srgbClr val="F8696B"/>
            </a:solidFill>
            <a:ln w="25400">
              <a:noFill/>
            </a:ln>
          </c:spPr>
          <c:cat>
            <c:strRef>
              <c:f>Charts!$A$29:$A$40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Charts!$C$29:$C$40</c:f>
              <c:numCache>
                <c:formatCode>#,##0</c:formatCode>
                <c:ptCount val="12"/>
                <c:pt idx="0">
                  <c:v>10657.1</c:v>
                </c:pt>
                <c:pt idx="1">
                  <c:v>10662.2</c:v>
                </c:pt>
                <c:pt idx="2">
                  <c:v>10678.8</c:v>
                </c:pt>
                <c:pt idx="3">
                  <c:v>10699.3</c:v>
                </c:pt>
                <c:pt idx="4">
                  <c:v>10716.5</c:v>
                </c:pt>
                <c:pt idx="5">
                  <c:v>10728.9</c:v>
                </c:pt>
                <c:pt idx="6">
                  <c:v>10737</c:v>
                </c:pt>
                <c:pt idx="7">
                  <c:v>10738.6</c:v>
                </c:pt>
                <c:pt idx="8">
                  <c:v>10732.9</c:v>
                </c:pt>
                <c:pt idx="9">
                  <c:v>10716.3</c:v>
                </c:pt>
                <c:pt idx="10">
                  <c:v>10691.2</c:v>
                </c:pt>
                <c:pt idx="11">
                  <c:v>10667.6</c:v>
                </c:pt>
              </c:numCache>
            </c:numRef>
          </c:val>
        </c:ser>
        <c:ser>
          <c:idx val="2"/>
          <c:order val="2"/>
          <c:tx>
            <c:strRef>
              <c:f>Charts!$E$28</c:f>
              <c:strCache>
                <c:ptCount val="1"/>
                <c:pt idx="0">
                  <c:v>Lights</c:v>
                </c:pt>
              </c:strCache>
            </c:strRef>
          </c:tx>
          <c:spPr>
            <a:solidFill>
              <a:srgbClr val="FFEB84"/>
            </a:solidFill>
            <a:ln w="25400">
              <a:noFill/>
            </a:ln>
          </c:spPr>
          <c:cat>
            <c:strRef>
              <c:f>Charts!$A$29:$A$40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Charts!$E$29:$E$40</c:f>
              <c:numCache>
                <c:formatCode>#,##0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3"/>
          <c:order val="3"/>
          <c:tx>
            <c:strRef>
              <c:f>Charts!$F$28</c:f>
              <c:strCache>
                <c:ptCount val="1"/>
                <c:pt idx="0">
                  <c:v>Equipment</c:v>
                </c:pt>
              </c:strCache>
            </c:strRef>
          </c:tx>
          <c:spPr>
            <a:solidFill>
              <a:schemeClr val="bg1">
                <a:lumMod val="65000"/>
              </a:schemeClr>
            </a:solidFill>
            <a:ln w="25400">
              <a:noFill/>
            </a:ln>
          </c:spPr>
          <c:cat>
            <c:strRef>
              <c:f>Charts!$A$29:$A$40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Charts!$F$29:$F$40</c:f>
              <c:numCache>
                <c:formatCode>#,##0</c:formatCode>
                <c:ptCount val="12"/>
                <c:pt idx="0">
                  <c:v>2134.1</c:v>
                </c:pt>
                <c:pt idx="1">
                  <c:v>2134.1</c:v>
                </c:pt>
                <c:pt idx="2">
                  <c:v>2134.1</c:v>
                </c:pt>
                <c:pt idx="3">
                  <c:v>2134.1</c:v>
                </c:pt>
                <c:pt idx="4">
                  <c:v>2134.1</c:v>
                </c:pt>
                <c:pt idx="5">
                  <c:v>2134.1</c:v>
                </c:pt>
                <c:pt idx="6">
                  <c:v>2134.1</c:v>
                </c:pt>
                <c:pt idx="7">
                  <c:v>2134.1</c:v>
                </c:pt>
                <c:pt idx="8">
                  <c:v>2134.1</c:v>
                </c:pt>
                <c:pt idx="9">
                  <c:v>2134.1</c:v>
                </c:pt>
                <c:pt idx="10">
                  <c:v>2134.1</c:v>
                </c:pt>
                <c:pt idx="11">
                  <c:v>2134.1</c:v>
                </c:pt>
              </c:numCache>
            </c:numRef>
          </c:val>
        </c:ser>
        <c:ser>
          <c:idx val="4"/>
          <c:order val="4"/>
          <c:tx>
            <c:strRef>
              <c:f>Charts!$D$28</c:f>
              <c:strCache>
                <c:ptCount val="1"/>
                <c:pt idx="0">
                  <c:v>Ventilation</c:v>
                </c:pt>
              </c:strCache>
            </c:strRef>
          </c:tx>
          <c:spPr>
            <a:solidFill>
              <a:schemeClr val="accent5">
                <a:lumMod val="40000"/>
                <a:lumOff val="60000"/>
              </a:schemeClr>
            </a:solidFill>
            <a:ln w="25400">
              <a:noFill/>
            </a:ln>
          </c:spPr>
          <c:cat>
            <c:strRef>
              <c:f>Charts!$A$29:$A$40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Charts!$D$29:$D$40</c:f>
              <c:numCache>
                <c:formatCode>#,##0</c:formatCode>
                <c:ptCount val="12"/>
                <c:pt idx="0">
                  <c:v>461.3</c:v>
                </c:pt>
                <c:pt idx="1">
                  <c:v>461.3</c:v>
                </c:pt>
                <c:pt idx="2">
                  <c:v>461.3</c:v>
                </c:pt>
                <c:pt idx="3">
                  <c:v>461.3</c:v>
                </c:pt>
                <c:pt idx="4">
                  <c:v>461.3</c:v>
                </c:pt>
                <c:pt idx="5">
                  <c:v>461.3</c:v>
                </c:pt>
                <c:pt idx="6">
                  <c:v>461.3</c:v>
                </c:pt>
                <c:pt idx="7">
                  <c:v>461.3</c:v>
                </c:pt>
                <c:pt idx="8">
                  <c:v>461.3</c:v>
                </c:pt>
                <c:pt idx="9">
                  <c:v>461.3</c:v>
                </c:pt>
                <c:pt idx="10">
                  <c:v>461.3</c:v>
                </c:pt>
                <c:pt idx="11">
                  <c:v>461.3</c:v>
                </c:pt>
              </c:numCache>
            </c:numRef>
          </c:val>
        </c:ser>
        <c:dLbls>
          <c:showLegendKey val="0"/>
          <c:showVal val="0"/>
          <c:showCatName val="0"/>
          <c:showSerName val="0"/>
          <c:showPercent val="0"/>
          <c:showBubbleSize val="0"/>
        </c:dLbls>
        <c:axId val="351577128"/>
        <c:axId val="351576736"/>
      </c:radarChart>
      <c:catAx>
        <c:axId val="351577128"/>
        <c:scaling>
          <c:orientation val="minMax"/>
        </c:scaling>
        <c:delete val="0"/>
        <c:axPos val="b"/>
        <c:majorGridlines/>
        <c:numFmt formatCode="General" sourceLinked="0"/>
        <c:majorTickMark val="out"/>
        <c:minorTickMark val="none"/>
        <c:tickLblPos val="nextTo"/>
        <c:crossAx val="351576736"/>
        <c:crosses val="autoZero"/>
        <c:auto val="1"/>
        <c:lblAlgn val="ctr"/>
        <c:lblOffset val="100"/>
        <c:noMultiLvlLbl val="0"/>
      </c:catAx>
      <c:valAx>
        <c:axId val="351576736"/>
        <c:scaling>
          <c:orientation val="minMax"/>
        </c:scaling>
        <c:delete val="0"/>
        <c:axPos val="l"/>
        <c:majorGridlines>
          <c:spPr>
            <a:ln>
              <a:solidFill>
                <a:schemeClr val="tx1"/>
              </a:solidFill>
            </a:ln>
          </c:spPr>
        </c:majorGridlines>
        <c:minorGridlines>
          <c:spPr>
            <a:ln>
              <a:noFill/>
            </a:ln>
          </c:spPr>
        </c:minorGridlines>
        <c:numFmt formatCode="#,##0" sourceLinked="1"/>
        <c:majorTickMark val="cross"/>
        <c:minorTickMark val="none"/>
        <c:tickLblPos val="none"/>
        <c:spPr>
          <a:ln>
            <a:solidFill>
              <a:schemeClr val="bg1">
                <a:lumMod val="50000"/>
              </a:schemeClr>
            </a:solidFill>
          </a:ln>
        </c:spPr>
        <c:crossAx val="351577128"/>
        <c:crosses val="autoZero"/>
        <c:crossBetween val="between"/>
      </c:valAx>
    </c:plotArea>
    <c:legend>
      <c:legendPos val="r"/>
      <c:layout>
        <c:manualLayout>
          <c:xMode val="edge"/>
          <c:yMode val="edge"/>
          <c:x val="0.71625292648474803"/>
          <c:y val="0.34859857386772247"/>
          <c:w val="0.22801155442161908"/>
          <c:h val="0.27671567346441323"/>
        </c:manualLayout>
      </c:layou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Charts!$S$8</c:f>
              <c:strCache>
                <c:ptCount val="1"/>
                <c:pt idx="0">
                  <c:v>Space heating</c:v>
                </c:pt>
              </c:strCache>
            </c:strRef>
          </c:tx>
          <c:spPr>
            <a:solidFill>
              <a:srgbClr val="F8696B"/>
            </a:solidFill>
          </c:spPr>
          <c:dLbls>
            <c:dLbl>
              <c:idx val="0"/>
              <c:layout>
                <c:manualLayout>
                  <c:x val="2.470623714590026E-3"/>
                  <c:y val="0.1078838524486223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236823260910722E-2"/>
                  <c:y val="0.1067401135339967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960661783043113E-2"/>
                  <c:y val="7.29574091061050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69374909135713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218282768379627E-2"/>
                  <c:y val="-6.24999794947573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377331614888059E-2"/>
                  <c:y val="-0.1062499651410875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79615675923254E-3"/>
                  <c:y val="-0.1167892062007282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962779430329424E-2"/>
                  <c:y val="-0.1145832957403885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7157368629960574E-2"/>
                  <c:y val="-6.24999794947573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20473871374968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7766275653327693E-2"/>
                  <c:y val="8.602929914907142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0353920686441712E-2"/>
                  <c:y val="0.102042467379973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Charts!$R$9:$R$20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Charts!$S$9:$S$20</c:f>
              <c:numCache>
                <c:formatCode>0</c:formatCode>
                <c:ptCount val="12"/>
                <c:pt idx="0">
                  <c:v>2397.5</c:v>
                </c:pt>
                <c:pt idx="1">
                  <c:v>2397.6000000000004</c:v>
                </c:pt>
                <c:pt idx="2">
                  <c:v>2410.6</c:v>
                </c:pt>
                <c:pt idx="3">
                  <c:v>2429.6000000000004</c:v>
                </c:pt>
                <c:pt idx="4">
                  <c:v>2446.6999999999998</c:v>
                </c:pt>
                <c:pt idx="5">
                  <c:v>2459.7000000000003</c:v>
                </c:pt>
                <c:pt idx="6">
                  <c:v>2469</c:v>
                </c:pt>
                <c:pt idx="7">
                  <c:v>2473</c:v>
                </c:pt>
                <c:pt idx="8">
                  <c:v>2471</c:v>
                </c:pt>
                <c:pt idx="9">
                  <c:v>2458.8000000000002</c:v>
                </c:pt>
                <c:pt idx="10">
                  <c:v>2436.9</c:v>
                </c:pt>
                <c:pt idx="11">
                  <c:v>2412.6</c:v>
                </c:pt>
              </c:numCache>
            </c:numRef>
          </c:val>
        </c:ser>
        <c:dLbls>
          <c:showLegendKey val="0"/>
          <c:showVal val="0"/>
          <c:showCatName val="0"/>
          <c:showSerName val="0"/>
          <c:showPercent val="0"/>
          <c:showBubbleSize val="0"/>
        </c:dLbls>
        <c:axId val="352165656"/>
        <c:axId val="352166048"/>
      </c:radarChart>
      <c:catAx>
        <c:axId val="352165656"/>
        <c:scaling>
          <c:orientation val="minMax"/>
        </c:scaling>
        <c:delete val="0"/>
        <c:axPos val="b"/>
        <c:majorGridlines/>
        <c:numFmt formatCode="General" sourceLinked="0"/>
        <c:majorTickMark val="out"/>
        <c:minorTickMark val="none"/>
        <c:tickLblPos val="nextTo"/>
        <c:crossAx val="352166048"/>
        <c:crosses val="autoZero"/>
        <c:auto val="1"/>
        <c:lblAlgn val="ctr"/>
        <c:lblOffset val="100"/>
        <c:noMultiLvlLbl val="0"/>
      </c:catAx>
      <c:valAx>
        <c:axId val="352166048"/>
        <c:scaling>
          <c:orientation val="minMax"/>
        </c:scaling>
        <c:delete val="0"/>
        <c:axPos val="l"/>
        <c:majorGridlines>
          <c:spPr>
            <a:ln>
              <a:solidFill>
                <a:schemeClr val="tx1"/>
              </a:solidFill>
            </a:ln>
          </c:spPr>
        </c:majorGridlines>
        <c:minorGridlines>
          <c:spPr>
            <a:ln>
              <a:noFill/>
            </a:ln>
          </c:spPr>
        </c:minorGridlines>
        <c:numFmt formatCode="0" sourceLinked="1"/>
        <c:majorTickMark val="cross"/>
        <c:minorTickMark val="none"/>
        <c:tickLblPos val="none"/>
        <c:spPr>
          <a:ln>
            <a:solidFill>
              <a:schemeClr val="bg1">
                <a:lumMod val="50000"/>
              </a:schemeClr>
            </a:solidFill>
          </a:ln>
        </c:spPr>
        <c:crossAx val="352165656"/>
        <c:crosses val="autoZero"/>
        <c:crossBetween val="between"/>
      </c:valAx>
    </c:plotArea>
    <c:plotVisOnly val="1"/>
    <c:dispBlanksAs val="gap"/>
    <c:showDLblsOverMax val="0"/>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Charts!$S$28</c:f>
              <c:strCache>
                <c:ptCount val="1"/>
                <c:pt idx="0">
                  <c:v>Space heating</c:v>
                </c:pt>
              </c:strCache>
            </c:strRef>
          </c:tx>
          <c:spPr>
            <a:solidFill>
              <a:srgbClr val="F8696B"/>
            </a:solidFill>
          </c:spPr>
          <c:dLbls>
            <c:dLbl>
              <c:idx val="0"/>
              <c:layout>
                <c:manualLayout>
                  <c:x val="2.470623714590026E-3"/>
                  <c:y val="0.1078838524486223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236823260910722E-2"/>
                  <c:y val="0.1067401135339967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960661783043113E-2"/>
                  <c:y val="7.29574091061050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69374909135713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1218282768379627E-2"/>
                  <c:y val="-6.24999794947573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377331614888059E-2"/>
                  <c:y val="-0.1062499651410875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79615675923254E-3"/>
                  <c:y val="-0.1167892062007282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962779430329424E-2"/>
                  <c:y val="-0.1145832957403885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7157368629960574E-2"/>
                  <c:y val="-6.24999794947573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20473871374968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7766275653327693E-2"/>
                  <c:y val="8.602929914907142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0353920686441712E-2"/>
                  <c:y val="0.102042467379973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Charts!$R$29:$R$40</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Charts!$S$29:$S$40</c:f>
              <c:numCache>
                <c:formatCode>0</c:formatCode>
                <c:ptCount val="12"/>
                <c:pt idx="0">
                  <c:v>2342.6</c:v>
                </c:pt>
                <c:pt idx="1">
                  <c:v>2347.7000000000003</c:v>
                </c:pt>
                <c:pt idx="2">
                  <c:v>2364.3000000000002</c:v>
                </c:pt>
                <c:pt idx="3">
                  <c:v>2384.7999999999997</c:v>
                </c:pt>
                <c:pt idx="4">
                  <c:v>2402</c:v>
                </c:pt>
                <c:pt idx="5">
                  <c:v>2414.4</c:v>
                </c:pt>
                <c:pt idx="6">
                  <c:v>2422.5</c:v>
                </c:pt>
                <c:pt idx="7">
                  <c:v>2424.1000000000004</c:v>
                </c:pt>
                <c:pt idx="8">
                  <c:v>2418.4</c:v>
                </c:pt>
                <c:pt idx="9">
                  <c:v>2401.8000000000002</c:v>
                </c:pt>
                <c:pt idx="10">
                  <c:v>2376.6999999999998</c:v>
                </c:pt>
                <c:pt idx="11">
                  <c:v>2353.1</c:v>
                </c:pt>
              </c:numCache>
            </c:numRef>
          </c:val>
        </c:ser>
        <c:dLbls>
          <c:showLegendKey val="0"/>
          <c:showVal val="0"/>
          <c:showCatName val="0"/>
          <c:showSerName val="0"/>
          <c:showPercent val="0"/>
          <c:showBubbleSize val="0"/>
        </c:dLbls>
        <c:axId val="351575952"/>
        <c:axId val="352166832"/>
      </c:radarChart>
      <c:catAx>
        <c:axId val="351575952"/>
        <c:scaling>
          <c:orientation val="minMax"/>
        </c:scaling>
        <c:delete val="0"/>
        <c:axPos val="b"/>
        <c:majorGridlines/>
        <c:numFmt formatCode="General" sourceLinked="0"/>
        <c:majorTickMark val="out"/>
        <c:minorTickMark val="none"/>
        <c:tickLblPos val="nextTo"/>
        <c:crossAx val="352166832"/>
        <c:crosses val="autoZero"/>
        <c:auto val="1"/>
        <c:lblAlgn val="ctr"/>
        <c:lblOffset val="100"/>
        <c:noMultiLvlLbl val="0"/>
      </c:catAx>
      <c:valAx>
        <c:axId val="352166832"/>
        <c:scaling>
          <c:orientation val="minMax"/>
        </c:scaling>
        <c:delete val="0"/>
        <c:axPos val="l"/>
        <c:majorGridlines>
          <c:spPr>
            <a:ln>
              <a:solidFill>
                <a:schemeClr val="tx1"/>
              </a:solidFill>
            </a:ln>
          </c:spPr>
        </c:majorGridlines>
        <c:minorGridlines>
          <c:spPr>
            <a:ln>
              <a:noFill/>
            </a:ln>
          </c:spPr>
        </c:minorGridlines>
        <c:numFmt formatCode="0" sourceLinked="1"/>
        <c:majorTickMark val="cross"/>
        <c:minorTickMark val="none"/>
        <c:tickLblPos val="none"/>
        <c:spPr>
          <a:ln>
            <a:solidFill>
              <a:schemeClr val="bg1">
                <a:lumMod val="50000"/>
              </a:schemeClr>
            </a:solidFill>
          </a:ln>
        </c:spPr>
        <c:crossAx val="351575952"/>
        <c:crosses val="autoZero"/>
        <c:crossBetween val="between"/>
      </c:valAx>
    </c:plotArea>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EF1BD-C530-4733-8901-56A6BFFAD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 Para.dot</Template>
  <TotalTime>4</TotalTime>
  <Pages>1</Pages>
  <Words>6128</Words>
  <Characters>34930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TAP Prototypes</vt:lpstr>
    </vt:vector>
  </TitlesOfParts>
  <Company>Leeds Metropolitan University</Company>
  <LinksUpToDate>false</LinksUpToDate>
  <CharactersWithSpaces>40977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Prototypes</dc:title>
  <dc:creator>Dominic Miles-Shenton</dc:creator>
  <cp:lastModifiedBy>Johnston, David</cp:lastModifiedBy>
  <cp:revision>3</cp:revision>
  <cp:lastPrinted>2015-06-08T08:10:00Z</cp:lastPrinted>
  <dcterms:created xsi:type="dcterms:W3CDTF">2015-06-16T15:03:00Z</dcterms:created>
  <dcterms:modified xsi:type="dcterms:W3CDTF">2015-06-16T15:03:00Z</dcterms:modified>
</cp:coreProperties>
</file>