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51D" w:rsidRPr="0095251D" w:rsidRDefault="0095251D" w:rsidP="0095251D">
      <w:pPr>
        <w:jc w:val="center"/>
        <w:rPr>
          <w:rFonts w:ascii="Calibri" w:eastAsia="Calibri" w:hAnsi="Calibri"/>
          <w:sz w:val="22"/>
          <w:szCs w:val="22"/>
          <w:lang w:val="en-GB" w:eastAsia="en-US"/>
        </w:rPr>
      </w:pPr>
      <w:r w:rsidRPr="0095251D">
        <w:rPr>
          <w:rFonts w:eastAsia="Calibri" w:cs="Arial"/>
          <w:b/>
          <w:sz w:val="28"/>
          <w:szCs w:val="28"/>
          <w:lang w:val="en-GB" w:eastAsia="en-US"/>
        </w:rPr>
        <w:t>USING COLLABORATIVE SOCIAL MEDIA FOR GROUP WORK WITH DISTANCE LEARNING STUDENTS AND WITH FACE TO FACE STUDENTS</w:t>
      </w:r>
    </w:p>
    <w:p w:rsidR="00B55A17" w:rsidRPr="00705478" w:rsidRDefault="0095251D" w:rsidP="00B55A17">
      <w:pPr>
        <w:pStyle w:val="IATED-Affiliation"/>
      </w:pPr>
      <w:r>
        <w:t>Leeds Beckett University UK</w:t>
      </w:r>
    </w:p>
    <w:p w:rsidR="00B55A17" w:rsidRPr="00705478" w:rsidRDefault="00B55A17" w:rsidP="00B55A17">
      <w:pPr>
        <w:pStyle w:val="Title"/>
        <w:rPr>
          <w:lang w:val="en-GB"/>
        </w:rPr>
      </w:pPr>
      <w:r w:rsidRPr="00705478">
        <w:rPr>
          <w:lang w:val="en-GB"/>
        </w:rPr>
        <w:t xml:space="preserve">Abstract </w:t>
      </w:r>
    </w:p>
    <w:p w:rsidR="009F7A8F" w:rsidRPr="009F7A8F" w:rsidRDefault="009F7A8F" w:rsidP="009F7A8F">
      <w:pPr>
        <w:jc w:val="center"/>
        <w:rPr>
          <w:b/>
          <w:sz w:val="24"/>
          <w:lang w:val="en-GB"/>
        </w:rPr>
      </w:pPr>
      <w:r w:rsidRPr="009F7A8F">
        <w:rPr>
          <w:b/>
          <w:sz w:val="24"/>
          <w:lang w:val="en-GB"/>
        </w:rPr>
        <w:t>Group Work is usually unpopular with students.  High achieving students worry that their marks may be adversely affected by poor performance from other members.  Conversely, they may feel that under-performing members of the group may get “a free ride” from the work of others.</w:t>
      </w:r>
    </w:p>
    <w:p w:rsidR="009F7A8F" w:rsidRPr="009F7A8F" w:rsidRDefault="009F7A8F" w:rsidP="009F7A8F">
      <w:pPr>
        <w:jc w:val="center"/>
        <w:rPr>
          <w:b/>
          <w:sz w:val="24"/>
          <w:lang w:val="en-GB"/>
        </w:rPr>
      </w:pPr>
      <w:r w:rsidRPr="009F7A8F">
        <w:rPr>
          <w:b/>
          <w:sz w:val="24"/>
          <w:lang w:val="en-GB"/>
        </w:rPr>
        <w:t>Employers, however, welcome “team players” who can work in groups.  Group work, therefore, is often a component of assessment I order to promote work place skills in students.</w:t>
      </w:r>
    </w:p>
    <w:p w:rsidR="009F7A8F" w:rsidRPr="009F7A8F" w:rsidRDefault="009F7A8F" w:rsidP="009F7A8F">
      <w:pPr>
        <w:jc w:val="center"/>
        <w:rPr>
          <w:b/>
          <w:sz w:val="24"/>
          <w:lang w:val="en-GB"/>
        </w:rPr>
      </w:pPr>
      <w:r w:rsidRPr="009F7A8F">
        <w:rPr>
          <w:b/>
          <w:sz w:val="24"/>
          <w:lang w:val="en-GB"/>
        </w:rPr>
        <w:t>There are various strategies for peer assessment whereby members of the group report on each other’s contributions.  This form of peer assessment, however, is far removed from workplace practice, thus removing one of the reasons for group work.  It also places stress on students who may be reluctant to mark down colleagues or friends.  Students may also be intimidated by group members and not confident that their remarks will be treated as confidential.</w:t>
      </w:r>
    </w:p>
    <w:p w:rsidR="009F7A8F" w:rsidRPr="009F7A8F" w:rsidRDefault="009F7A8F" w:rsidP="009F7A8F">
      <w:pPr>
        <w:jc w:val="center"/>
        <w:rPr>
          <w:b/>
          <w:sz w:val="24"/>
          <w:lang w:val="en-GB"/>
        </w:rPr>
      </w:pPr>
      <w:r w:rsidRPr="009F7A8F">
        <w:rPr>
          <w:b/>
          <w:sz w:val="24"/>
          <w:lang w:val="en-GB"/>
        </w:rPr>
        <w:t>Distance Learning students often report that they feel a sense of isolation in their course.  Group projects can foster a sense of inclusiveness, and overcome the feeling of isolation.  However, the group work has to be well-designed to avoid the problems identified above.</w:t>
      </w:r>
    </w:p>
    <w:p w:rsidR="009F7A8F" w:rsidRPr="009F7A8F" w:rsidRDefault="009F7A8F" w:rsidP="009F7A8F">
      <w:pPr>
        <w:jc w:val="center"/>
        <w:rPr>
          <w:b/>
          <w:sz w:val="24"/>
          <w:lang w:val="en-GB"/>
        </w:rPr>
      </w:pPr>
      <w:r w:rsidRPr="009F7A8F">
        <w:rPr>
          <w:b/>
          <w:sz w:val="24"/>
          <w:lang w:val="en-GB"/>
        </w:rPr>
        <w:t>Social media, in the form of a student wiki, has been very successfully used for group work on distance learning courses, for several years.  Students collaborate in producing the wiki, yet each student is assessed on their individual contribution to the wiki.  Introducing the same technique to students on a traditional face-to-face course, however, met with very limited success.</w:t>
      </w:r>
    </w:p>
    <w:p w:rsidR="009F7A8F" w:rsidRPr="009F7A8F" w:rsidRDefault="009F7A8F" w:rsidP="009F7A8F">
      <w:pPr>
        <w:jc w:val="center"/>
        <w:rPr>
          <w:b/>
          <w:sz w:val="24"/>
          <w:lang w:val="en-GB"/>
        </w:rPr>
      </w:pPr>
      <w:r w:rsidRPr="009F7A8F">
        <w:rPr>
          <w:b/>
          <w:sz w:val="24"/>
          <w:lang w:val="en-GB"/>
        </w:rPr>
        <w:t>This paper will firstly identify the techniques for successful use of social media in group work on distance learning courses, and secondly address reasons why the same techniques were not successful in a face-to-face course.</w:t>
      </w:r>
    </w:p>
    <w:p w:rsidR="00B55A17" w:rsidRPr="00705478" w:rsidRDefault="00B55A17" w:rsidP="00B55A17">
      <w:pPr>
        <w:rPr>
          <w:sz w:val="24"/>
          <w:lang w:val="en-GB"/>
        </w:rPr>
      </w:pPr>
      <w:r w:rsidRPr="00705478">
        <w:rPr>
          <w:lang w:val="en-GB"/>
        </w:rPr>
        <w:t xml:space="preserve">Keywords: </w:t>
      </w:r>
      <w:r w:rsidR="00DA38E4">
        <w:rPr>
          <w:lang w:val="en-GB"/>
        </w:rPr>
        <w:t>Distance Learning, Group work, Heutagogy</w:t>
      </w:r>
      <w:r w:rsidRPr="00705478">
        <w:rPr>
          <w:lang w:val="en-GB"/>
        </w:rPr>
        <w:t xml:space="preserve"> </w:t>
      </w:r>
    </w:p>
    <w:p w:rsidR="00B55A17" w:rsidRPr="00705478" w:rsidRDefault="00CC34DB" w:rsidP="00B55A17">
      <w:pPr>
        <w:pStyle w:val="Heading1"/>
        <w:rPr>
          <w:lang w:val="en-GB"/>
        </w:rPr>
      </w:pPr>
      <w:r>
        <w:rPr>
          <w:lang w:val="en-GB"/>
        </w:rPr>
        <w:t>BACKGROUND</w:t>
      </w:r>
    </w:p>
    <w:p w:rsidR="00CC34DB" w:rsidRPr="00CC34DB" w:rsidRDefault="00CC34DB" w:rsidP="00CC34DB">
      <w:pPr>
        <w:rPr>
          <w:rFonts w:cs="Arial"/>
          <w:iCs/>
          <w:color w:val="000000"/>
          <w:szCs w:val="20"/>
          <w:lang w:val="en-GB" w:eastAsia="en-GB"/>
        </w:rPr>
      </w:pPr>
      <w:r w:rsidRPr="00CC34DB">
        <w:rPr>
          <w:rFonts w:cs="Arial"/>
          <w:iCs/>
          <w:color w:val="000000"/>
          <w:szCs w:val="20"/>
          <w:lang w:val="en-GB" w:eastAsia="en-GB"/>
        </w:rPr>
        <w:t xml:space="preserve">Leeds </w:t>
      </w:r>
      <w:r>
        <w:rPr>
          <w:rFonts w:cs="Arial"/>
          <w:iCs/>
          <w:color w:val="000000"/>
          <w:szCs w:val="20"/>
          <w:lang w:val="en-GB" w:eastAsia="en-GB"/>
        </w:rPr>
        <w:t xml:space="preserve">Beckett University, </w:t>
      </w:r>
      <w:r w:rsidRPr="00CC34DB">
        <w:rPr>
          <w:rFonts w:cs="Arial"/>
          <w:iCs/>
          <w:color w:val="000000"/>
          <w:szCs w:val="20"/>
          <w:lang w:val="en-GB" w:eastAsia="en-GB"/>
        </w:rPr>
        <w:t>School of The Built Environ</w:t>
      </w:r>
      <w:smartTag w:uri="urn:schemas-microsoft-com:office:smarttags" w:element="PersonName">
        <w:r w:rsidRPr="00CC34DB">
          <w:rPr>
            <w:rFonts w:cs="Arial"/>
            <w:iCs/>
            <w:color w:val="000000"/>
            <w:szCs w:val="20"/>
            <w:lang w:val="en-GB" w:eastAsia="en-GB"/>
          </w:rPr>
          <w:t>me</w:t>
        </w:r>
      </w:smartTag>
      <w:r w:rsidRPr="00CC34DB">
        <w:rPr>
          <w:rFonts w:cs="Arial"/>
          <w:iCs/>
          <w:color w:val="000000"/>
          <w:szCs w:val="20"/>
          <w:lang w:val="en-GB" w:eastAsia="en-GB"/>
        </w:rPr>
        <w:t xml:space="preserve">nt </w:t>
      </w:r>
      <w:r>
        <w:rPr>
          <w:rFonts w:cs="Arial"/>
          <w:iCs/>
          <w:color w:val="000000"/>
          <w:szCs w:val="20"/>
          <w:lang w:val="en-GB" w:eastAsia="en-GB"/>
        </w:rPr>
        <w:t xml:space="preserve">and Engineering has a suite of </w:t>
      </w:r>
      <w:r w:rsidRPr="00CC34DB">
        <w:rPr>
          <w:rFonts w:cs="Arial"/>
          <w:iCs/>
          <w:color w:val="000000"/>
          <w:szCs w:val="20"/>
          <w:lang w:val="en-GB" w:eastAsia="en-GB"/>
        </w:rPr>
        <w:t xml:space="preserve">web-based distance learning </w:t>
      </w:r>
      <w:r w:rsidR="001E3481">
        <w:rPr>
          <w:rFonts w:cs="Arial"/>
          <w:iCs/>
          <w:color w:val="000000"/>
          <w:szCs w:val="20"/>
          <w:lang w:val="en-GB" w:eastAsia="en-GB"/>
        </w:rPr>
        <w:t xml:space="preserve">MSc </w:t>
      </w:r>
      <w:r w:rsidRPr="00CC34DB">
        <w:rPr>
          <w:rFonts w:cs="Arial"/>
          <w:iCs/>
          <w:color w:val="000000"/>
          <w:szCs w:val="20"/>
          <w:lang w:val="en-GB" w:eastAsia="en-GB"/>
        </w:rPr>
        <w:t>courses delivered via the Blackboard Vista VLE.</w:t>
      </w:r>
      <w:r>
        <w:rPr>
          <w:rFonts w:cs="Arial"/>
          <w:iCs/>
          <w:color w:val="000000"/>
          <w:szCs w:val="20"/>
          <w:lang w:val="en-GB" w:eastAsia="en-GB"/>
        </w:rPr>
        <w:t xml:space="preserve">  </w:t>
      </w:r>
    </w:p>
    <w:p w:rsidR="00CC34DB" w:rsidRDefault="00CC34DB" w:rsidP="00CC34DB">
      <w:pPr>
        <w:spacing w:before="0" w:after="0"/>
        <w:jc w:val="left"/>
        <w:rPr>
          <w:rFonts w:cs="Arial"/>
          <w:color w:val="000000"/>
          <w:szCs w:val="20"/>
          <w:lang w:val="en-GB" w:eastAsia="en-GB"/>
        </w:rPr>
      </w:pPr>
      <w:r>
        <w:rPr>
          <w:rFonts w:cs="Arial"/>
          <w:color w:val="000000"/>
          <w:szCs w:val="20"/>
          <w:lang w:val="en-GB" w:eastAsia="en-GB"/>
        </w:rPr>
        <w:t>There are two intakes to the programmes each year; and s</w:t>
      </w:r>
      <w:r w:rsidRPr="00CC34DB">
        <w:rPr>
          <w:rFonts w:cs="Arial"/>
          <w:color w:val="000000"/>
          <w:szCs w:val="20"/>
          <w:lang w:val="en-GB" w:eastAsia="en-GB"/>
        </w:rPr>
        <w:t>o</w:t>
      </w:r>
      <w:smartTag w:uri="urn:schemas-microsoft-com:office:smarttags" w:element="PersonName">
        <w:r w:rsidRPr="00CC34DB">
          <w:rPr>
            <w:rFonts w:cs="Arial"/>
            <w:color w:val="000000"/>
            <w:szCs w:val="20"/>
            <w:lang w:val="en-GB" w:eastAsia="en-GB"/>
          </w:rPr>
          <w:t>me</w:t>
        </w:r>
      </w:smartTag>
      <w:r w:rsidRPr="00CC34DB">
        <w:rPr>
          <w:rFonts w:cs="Arial"/>
          <w:color w:val="000000"/>
          <w:szCs w:val="20"/>
          <w:lang w:val="en-GB" w:eastAsia="en-GB"/>
        </w:rPr>
        <w:t xml:space="preserve"> modules are common between </w:t>
      </w:r>
      <w:r>
        <w:rPr>
          <w:rFonts w:cs="Arial"/>
          <w:color w:val="000000"/>
          <w:szCs w:val="20"/>
          <w:lang w:val="en-GB" w:eastAsia="en-GB"/>
        </w:rPr>
        <w:t>programmes.  A module, therefore, may have students from different cohorts and different programmes studying together.</w:t>
      </w:r>
    </w:p>
    <w:p w:rsidR="00CC34DB" w:rsidRDefault="00CC34DB" w:rsidP="00CC34DB">
      <w:pPr>
        <w:spacing w:before="0" w:after="0"/>
        <w:jc w:val="left"/>
        <w:rPr>
          <w:rFonts w:cs="Arial"/>
          <w:color w:val="000000"/>
          <w:szCs w:val="20"/>
          <w:lang w:val="en-GB" w:eastAsia="en-GB"/>
        </w:rPr>
      </w:pPr>
    </w:p>
    <w:p w:rsidR="00B55A17" w:rsidRPr="00CC34DB" w:rsidRDefault="00B55A17" w:rsidP="00B55A17">
      <w:pPr>
        <w:rPr>
          <w:rFonts w:cs="Arial"/>
          <w:lang w:val="en-GB"/>
        </w:rPr>
      </w:pPr>
    </w:p>
    <w:p w:rsidR="00B55A17" w:rsidRPr="00705478" w:rsidRDefault="00036AB3" w:rsidP="001B7620">
      <w:pPr>
        <w:pStyle w:val="Heading1"/>
        <w:rPr>
          <w:lang w:val="en-GB"/>
        </w:rPr>
      </w:pPr>
      <w:r>
        <w:rPr>
          <w:lang w:val="en-GB"/>
        </w:rPr>
        <w:lastRenderedPageBreak/>
        <w:t>Group</w:t>
      </w:r>
      <w:r w:rsidR="001B7620">
        <w:rPr>
          <w:lang w:val="en-GB"/>
        </w:rPr>
        <w:t xml:space="preserve"> </w:t>
      </w:r>
      <w:r>
        <w:rPr>
          <w:lang w:val="en-GB"/>
        </w:rPr>
        <w:t>work</w:t>
      </w:r>
      <w:r w:rsidR="001B7620">
        <w:rPr>
          <w:lang w:val="en-GB"/>
        </w:rPr>
        <w:t xml:space="preserve"> on Masters Level Distance Learning Programmes</w:t>
      </w:r>
    </w:p>
    <w:p w:rsidR="00036AB3" w:rsidRPr="00CC34DB" w:rsidRDefault="00036AB3" w:rsidP="00036AB3">
      <w:pPr>
        <w:spacing w:before="0" w:after="0"/>
        <w:jc w:val="left"/>
        <w:rPr>
          <w:rFonts w:cs="Arial"/>
          <w:color w:val="000000"/>
          <w:szCs w:val="20"/>
          <w:lang w:val="en-GB" w:eastAsia="en-GB"/>
        </w:rPr>
      </w:pPr>
      <w:r>
        <w:rPr>
          <w:rFonts w:cs="Arial"/>
          <w:color w:val="000000"/>
          <w:szCs w:val="20"/>
          <w:lang w:val="en-GB" w:eastAsia="en-GB"/>
        </w:rPr>
        <w:t>To help with fostering student cohesion on distance learning courses, group work was introduced several years ago.  The group work has always been successfully received by the student and has introduced into further modules.</w:t>
      </w:r>
    </w:p>
    <w:p w:rsidR="00B55A17" w:rsidRPr="00705478" w:rsidRDefault="00B55A17" w:rsidP="00B55A17">
      <w:pPr>
        <w:rPr>
          <w:lang w:val="en-GB"/>
        </w:rPr>
      </w:pPr>
      <w:r w:rsidRPr="00705478">
        <w:rPr>
          <w:lang w:val="en-GB"/>
        </w:rPr>
        <w:t xml:space="preserve"> </w:t>
      </w:r>
    </w:p>
    <w:p w:rsidR="00036AB3" w:rsidRPr="00036AB3" w:rsidRDefault="00036AB3" w:rsidP="00036AB3">
      <w:pPr>
        <w:pStyle w:val="Heading2"/>
        <w:rPr>
          <w:rFonts w:cs="Arial"/>
          <w:iCs w:val="0"/>
          <w:color w:val="000000"/>
          <w:szCs w:val="24"/>
          <w:lang w:val="en-GB" w:eastAsia="en-GB"/>
        </w:rPr>
      </w:pPr>
      <w:r w:rsidRPr="00036AB3">
        <w:rPr>
          <w:rFonts w:cs="Arial"/>
          <w:iCs w:val="0"/>
          <w:color w:val="000000"/>
          <w:szCs w:val="24"/>
          <w:lang w:val="en-GB" w:eastAsia="en-GB"/>
        </w:rPr>
        <w:t xml:space="preserve">Group </w:t>
      </w:r>
      <w:r w:rsidR="00E013D9">
        <w:rPr>
          <w:rFonts w:cs="Arial"/>
          <w:iCs w:val="0"/>
          <w:color w:val="000000"/>
          <w:szCs w:val="24"/>
          <w:lang w:val="en-GB" w:eastAsia="en-GB"/>
        </w:rPr>
        <w:t>Work on t</w:t>
      </w:r>
      <w:r w:rsidR="008B5A72">
        <w:rPr>
          <w:rFonts w:cs="Arial"/>
          <w:iCs w:val="0"/>
          <w:color w:val="000000"/>
          <w:szCs w:val="24"/>
          <w:lang w:val="en-GB" w:eastAsia="en-GB"/>
        </w:rPr>
        <w:t>he Module "Managing t</w:t>
      </w:r>
      <w:r w:rsidRPr="00036AB3">
        <w:rPr>
          <w:rFonts w:cs="Arial"/>
          <w:iCs w:val="0"/>
          <w:color w:val="000000"/>
          <w:szCs w:val="24"/>
          <w:lang w:val="en-GB" w:eastAsia="en-GB"/>
        </w:rPr>
        <w:t>he Property Asset"</w:t>
      </w:r>
    </w:p>
    <w:p w:rsidR="00036AB3" w:rsidRPr="00036AB3" w:rsidRDefault="00036AB3" w:rsidP="00036AB3">
      <w:pPr>
        <w:spacing w:before="0" w:after="0"/>
        <w:jc w:val="left"/>
        <w:rPr>
          <w:rFonts w:cs="Arial"/>
          <w:szCs w:val="20"/>
          <w:lang w:val="en-GB" w:eastAsia="en-GB"/>
        </w:rPr>
      </w:pPr>
      <w:r w:rsidRPr="00036AB3">
        <w:rPr>
          <w:rFonts w:cs="Arial"/>
          <w:szCs w:val="20"/>
          <w:lang w:val="en-GB" w:eastAsia="en-GB"/>
        </w:rPr>
        <w:t xml:space="preserve">Students are allocated into groups of four by the tutor.  </w:t>
      </w:r>
      <w:r w:rsidR="001B7620">
        <w:rPr>
          <w:rFonts w:cs="Arial"/>
          <w:szCs w:val="20"/>
          <w:lang w:val="en-GB" w:eastAsia="en-GB"/>
        </w:rPr>
        <w:t>As far as possible the tutor tries to c</w:t>
      </w:r>
      <w:r w:rsidR="008B5A72">
        <w:rPr>
          <w:rFonts w:cs="Arial"/>
          <w:szCs w:val="20"/>
          <w:lang w:val="en-GB" w:eastAsia="en-GB"/>
        </w:rPr>
        <w:t>reate students from different co</w:t>
      </w:r>
      <w:r w:rsidR="001B7620">
        <w:rPr>
          <w:rFonts w:cs="Arial"/>
          <w:szCs w:val="20"/>
          <w:lang w:val="en-GB" w:eastAsia="en-GB"/>
        </w:rPr>
        <w:t xml:space="preserve">untries. </w:t>
      </w:r>
      <w:r w:rsidRPr="00036AB3">
        <w:rPr>
          <w:rFonts w:cs="Arial"/>
          <w:szCs w:val="20"/>
          <w:lang w:val="en-GB" w:eastAsia="en-GB"/>
        </w:rPr>
        <w:t>They are given a scenario in that they are property managers for a large financial services organisation.  Th</w:t>
      </w:r>
      <w:r w:rsidRPr="00E013D9">
        <w:rPr>
          <w:rFonts w:cs="Arial"/>
          <w:szCs w:val="20"/>
          <w:lang w:val="en-GB" w:eastAsia="en-GB"/>
        </w:rPr>
        <w:t xml:space="preserve">e </w:t>
      </w:r>
      <w:r w:rsidRPr="00036AB3">
        <w:rPr>
          <w:rFonts w:cs="Arial"/>
          <w:szCs w:val="20"/>
          <w:lang w:val="en-GB" w:eastAsia="en-GB"/>
        </w:rPr>
        <w:t>sa</w:t>
      </w:r>
      <w:smartTag w:uri="urn:schemas-microsoft-com:office:smarttags" w:element="PersonName">
        <w:r w:rsidRPr="00036AB3">
          <w:rPr>
            <w:rFonts w:cs="Arial"/>
            <w:szCs w:val="20"/>
            <w:lang w:val="en-GB" w:eastAsia="en-GB"/>
          </w:rPr>
          <w:t>me</w:t>
        </w:r>
      </w:smartTag>
      <w:r w:rsidRPr="00036AB3">
        <w:rPr>
          <w:rFonts w:cs="Arial"/>
          <w:szCs w:val="20"/>
          <w:lang w:val="en-GB" w:eastAsia="en-GB"/>
        </w:rPr>
        <w:t xml:space="preserve"> scenario is used </w:t>
      </w:r>
      <w:r w:rsidRPr="00E013D9">
        <w:rPr>
          <w:rFonts w:cs="Arial"/>
          <w:szCs w:val="20"/>
          <w:lang w:val="en-GB" w:eastAsia="en-GB"/>
        </w:rPr>
        <w:t xml:space="preserve">on </w:t>
      </w:r>
      <w:r w:rsidRPr="00036AB3">
        <w:rPr>
          <w:rFonts w:cs="Arial"/>
          <w:szCs w:val="20"/>
          <w:lang w:val="en-GB" w:eastAsia="en-GB"/>
        </w:rPr>
        <w:t>another module</w:t>
      </w:r>
      <w:r w:rsidRPr="00E013D9">
        <w:rPr>
          <w:rFonts w:cs="Arial"/>
          <w:szCs w:val="20"/>
          <w:lang w:val="en-GB" w:eastAsia="en-GB"/>
        </w:rPr>
        <w:t>.  The organis</w:t>
      </w:r>
      <w:r w:rsidR="00E013D9">
        <w:rPr>
          <w:rFonts w:cs="Arial"/>
          <w:szCs w:val="20"/>
          <w:lang w:val="en-GB" w:eastAsia="en-GB"/>
        </w:rPr>
        <w:t>a</w:t>
      </w:r>
      <w:r w:rsidRPr="00E013D9">
        <w:rPr>
          <w:rFonts w:cs="Arial"/>
          <w:szCs w:val="20"/>
          <w:lang w:val="en-GB" w:eastAsia="en-GB"/>
        </w:rPr>
        <w:t>tion intends to open an office in another country and the</w:t>
      </w:r>
      <w:r w:rsidRPr="00036AB3">
        <w:rPr>
          <w:rFonts w:cs="Arial"/>
          <w:szCs w:val="20"/>
          <w:lang w:val="en-GB" w:eastAsia="en-GB"/>
        </w:rPr>
        <w:t xml:space="preserve"> property managers have to research and compare two cities</w:t>
      </w:r>
      <w:r w:rsidRPr="00E013D9">
        <w:rPr>
          <w:rFonts w:cs="Arial"/>
          <w:szCs w:val="20"/>
          <w:lang w:val="en-GB" w:eastAsia="en-GB"/>
        </w:rPr>
        <w:t>.</w:t>
      </w:r>
    </w:p>
    <w:p w:rsidR="00036AB3" w:rsidRPr="00036AB3" w:rsidRDefault="00036AB3" w:rsidP="00036AB3">
      <w:pPr>
        <w:spacing w:before="0" w:after="0"/>
        <w:jc w:val="left"/>
        <w:rPr>
          <w:rFonts w:cs="Arial"/>
          <w:szCs w:val="20"/>
          <w:lang w:val="en-GB" w:eastAsia="en-GB"/>
        </w:rPr>
      </w:pPr>
      <w:r w:rsidRPr="00036AB3">
        <w:rPr>
          <w:rFonts w:cs="Arial"/>
          <w:szCs w:val="20"/>
          <w:lang w:val="en-GB" w:eastAsia="en-GB"/>
        </w:rPr>
        <w:t>Cities used include:</w:t>
      </w:r>
    </w:p>
    <w:p w:rsidR="00036AB3" w:rsidRPr="00036AB3" w:rsidRDefault="00036AB3" w:rsidP="00036AB3">
      <w:pPr>
        <w:numPr>
          <w:ilvl w:val="0"/>
          <w:numId w:val="34"/>
        </w:numPr>
        <w:spacing w:before="0" w:after="0"/>
        <w:jc w:val="left"/>
        <w:rPr>
          <w:rFonts w:cs="Arial"/>
          <w:szCs w:val="20"/>
          <w:lang w:val="en-GB" w:eastAsia="en-GB"/>
        </w:rPr>
      </w:pPr>
      <w:r w:rsidRPr="00036AB3">
        <w:rPr>
          <w:rFonts w:cs="Arial"/>
          <w:szCs w:val="20"/>
          <w:lang w:val="en-GB" w:eastAsia="en-GB"/>
        </w:rPr>
        <w:t xml:space="preserve">Nairobi or Dar es Salaam. </w:t>
      </w:r>
    </w:p>
    <w:p w:rsidR="00036AB3" w:rsidRPr="00036AB3" w:rsidRDefault="00036AB3" w:rsidP="00036AB3">
      <w:pPr>
        <w:numPr>
          <w:ilvl w:val="0"/>
          <w:numId w:val="34"/>
        </w:numPr>
        <w:spacing w:before="0" w:after="0"/>
        <w:jc w:val="left"/>
        <w:rPr>
          <w:rFonts w:cs="Arial"/>
          <w:szCs w:val="20"/>
          <w:lang w:val="en-GB" w:eastAsia="en-GB"/>
        </w:rPr>
      </w:pPr>
      <w:r w:rsidRPr="00036AB3">
        <w:rPr>
          <w:rFonts w:cs="Arial"/>
          <w:szCs w:val="20"/>
          <w:lang w:val="en-GB" w:eastAsia="en-GB"/>
        </w:rPr>
        <w:t xml:space="preserve">Saint Petersburg or Moscow. </w:t>
      </w:r>
    </w:p>
    <w:p w:rsidR="00036AB3" w:rsidRPr="00036AB3" w:rsidRDefault="00036AB3" w:rsidP="00036AB3">
      <w:pPr>
        <w:numPr>
          <w:ilvl w:val="0"/>
          <w:numId w:val="34"/>
        </w:numPr>
        <w:spacing w:before="0" w:after="0"/>
        <w:jc w:val="left"/>
        <w:rPr>
          <w:rFonts w:cs="Arial"/>
          <w:szCs w:val="20"/>
          <w:lang w:val="en-GB" w:eastAsia="en-GB"/>
        </w:rPr>
      </w:pPr>
      <w:r w:rsidRPr="00036AB3">
        <w:rPr>
          <w:rFonts w:cs="Arial"/>
          <w:szCs w:val="20"/>
          <w:lang w:val="en-GB" w:eastAsia="en-GB"/>
        </w:rPr>
        <w:t xml:space="preserve">Mumbai or Delhi </w:t>
      </w:r>
    </w:p>
    <w:p w:rsidR="00036AB3" w:rsidRPr="00036AB3" w:rsidRDefault="00036AB3" w:rsidP="00036AB3">
      <w:pPr>
        <w:numPr>
          <w:ilvl w:val="0"/>
          <w:numId w:val="34"/>
        </w:numPr>
        <w:spacing w:before="0" w:after="0"/>
        <w:jc w:val="left"/>
        <w:rPr>
          <w:rFonts w:cs="Arial"/>
          <w:szCs w:val="20"/>
          <w:lang w:val="en-GB" w:eastAsia="en-GB"/>
        </w:rPr>
      </w:pPr>
      <w:r w:rsidRPr="00036AB3">
        <w:rPr>
          <w:rFonts w:cs="Arial"/>
          <w:szCs w:val="20"/>
          <w:lang w:val="en-GB" w:eastAsia="en-GB"/>
        </w:rPr>
        <w:t xml:space="preserve">Beijing or Shanghai. </w:t>
      </w:r>
    </w:p>
    <w:p w:rsidR="00036AB3" w:rsidRPr="00036AB3" w:rsidRDefault="00036AB3" w:rsidP="00036AB3">
      <w:pPr>
        <w:numPr>
          <w:ilvl w:val="0"/>
          <w:numId w:val="34"/>
        </w:numPr>
        <w:spacing w:before="0" w:after="0"/>
        <w:jc w:val="left"/>
        <w:rPr>
          <w:rFonts w:cs="Arial"/>
          <w:szCs w:val="20"/>
          <w:lang w:val="en-GB" w:eastAsia="en-GB"/>
        </w:rPr>
      </w:pPr>
      <w:r w:rsidRPr="00036AB3">
        <w:rPr>
          <w:rFonts w:cs="Arial"/>
          <w:szCs w:val="20"/>
          <w:lang w:val="en-GB" w:eastAsia="en-GB"/>
        </w:rPr>
        <w:t xml:space="preserve">São Paulo or Rio de Janeiro </w:t>
      </w:r>
    </w:p>
    <w:p w:rsidR="00036AB3" w:rsidRPr="001B7620" w:rsidRDefault="00036AB3" w:rsidP="00036AB3">
      <w:pPr>
        <w:numPr>
          <w:ilvl w:val="0"/>
          <w:numId w:val="34"/>
        </w:numPr>
        <w:spacing w:before="0" w:after="0"/>
        <w:jc w:val="left"/>
        <w:rPr>
          <w:rFonts w:cs="Arial"/>
          <w:szCs w:val="20"/>
          <w:lang w:val="en-GB" w:eastAsia="en-GB"/>
        </w:rPr>
      </w:pPr>
      <w:r w:rsidRPr="001B7620">
        <w:rPr>
          <w:rFonts w:cs="Arial"/>
          <w:szCs w:val="20"/>
          <w:lang w:val="en-GB" w:eastAsia="en-GB"/>
        </w:rPr>
        <w:t>The tutor allocates one pair of cities to each group.</w:t>
      </w:r>
      <w:r w:rsidR="001B7620" w:rsidRPr="001B7620">
        <w:rPr>
          <w:rFonts w:cs="Arial"/>
          <w:szCs w:val="20"/>
          <w:lang w:val="en-GB" w:eastAsia="en-GB"/>
        </w:rPr>
        <w:t xml:space="preserve">  The cities should be in a country different to the home country of the students.  </w:t>
      </w:r>
      <w:r w:rsidR="002F0245">
        <w:rPr>
          <w:rFonts w:cs="Arial"/>
          <w:szCs w:val="20"/>
          <w:lang w:val="en-GB" w:eastAsia="en-GB"/>
        </w:rPr>
        <w:t>A</w:t>
      </w:r>
      <w:r w:rsidR="002F0245" w:rsidRPr="001B7620">
        <w:rPr>
          <w:rFonts w:cs="Arial"/>
          <w:szCs w:val="20"/>
          <w:lang w:val="en-GB" w:eastAsia="en-GB"/>
        </w:rPr>
        <w:t xml:space="preserve"> group of students from, UK, Canada, Hong Kong and Ireland might be comparing </w:t>
      </w:r>
      <w:r w:rsidR="002F0245">
        <w:rPr>
          <w:rFonts w:cs="Arial"/>
          <w:szCs w:val="20"/>
          <w:lang w:val="en-GB" w:eastAsia="en-GB"/>
        </w:rPr>
        <w:t>São Paulo and</w:t>
      </w:r>
      <w:r w:rsidR="002F0245" w:rsidRPr="001B7620">
        <w:rPr>
          <w:rFonts w:cs="Arial"/>
          <w:szCs w:val="20"/>
          <w:lang w:val="en-GB" w:eastAsia="en-GB"/>
        </w:rPr>
        <w:t xml:space="preserve"> Rio de Janeiro.</w:t>
      </w:r>
    </w:p>
    <w:p w:rsidR="00036AB3" w:rsidRPr="00036AB3" w:rsidRDefault="00036AB3" w:rsidP="00036AB3">
      <w:pPr>
        <w:spacing w:before="0" w:after="0"/>
        <w:jc w:val="left"/>
        <w:rPr>
          <w:rFonts w:cs="Arial"/>
          <w:szCs w:val="20"/>
          <w:lang w:val="en-GB" w:eastAsia="en-GB"/>
        </w:rPr>
      </w:pPr>
      <w:r w:rsidRPr="00036AB3">
        <w:rPr>
          <w:rFonts w:cs="Arial"/>
          <w:szCs w:val="20"/>
          <w:lang w:val="en-GB" w:eastAsia="en-GB"/>
        </w:rPr>
        <w:t> </w:t>
      </w:r>
    </w:p>
    <w:p w:rsidR="00036AB3" w:rsidRPr="00036AB3" w:rsidRDefault="00036AB3" w:rsidP="00036AB3">
      <w:pPr>
        <w:spacing w:before="0" w:after="0"/>
        <w:jc w:val="left"/>
        <w:rPr>
          <w:rFonts w:cs="Arial"/>
          <w:szCs w:val="20"/>
          <w:lang w:val="en-GB" w:eastAsia="en-GB"/>
        </w:rPr>
      </w:pPr>
      <w:r w:rsidRPr="00036AB3">
        <w:rPr>
          <w:rFonts w:cs="Arial"/>
          <w:szCs w:val="20"/>
          <w:lang w:val="en-GB" w:eastAsia="en-GB"/>
        </w:rPr>
        <w:t>For each city, the group has to research and report on:</w:t>
      </w:r>
    </w:p>
    <w:p w:rsidR="00036AB3" w:rsidRPr="00036AB3" w:rsidRDefault="00036AB3" w:rsidP="00036AB3">
      <w:pPr>
        <w:numPr>
          <w:ilvl w:val="0"/>
          <w:numId w:val="35"/>
        </w:numPr>
        <w:spacing w:before="0" w:after="0"/>
        <w:jc w:val="left"/>
        <w:rPr>
          <w:rFonts w:cs="Arial"/>
          <w:szCs w:val="20"/>
          <w:lang w:val="en-GB" w:eastAsia="en-GB"/>
        </w:rPr>
      </w:pPr>
      <w:r w:rsidRPr="00036AB3">
        <w:rPr>
          <w:rFonts w:cs="Arial"/>
          <w:szCs w:val="20"/>
          <w:lang w:val="en-GB" w:eastAsia="en-GB"/>
        </w:rPr>
        <w:t>Office Rents and the Office Market.</w:t>
      </w:r>
    </w:p>
    <w:p w:rsidR="00036AB3" w:rsidRPr="00036AB3" w:rsidRDefault="00036AB3" w:rsidP="00036AB3">
      <w:pPr>
        <w:numPr>
          <w:ilvl w:val="0"/>
          <w:numId w:val="35"/>
        </w:numPr>
        <w:spacing w:before="0" w:after="0"/>
        <w:jc w:val="left"/>
        <w:rPr>
          <w:rFonts w:cs="Arial"/>
          <w:szCs w:val="20"/>
          <w:lang w:val="en-GB" w:eastAsia="en-GB"/>
        </w:rPr>
      </w:pPr>
      <w:r w:rsidRPr="00036AB3">
        <w:rPr>
          <w:rFonts w:cs="Arial"/>
          <w:szCs w:val="20"/>
          <w:lang w:val="en-GB" w:eastAsia="en-GB"/>
        </w:rPr>
        <w:t>Residential Rents and the Residential Property Market</w:t>
      </w:r>
    </w:p>
    <w:p w:rsidR="00036AB3" w:rsidRPr="00036AB3" w:rsidRDefault="00036AB3" w:rsidP="00036AB3">
      <w:pPr>
        <w:numPr>
          <w:ilvl w:val="0"/>
          <w:numId w:val="35"/>
        </w:numPr>
        <w:spacing w:before="0" w:after="0"/>
        <w:jc w:val="left"/>
        <w:rPr>
          <w:rFonts w:cs="Arial"/>
          <w:szCs w:val="20"/>
          <w:lang w:val="en-GB" w:eastAsia="en-GB"/>
        </w:rPr>
      </w:pPr>
      <w:r w:rsidRPr="00036AB3">
        <w:rPr>
          <w:rFonts w:cs="Arial"/>
          <w:szCs w:val="20"/>
          <w:lang w:val="en-GB" w:eastAsia="en-GB"/>
        </w:rPr>
        <w:t>Services and Transport.</w:t>
      </w:r>
    </w:p>
    <w:p w:rsidR="00036AB3" w:rsidRPr="00036AB3" w:rsidRDefault="00036AB3" w:rsidP="00036AB3">
      <w:pPr>
        <w:numPr>
          <w:ilvl w:val="0"/>
          <w:numId w:val="35"/>
        </w:numPr>
        <w:spacing w:before="0" w:after="0"/>
        <w:jc w:val="left"/>
        <w:rPr>
          <w:rFonts w:cs="Arial"/>
          <w:szCs w:val="20"/>
          <w:lang w:val="en-GB" w:eastAsia="en-GB"/>
        </w:rPr>
      </w:pPr>
      <w:r w:rsidRPr="00036AB3">
        <w:rPr>
          <w:rFonts w:cs="Arial"/>
          <w:szCs w:val="20"/>
          <w:lang w:val="en-GB" w:eastAsia="en-GB"/>
        </w:rPr>
        <w:t>Quality of Life</w:t>
      </w:r>
    </w:p>
    <w:p w:rsidR="00036AB3" w:rsidRPr="00036AB3" w:rsidRDefault="00036AB3" w:rsidP="00036AB3">
      <w:pPr>
        <w:spacing w:before="0" w:after="0"/>
        <w:jc w:val="left"/>
        <w:rPr>
          <w:rFonts w:cs="Arial"/>
          <w:szCs w:val="20"/>
          <w:lang w:val="en-GB" w:eastAsia="en-GB"/>
        </w:rPr>
      </w:pPr>
      <w:r w:rsidRPr="00E013D9">
        <w:rPr>
          <w:rFonts w:cs="Arial"/>
          <w:szCs w:val="20"/>
          <w:lang w:val="en-GB" w:eastAsia="en-GB"/>
        </w:rPr>
        <w:t>S</w:t>
      </w:r>
      <w:r w:rsidRPr="00036AB3">
        <w:rPr>
          <w:rFonts w:cs="Arial"/>
          <w:szCs w:val="20"/>
          <w:lang w:val="en-GB" w:eastAsia="en-GB"/>
        </w:rPr>
        <w:t xml:space="preserve">tudents </w:t>
      </w:r>
      <w:r w:rsidRPr="00E013D9">
        <w:rPr>
          <w:rFonts w:cs="Arial"/>
          <w:szCs w:val="20"/>
          <w:lang w:val="en-GB" w:eastAsia="en-GB"/>
        </w:rPr>
        <w:t xml:space="preserve">have to </w:t>
      </w:r>
      <w:r w:rsidRPr="00036AB3">
        <w:rPr>
          <w:rFonts w:cs="Arial"/>
          <w:szCs w:val="20"/>
          <w:lang w:val="en-GB" w:eastAsia="en-GB"/>
        </w:rPr>
        <w:t xml:space="preserve">decide </w:t>
      </w:r>
      <w:r w:rsidRPr="00E013D9">
        <w:rPr>
          <w:rFonts w:cs="Arial"/>
          <w:szCs w:val="20"/>
          <w:lang w:val="en-GB" w:eastAsia="en-GB"/>
        </w:rPr>
        <w:t xml:space="preserve">amongst themselves </w:t>
      </w:r>
      <w:r w:rsidRPr="00036AB3">
        <w:rPr>
          <w:rFonts w:cs="Arial"/>
          <w:szCs w:val="20"/>
          <w:lang w:val="en-GB" w:eastAsia="en-GB"/>
        </w:rPr>
        <w:t>who will undertake each task</w:t>
      </w:r>
      <w:r w:rsidRPr="00E013D9">
        <w:rPr>
          <w:rFonts w:cs="Arial"/>
          <w:szCs w:val="20"/>
          <w:lang w:val="en-GB" w:eastAsia="en-GB"/>
        </w:rPr>
        <w:t>.  They collaboratively produce a wiki</w:t>
      </w:r>
      <w:r w:rsidRPr="00036AB3">
        <w:rPr>
          <w:rFonts w:cs="Arial"/>
          <w:szCs w:val="20"/>
          <w:lang w:val="en-GB" w:eastAsia="en-GB"/>
        </w:rPr>
        <w:t xml:space="preserve"> </w:t>
      </w:r>
      <w:r w:rsidRPr="00E013D9">
        <w:rPr>
          <w:rFonts w:cs="Arial"/>
          <w:szCs w:val="20"/>
          <w:lang w:val="en-GB" w:eastAsia="en-GB"/>
        </w:rPr>
        <w:t>with a common introduction and conclusion.  Each task is a discrete page on the wiki.  The students mark is largely based on their individual wiki page.</w:t>
      </w:r>
    </w:p>
    <w:p w:rsidR="00E013D9" w:rsidRDefault="00036AB3" w:rsidP="00E013D9">
      <w:pPr>
        <w:spacing w:before="100" w:beforeAutospacing="1" w:after="100" w:afterAutospacing="1"/>
        <w:jc w:val="left"/>
        <w:rPr>
          <w:rFonts w:cs="Arial"/>
          <w:szCs w:val="20"/>
          <w:lang w:val="en-GB" w:eastAsia="en-GB"/>
        </w:rPr>
      </w:pPr>
      <w:r w:rsidRPr="00036AB3">
        <w:rPr>
          <w:rFonts w:cs="Arial"/>
          <w:szCs w:val="20"/>
          <w:lang w:val="en-GB" w:eastAsia="en-US"/>
        </w:rPr>
        <w:t>Addition</w:t>
      </w:r>
      <w:bookmarkStart w:id="0" w:name="_GoBack"/>
      <w:bookmarkEnd w:id="0"/>
      <w:r w:rsidRPr="00036AB3">
        <w:rPr>
          <w:rFonts w:cs="Arial"/>
          <w:szCs w:val="20"/>
          <w:lang w:val="en-GB" w:eastAsia="en-US"/>
        </w:rPr>
        <w:t>ally, individually, each student has to</w:t>
      </w:r>
      <w:r w:rsidR="00E013D9" w:rsidRPr="00E013D9">
        <w:rPr>
          <w:rFonts w:cs="Arial"/>
          <w:szCs w:val="20"/>
          <w:lang w:val="en-GB" w:eastAsia="en-US"/>
        </w:rPr>
        <w:t xml:space="preserve"> r</w:t>
      </w:r>
      <w:r w:rsidRPr="00036AB3">
        <w:rPr>
          <w:rFonts w:cs="Arial"/>
          <w:szCs w:val="20"/>
          <w:lang w:val="en-GB" w:eastAsia="en-US"/>
        </w:rPr>
        <w:t xml:space="preserve">eflect on </w:t>
      </w:r>
      <w:r w:rsidRPr="00036AB3">
        <w:rPr>
          <w:rFonts w:cs="Arial"/>
          <w:szCs w:val="20"/>
          <w:lang w:val="en-GB" w:eastAsia="en-GB"/>
        </w:rPr>
        <w:t>the experience</w:t>
      </w:r>
      <w:r w:rsidR="00E013D9" w:rsidRPr="00E013D9">
        <w:rPr>
          <w:rFonts w:cs="Arial"/>
          <w:szCs w:val="20"/>
          <w:lang w:val="en-GB" w:eastAsia="en-GB"/>
        </w:rPr>
        <w:t>.</w:t>
      </w:r>
    </w:p>
    <w:p w:rsidR="002E783E" w:rsidRDefault="00AB375B" w:rsidP="003A4B43">
      <w:pPr>
        <w:spacing w:before="100" w:beforeAutospacing="1" w:after="100" w:afterAutospacing="1"/>
        <w:jc w:val="center"/>
        <w:rPr>
          <w:rFonts w:cs="Arial"/>
          <w:szCs w:val="20"/>
          <w:lang w:val="en-GB" w:eastAsia="en-GB"/>
        </w:rPr>
      </w:pPr>
      <w:r>
        <w:rPr>
          <w:rFonts w:cs="Arial"/>
          <w:szCs w:val="20"/>
          <w:lang w:val="en-GB" w:eastAsia="en-GB"/>
        </w:rPr>
        <w:t xml:space="preserve">Fig1.  </w:t>
      </w:r>
      <w:r w:rsidR="002E783E">
        <w:rPr>
          <w:rFonts w:cs="Arial"/>
          <w:szCs w:val="20"/>
          <w:lang w:val="en-GB" w:eastAsia="en-GB"/>
        </w:rPr>
        <w:t>Group Wiki, Opening Page</w:t>
      </w:r>
    </w:p>
    <w:p w:rsidR="002E783E" w:rsidRDefault="00280F57" w:rsidP="002E783E">
      <w:pPr>
        <w:spacing w:before="100" w:beforeAutospacing="1" w:after="100" w:afterAutospacing="1"/>
        <w:jc w:val="center"/>
        <w:rPr>
          <w:noProof/>
          <w:lang w:val="en-GB" w:eastAsia="en-GB"/>
        </w:rPr>
      </w:pPr>
      <w:r>
        <w:rPr>
          <w:noProof/>
          <w:lang w:val="en-GB" w:eastAsia="en-GB"/>
        </w:rPr>
        <w:drawing>
          <wp:inline distT="0" distB="0" distL="0" distR="0">
            <wp:extent cx="4819650" cy="3067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19650" cy="3067050"/>
                    </a:xfrm>
                    <a:prstGeom prst="rect">
                      <a:avLst/>
                    </a:prstGeom>
                    <a:noFill/>
                    <a:ln>
                      <a:noFill/>
                    </a:ln>
                  </pic:spPr>
                </pic:pic>
              </a:graphicData>
            </a:graphic>
          </wp:inline>
        </w:drawing>
      </w:r>
    </w:p>
    <w:p w:rsidR="002E783E" w:rsidRDefault="002E783E" w:rsidP="003A4B43">
      <w:pPr>
        <w:spacing w:before="100" w:beforeAutospacing="1" w:after="100" w:afterAutospacing="1"/>
        <w:jc w:val="center"/>
        <w:rPr>
          <w:noProof/>
          <w:lang w:val="en-GB" w:eastAsia="en-GB"/>
        </w:rPr>
      </w:pPr>
      <w:r>
        <w:rPr>
          <w:noProof/>
          <w:lang w:val="en-GB" w:eastAsia="en-GB"/>
        </w:rPr>
        <w:lastRenderedPageBreak/>
        <w:t>Screenshot from a group wiki.</w:t>
      </w:r>
    </w:p>
    <w:p w:rsidR="003A4B43" w:rsidRDefault="003A4B43" w:rsidP="003A4B43">
      <w:pPr>
        <w:spacing w:before="100" w:beforeAutospacing="1" w:after="100" w:afterAutospacing="1"/>
        <w:jc w:val="center"/>
        <w:rPr>
          <w:noProof/>
          <w:lang w:val="en-GB" w:eastAsia="en-GB"/>
        </w:rPr>
      </w:pPr>
    </w:p>
    <w:p w:rsidR="008F656F" w:rsidRPr="008F656F" w:rsidRDefault="00AB375B" w:rsidP="003A4B43">
      <w:pPr>
        <w:spacing w:before="100" w:beforeAutospacing="1" w:after="100" w:afterAutospacing="1"/>
        <w:jc w:val="center"/>
        <w:rPr>
          <w:noProof/>
          <w:lang w:val="en-GB" w:eastAsia="en-GB"/>
        </w:rPr>
      </w:pPr>
      <w:r>
        <w:rPr>
          <w:noProof/>
          <w:lang w:val="en-GB" w:eastAsia="en-GB"/>
        </w:rPr>
        <w:t xml:space="preserve">Fig 2.  </w:t>
      </w:r>
      <w:r w:rsidR="008F656F">
        <w:rPr>
          <w:noProof/>
          <w:lang w:val="en-GB" w:eastAsia="en-GB"/>
        </w:rPr>
        <w:t>Sample of an extract from individual wiki page</w:t>
      </w:r>
    </w:p>
    <w:p w:rsidR="001E3481" w:rsidRDefault="00280F57" w:rsidP="002E783E">
      <w:pPr>
        <w:spacing w:before="100" w:beforeAutospacing="1" w:after="100" w:afterAutospacing="1"/>
        <w:jc w:val="left"/>
        <w:rPr>
          <w:noProof/>
          <w:lang w:val="en-GB" w:eastAsia="en-GB"/>
        </w:rPr>
      </w:pPr>
      <w:r>
        <w:rPr>
          <w:noProof/>
          <w:lang w:val="en-GB" w:eastAsia="en-GB"/>
        </w:rPr>
        <mc:AlternateContent>
          <mc:Choice Requires="wps">
            <w:drawing>
              <wp:anchor distT="0" distB="0" distL="114300" distR="114300" simplePos="0" relativeHeight="251657728" behindDoc="0" locked="0" layoutInCell="1" allowOverlap="1">
                <wp:simplePos x="0" y="0"/>
                <wp:positionH relativeFrom="column">
                  <wp:align>center</wp:align>
                </wp:positionH>
                <wp:positionV relativeFrom="paragraph">
                  <wp:posOffset>38100</wp:posOffset>
                </wp:positionV>
                <wp:extent cx="5897880" cy="6055360"/>
                <wp:effectExtent l="9525" t="9525" r="7620"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6055360"/>
                        </a:xfrm>
                        <a:prstGeom prst="rect">
                          <a:avLst/>
                        </a:prstGeom>
                        <a:solidFill>
                          <a:srgbClr val="FFFFFF"/>
                        </a:solidFill>
                        <a:ln w="9525">
                          <a:solidFill>
                            <a:srgbClr val="000000"/>
                          </a:solidFill>
                          <a:miter lim="800000"/>
                          <a:headEnd/>
                          <a:tailEnd/>
                        </a:ln>
                      </wps:spPr>
                      <wps:txbx>
                        <w:txbxContent>
                          <w:p w:rsidR="008F656F" w:rsidRPr="001E3481" w:rsidRDefault="008F656F" w:rsidP="008F656F">
                            <w:pPr>
                              <w:spacing w:before="0" w:after="0"/>
                              <w:jc w:val="left"/>
                              <w:outlineLvl w:val="3"/>
                              <w:rPr>
                                <w:rFonts w:ascii="Helvetica" w:hAnsi="Helvetica"/>
                                <w:b/>
                                <w:bCs/>
                                <w:color w:val="444444"/>
                                <w:sz w:val="23"/>
                                <w:szCs w:val="23"/>
                                <w:lang w:val="en-GB" w:eastAsia="en-GB"/>
                              </w:rPr>
                            </w:pPr>
                            <w:bookmarkStart w:id="1" w:name="pageContent"/>
                            <w:r w:rsidRPr="001E3481">
                              <w:rPr>
                                <w:rFonts w:ascii="inherit" w:hAnsi="inherit"/>
                                <w:b/>
                                <w:bCs/>
                                <w:color w:val="004557"/>
                                <w:sz w:val="23"/>
                                <w:szCs w:val="23"/>
                                <w:bdr w:val="none" w:sz="0" w:space="0" w:color="auto" w:frame="1"/>
                                <w:lang w:val="en-GB" w:eastAsia="en-GB"/>
                              </w:rPr>
                              <w:t>Office Rents and the Office Market</w:t>
                            </w:r>
                            <w:bookmarkEnd w:id="1"/>
                          </w:p>
                          <w:p w:rsidR="008F656F" w:rsidRPr="001E3481" w:rsidRDefault="008F656F" w:rsidP="008F656F">
                            <w:pPr>
                              <w:spacing w:before="45" w:after="0"/>
                              <w:jc w:val="left"/>
                              <w:rPr>
                                <w:rFonts w:ascii="inherit" w:hAnsi="inherit"/>
                                <w:color w:val="444444"/>
                                <w:szCs w:val="20"/>
                                <w:lang w:val="en-GB" w:eastAsia="en-GB"/>
                              </w:rPr>
                            </w:pPr>
                            <w:r w:rsidRPr="001E3481">
                              <w:rPr>
                                <w:rFonts w:cs="Arial"/>
                                <w:b/>
                                <w:bCs/>
                                <w:color w:val="444444"/>
                                <w:szCs w:val="20"/>
                                <w:bdr w:val="none" w:sz="0" w:space="0" w:color="auto" w:frame="1"/>
                                <w:lang w:val="en-GB" w:eastAsia="en-GB"/>
                              </w:rPr>
                              <w:t>Section 1: Office Rents and the Office Market</w:t>
                            </w:r>
                          </w:p>
                          <w:p w:rsidR="008F656F" w:rsidRPr="001E3481" w:rsidRDefault="008F656F" w:rsidP="008F656F">
                            <w:pPr>
                              <w:spacing w:before="0" w:after="0"/>
                              <w:jc w:val="left"/>
                              <w:rPr>
                                <w:rFonts w:ascii="inherit" w:hAnsi="inherit"/>
                                <w:color w:val="444444"/>
                                <w:szCs w:val="20"/>
                                <w:lang w:val="en-GB" w:eastAsia="en-GB"/>
                              </w:rPr>
                            </w:pPr>
                            <w:r w:rsidRPr="001E3481">
                              <w:rPr>
                                <w:rFonts w:cs="Arial"/>
                                <w:color w:val="444444"/>
                                <w:szCs w:val="20"/>
                                <w:bdr w:val="none" w:sz="0" w:space="0" w:color="auto" w:frame="1"/>
                                <w:lang w:val="en-GB" w:eastAsia="en-GB"/>
                              </w:rPr>
                              <w:t xml:space="preserve">Author: </w:t>
                            </w:r>
                          </w:p>
                          <w:p w:rsidR="008F656F" w:rsidRPr="001E3481" w:rsidRDefault="008F656F" w:rsidP="008F656F">
                            <w:pPr>
                              <w:spacing w:before="0" w:after="0"/>
                              <w:ind w:left="60"/>
                              <w:jc w:val="left"/>
                              <w:rPr>
                                <w:rFonts w:ascii="inherit" w:hAnsi="inherit"/>
                                <w:color w:val="444444"/>
                                <w:szCs w:val="20"/>
                                <w:lang w:val="en-GB" w:eastAsia="en-GB"/>
                              </w:rPr>
                            </w:pPr>
                          </w:p>
                          <w:p w:rsidR="008F656F" w:rsidRPr="001E3481" w:rsidRDefault="008F656F" w:rsidP="008F656F">
                            <w:pPr>
                              <w:spacing w:before="0" w:after="0"/>
                              <w:jc w:val="left"/>
                              <w:rPr>
                                <w:rFonts w:ascii="inherit" w:hAnsi="inherit"/>
                                <w:color w:val="444444"/>
                                <w:szCs w:val="20"/>
                                <w:lang w:val="en-GB" w:eastAsia="en-GB"/>
                              </w:rPr>
                            </w:pPr>
                            <w:r w:rsidRPr="001E3481">
                              <w:rPr>
                                <w:rFonts w:cs="Arial"/>
                                <w:color w:val="444444"/>
                                <w:szCs w:val="20"/>
                                <w:bdr w:val="none" w:sz="0" w:space="0" w:color="auto" w:frame="1"/>
                                <w:lang w:val="en-GB" w:eastAsia="en-GB"/>
                              </w:rPr>
                              <w:t>The selection of Class A offices within the most desirable business locations would be a major factor in relocation which have costly financial implications. A selection of three office properties per city have been selected to provide focus regarding rents, availability and classification specifications. Other key factors are considered.</w:t>
                            </w:r>
                          </w:p>
                          <w:p w:rsidR="008F656F" w:rsidRPr="001E3481" w:rsidRDefault="008F656F" w:rsidP="008F656F">
                            <w:pPr>
                              <w:spacing w:before="0" w:after="0"/>
                              <w:ind w:left="708"/>
                              <w:jc w:val="left"/>
                              <w:rPr>
                                <w:rFonts w:ascii="inherit" w:hAnsi="inherit"/>
                                <w:color w:val="444444"/>
                                <w:szCs w:val="20"/>
                                <w:lang w:val="en-GB" w:eastAsia="en-GB"/>
                              </w:rPr>
                            </w:pPr>
                            <w:r w:rsidRPr="001E3481">
                              <w:rPr>
                                <w:rFonts w:cs="Arial"/>
                                <w:b/>
                                <w:bCs/>
                                <w:color w:val="444444"/>
                                <w:szCs w:val="20"/>
                                <w:bdr w:val="none" w:sz="0" w:space="0" w:color="auto" w:frame="1"/>
                                <w:lang w:val="en-GB" w:eastAsia="en-GB"/>
                              </w:rPr>
                              <w:t>Comparison of Office Rents    </w:t>
                            </w:r>
                          </w:p>
                          <w:p w:rsidR="008F656F" w:rsidRPr="001E3481" w:rsidRDefault="008F656F" w:rsidP="008F656F">
                            <w:pPr>
                              <w:spacing w:before="0" w:after="0"/>
                              <w:jc w:val="left"/>
                              <w:rPr>
                                <w:rFonts w:ascii="inherit" w:hAnsi="inherit"/>
                                <w:color w:val="444444"/>
                                <w:szCs w:val="20"/>
                                <w:lang w:val="en-GB" w:eastAsia="en-GB"/>
                              </w:rPr>
                            </w:pPr>
                            <w:r w:rsidRPr="001E3481">
                              <w:rPr>
                                <w:rFonts w:cs="Arial"/>
                                <w:color w:val="444444"/>
                                <w:szCs w:val="20"/>
                                <w:bdr w:val="none" w:sz="0" w:space="0" w:color="auto" w:frame="1"/>
                                <w:lang w:val="en-GB" w:eastAsia="en-GB"/>
                              </w:rPr>
                              <w:t>A comparison of the office rental rates for the properties selected shown below reveal that Moscow’s rental is almost double than that of Saint Petersburg. Furthermore, operating costs in Saint Petersburg are included.</w:t>
                            </w:r>
                          </w:p>
                          <w:p w:rsidR="008F656F" w:rsidRPr="001E3481" w:rsidRDefault="008F656F" w:rsidP="008F656F">
                            <w:pPr>
                              <w:spacing w:before="0" w:after="0"/>
                              <w:jc w:val="left"/>
                              <w:rPr>
                                <w:rFonts w:ascii="inherit" w:hAnsi="inherit"/>
                                <w:color w:val="444444"/>
                                <w:szCs w:val="20"/>
                                <w:lang w:val="en-GB" w:eastAsia="en-GB"/>
                              </w:rPr>
                            </w:pPr>
                            <w:r w:rsidRPr="001E3481">
                              <w:rPr>
                                <w:rFonts w:cs="Arial"/>
                                <w:b/>
                                <w:bCs/>
                                <w:color w:val="444444"/>
                                <w:szCs w:val="20"/>
                                <w:bdr w:val="none" w:sz="0" w:space="0" w:color="auto" w:frame="1"/>
                                <w:lang w:val="en-GB" w:eastAsia="en-GB"/>
                              </w:rPr>
                              <w:t>Table 1.1</w:t>
                            </w:r>
                          </w:p>
                          <w:p w:rsidR="001B7620" w:rsidRDefault="00280F57" w:rsidP="008F656F">
                            <w:pPr>
                              <w:spacing w:before="0" w:after="0"/>
                              <w:jc w:val="left"/>
                              <w:rPr>
                                <w:rFonts w:ascii="inherit" w:hAnsi="inherit"/>
                                <w:noProof/>
                                <w:color w:val="444444"/>
                                <w:szCs w:val="20"/>
                                <w:lang w:val="en-GB" w:eastAsia="en-GB"/>
                              </w:rPr>
                            </w:pPr>
                            <w:r>
                              <w:rPr>
                                <w:rFonts w:ascii="inherit" w:hAnsi="inherit"/>
                                <w:noProof/>
                                <w:color w:val="444444"/>
                                <w:szCs w:val="20"/>
                                <w:lang w:val="en-GB" w:eastAsia="en-GB"/>
                              </w:rPr>
                              <w:drawing>
                                <wp:inline distT="0" distB="0" distL="0" distR="0">
                                  <wp:extent cx="2333625" cy="1685925"/>
                                  <wp:effectExtent l="0" t="0" r="9525" b="9525"/>
                                  <wp:docPr id="3" name="Picture 4" descr="Description: Class A office rental r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lass A office rental ra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3625" cy="1685925"/>
                                          </a:xfrm>
                                          <a:prstGeom prst="rect">
                                            <a:avLst/>
                                          </a:prstGeom>
                                          <a:noFill/>
                                          <a:ln>
                                            <a:noFill/>
                                          </a:ln>
                                        </pic:spPr>
                                      </pic:pic>
                                    </a:graphicData>
                                  </a:graphic>
                                </wp:inline>
                              </w:drawing>
                            </w:r>
                            <w:r w:rsidR="008F656F">
                              <w:rPr>
                                <w:rFonts w:ascii="inherit" w:hAnsi="inherit"/>
                                <w:noProof/>
                                <w:color w:val="444444"/>
                                <w:szCs w:val="20"/>
                                <w:lang w:val="en-GB" w:eastAsia="en-GB"/>
                              </w:rPr>
                              <w:t xml:space="preserve"> </w:t>
                            </w:r>
                          </w:p>
                          <w:p w:rsidR="001B7620" w:rsidRDefault="001B7620" w:rsidP="008F656F">
                            <w:pPr>
                              <w:spacing w:before="0" w:after="0"/>
                              <w:jc w:val="left"/>
                              <w:rPr>
                                <w:rFonts w:ascii="inherit" w:hAnsi="inherit"/>
                                <w:noProof/>
                                <w:color w:val="444444"/>
                                <w:szCs w:val="20"/>
                                <w:lang w:val="en-GB" w:eastAsia="en-GB"/>
                              </w:rPr>
                            </w:pPr>
                          </w:p>
                          <w:p w:rsidR="008F656F" w:rsidRPr="001E3481" w:rsidRDefault="008F656F" w:rsidP="008F656F">
                            <w:pPr>
                              <w:spacing w:before="0" w:after="0"/>
                              <w:jc w:val="left"/>
                              <w:rPr>
                                <w:rFonts w:ascii="inherit" w:hAnsi="inherit"/>
                                <w:color w:val="444444"/>
                                <w:szCs w:val="20"/>
                                <w:lang w:val="en-GB" w:eastAsia="en-GB"/>
                              </w:rPr>
                            </w:pPr>
                            <w:r>
                              <w:rPr>
                                <w:rFonts w:ascii="inherit" w:hAnsi="inherit"/>
                                <w:noProof/>
                                <w:color w:val="444444"/>
                                <w:szCs w:val="20"/>
                                <w:lang w:val="en-GB" w:eastAsia="en-GB"/>
                              </w:rPr>
                              <w:t xml:space="preserve">  </w:t>
                            </w:r>
                            <w:r w:rsidR="00280F57">
                              <w:rPr>
                                <w:rFonts w:ascii="inherit" w:hAnsi="inherit"/>
                                <w:noProof/>
                                <w:color w:val="444444"/>
                                <w:szCs w:val="20"/>
                                <w:lang w:val="en-GB" w:eastAsia="en-GB"/>
                              </w:rPr>
                              <w:drawing>
                                <wp:inline distT="0" distB="0" distL="0" distR="0">
                                  <wp:extent cx="2409825" cy="1781175"/>
                                  <wp:effectExtent l="0" t="0" r="9525" b="9525"/>
                                  <wp:docPr id="5" name="Picture 5" descr="Description: Moscow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Moscow m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9825" cy="1781175"/>
                                          </a:xfrm>
                                          <a:prstGeom prst="rect">
                                            <a:avLst/>
                                          </a:prstGeom>
                                          <a:noFill/>
                                          <a:ln>
                                            <a:noFill/>
                                          </a:ln>
                                        </pic:spPr>
                                      </pic:pic>
                                    </a:graphicData>
                                  </a:graphic>
                                </wp:inline>
                              </w:drawing>
                            </w:r>
                            <w:r>
                              <w:rPr>
                                <w:rFonts w:ascii="inherit" w:hAnsi="inherit"/>
                                <w:noProof/>
                                <w:color w:val="444444"/>
                                <w:szCs w:val="20"/>
                                <w:lang w:val="en-GB" w:eastAsia="en-GB"/>
                              </w:rPr>
                              <w:t xml:space="preserve"> </w:t>
                            </w:r>
                            <w:r w:rsidR="00280F57">
                              <w:rPr>
                                <w:rFonts w:ascii="inherit" w:hAnsi="inherit"/>
                                <w:noProof/>
                                <w:color w:val="444444"/>
                                <w:szCs w:val="20"/>
                                <w:lang w:val="en-GB" w:eastAsia="en-GB"/>
                              </w:rPr>
                              <w:drawing>
                                <wp:inline distT="0" distB="0" distL="0" distR="0">
                                  <wp:extent cx="2733675" cy="1752600"/>
                                  <wp:effectExtent l="0" t="0" r="9525" b="0"/>
                                  <wp:docPr id="7" name="Picture 6" descr="Description: St Peter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St Peter M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33675" cy="1752600"/>
                                          </a:xfrm>
                                          <a:prstGeom prst="rect">
                                            <a:avLst/>
                                          </a:prstGeom>
                                          <a:noFill/>
                                          <a:ln>
                                            <a:noFill/>
                                          </a:ln>
                                        </pic:spPr>
                                      </pic:pic>
                                    </a:graphicData>
                                  </a:graphic>
                                </wp:inline>
                              </w:drawing>
                            </w:r>
                          </w:p>
                          <w:p w:rsidR="008F656F" w:rsidRPr="001E3481" w:rsidRDefault="008F656F" w:rsidP="008F656F">
                            <w:pPr>
                              <w:spacing w:before="0" w:after="0"/>
                              <w:ind w:left="60"/>
                              <w:jc w:val="left"/>
                              <w:rPr>
                                <w:rFonts w:ascii="inherit" w:hAnsi="inherit"/>
                                <w:color w:val="444444"/>
                                <w:szCs w:val="20"/>
                                <w:lang w:val="en-GB" w:eastAsia="en-GB"/>
                              </w:rPr>
                            </w:pPr>
                          </w:p>
                          <w:p w:rsidR="008F656F" w:rsidRPr="001E3481" w:rsidRDefault="008F656F" w:rsidP="008F656F">
                            <w:pPr>
                              <w:spacing w:before="0" w:after="0"/>
                              <w:jc w:val="left"/>
                              <w:rPr>
                                <w:rFonts w:ascii="inherit" w:hAnsi="inherit"/>
                                <w:color w:val="444444"/>
                                <w:szCs w:val="20"/>
                                <w:lang w:val="en-GB" w:eastAsia="en-GB"/>
                              </w:rPr>
                            </w:pPr>
                            <w:r w:rsidRPr="001E3481">
                              <w:rPr>
                                <w:rFonts w:cs="Arial"/>
                                <w:b/>
                                <w:bCs/>
                                <w:color w:val="444444"/>
                                <w:szCs w:val="20"/>
                                <w:bdr w:val="none" w:sz="0" w:space="0" w:color="auto" w:frame="1"/>
                                <w:lang w:val="en-GB" w:eastAsia="en-GB"/>
                              </w:rPr>
                              <w:t>Illustration 1.1:</w:t>
                            </w:r>
                          </w:p>
                          <w:p w:rsidR="008F656F" w:rsidRPr="001E3481" w:rsidRDefault="008F656F" w:rsidP="008F656F">
                            <w:pPr>
                              <w:spacing w:before="0" w:after="240"/>
                              <w:jc w:val="left"/>
                              <w:rPr>
                                <w:rFonts w:ascii="inherit" w:hAnsi="inherit"/>
                                <w:color w:val="444444"/>
                                <w:szCs w:val="20"/>
                                <w:lang w:val="en-GB" w:eastAsia="en-GB"/>
                              </w:rPr>
                            </w:pPr>
                            <w:r>
                              <w:rPr>
                                <w:rFonts w:ascii="inherit" w:hAnsi="inherit"/>
                                <w:noProof/>
                                <w:color w:val="444444"/>
                                <w:szCs w:val="20"/>
                                <w:lang w:val="en-GB" w:eastAsia="en-GB"/>
                              </w:rPr>
                              <w:t xml:space="preserve">               </w:t>
                            </w:r>
                          </w:p>
                          <w:p w:rsidR="008F656F" w:rsidRPr="001E3481" w:rsidRDefault="008F656F" w:rsidP="008F656F">
                            <w:pPr>
                              <w:spacing w:before="0" w:after="0"/>
                              <w:ind w:left="60"/>
                              <w:jc w:val="left"/>
                              <w:rPr>
                                <w:rFonts w:ascii="inherit" w:hAnsi="inherit"/>
                                <w:color w:val="444444"/>
                                <w:szCs w:val="20"/>
                                <w:lang w:val="en-GB" w:eastAsia="en-GB"/>
                              </w:rPr>
                            </w:pPr>
                          </w:p>
                          <w:p w:rsidR="008F656F" w:rsidRDefault="008F65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3pt;width:464.4pt;height:476.8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">
                <v:textbox>
                  <w:txbxContent>
                    <w:p w:rsidR="008F656F" w:rsidRPr="001E3481" w:rsidRDefault="008F656F" w:rsidP="008F656F">
                      <w:pPr>
                        <w:spacing w:before="0" w:after="0"/>
                        <w:jc w:val="left"/>
                        <w:outlineLvl w:val="3"/>
                        <w:rPr>
                          <w:rFonts w:ascii="Helvetica" w:hAnsi="Helvetica"/>
                          <w:b/>
                          <w:bCs/>
                          <w:color w:val="444444"/>
                          <w:sz w:val="23"/>
                          <w:szCs w:val="23"/>
                          <w:lang w:val="en-GB" w:eastAsia="en-GB"/>
                        </w:rPr>
                      </w:pPr>
                      <w:bookmarkStart w:id="2" w:name="pageContent"/>
                      <w:r w:rsidRPr="001E3481">
                        <w:rPr>
                          <w:rFonts w:ascii="inherit" w:hAnsi="inherit"/>
                          <w:b/>
                          <w:bCs/>
                          <w:color w:val="004557"/>
                          <w:sz w:val="23"/>
                          <w:szCs w:val="23"/>
                          <w:bdr w:val="none" w:sz="0" w:space="0" w:color="auto" w:frame="1"/>
                          <w:lang w:val="en-GB" w:eastAsia="en-GB"/>
                        </w:rPr>
                        <w:t>Office Rents and the Office Market</w:t>
                      </w:r>
                      <w:bookmarkEnd w:id="2"/>
                    </w:p>
                    <w:p w:rsidR="008F656F" w:rsidRPr="001E3481" w:rsidRDefault="008F656F" w:rsidP="008F656F">
                      <w:pPr>
                        <w:spacing w:before="45" w:after="0"/>
                        <w:jc w:val="left"/>
                        <w:rPr>
                          <w:rFonts w:ascii="inherit" w:hAnsi="inherit"/>
                          <w:color w:val="444444"/>
                          <w:szCs w:val="20"/>
                          <w:lang w:val="en-GB" w:eastAsia="en-GB"/>
                        </w:rPr>
                      </w:pPr>
                      <w:r w:rsidRPr="001E3481">
                        <w:rPr>
                          <w:rFonts w:cs="Arial"/>
                          <w:b/>
                          <w:bCs/>
                          <w:color w:val="444444"/>
                          <w:szCs w:val="20"/>
                          <w:bdr w:val="none" w:sz="0" w:space="0" w:color="auto" w:frame="1"/>
                          <w:lang w:val="en-GB" w:eastAsia="en-GB"/>
                        </w:rPr>
                        <w:t>Section 1: Office Rents and the Office Market</w:t>
                      </w:r>
                    </w:p>
                    <w:p w:rsidR="008F656F" w:rsidRPr="001E3481" w:rsidRDefault="008F656F" w:rsidP="008F656F">
                      <w:pPr>
                        <w:spacing w:before="0" w:after="0"/>
                        <w:jc w:val="left"/>
                        <w:rPr>
                          <w:rFonts w:ascii="inherit" w:hAnsi="inherit"/>
                          <w:color w:val="444444"/>
                          <w:szCs w:val="20"/>
                          <w:lang w:val="en-GB" w:eastAsia="en-GB"/>
                        </w:rPr>
                      </w:pPr>
                      <w:r w:rsidRPr="001E3481">
                        <w:rPr>
                          <w:rFonts w:cs="Arial"/>
                          <w:color w:val="444444"/>
                          <w:szCs w:val="20"/>
                          <w:bdr w:val="none" w:sz="0" w:space="0" w:color="auto" w:frame="1"/>
                          <w:lang w:val="en-GB" w:eastAsia="en-GB"/>
                        </w:rPr>
                        <w:t xml:space="preserve">Author: </w:t>
                      </w:r>
                    </w:p>
                    <w:p w:rsidR="008F656F" w:rsidRPr="001E3481" w:rsidRDefault="008F656F" w:rsidP="008F656F">
                      <w:pPr>
                        <w:spacing w:before="0" w:after="0"/>
                        <w:ind w:left="60"/>
                        <w:jc w:val="left"/>
                        <w:rPr>
                          <w:rFonts w:ascii="inherit" w:hAnsi="inherit"/>
                          <w:color w:val="444444"/>
                          <w:szCs w:val="20"/>
                          <w:lang w:val="en-GB" w:eastAsia="en-GB"/>
                        </w:rPr>
                      </w:pPr>
                    </w:p>
                    <w:p w:rsidR="008F656F" w:rsidRPr="001E3481" w:rsidRDefault="008F656F" w:rsidP="008F656F">
                      <w:pPr>
                        <w:spacing w:before="0" w:after="0"/>
                        <w:jc w:val="left"/>
                        <w:rPr>
                          <w:rFonts w:ascii="inherit" w:hAnsi="inherit"/>
                          <w:color w:val="444444"/>
                          <w:szCs w:val="20"/>
                          <w:lang w:val="en-GB" w:eastAsia="en-GB"/>
                        </w:rPr>
                      </w:pPr>
                      <w:r w:rsidRPr="001E3481">
                        <w:rPr>
                          <w:rFonts w:cs="Arial"/>
                          <w:color w:val="444444"/>
                          <w:szCs w:val="20"/>
                          <w:bdr w:val="none" w:sz="0" w:space="0" w:color="auto" w:frame="1"/>
                          <w:lang w:val="en-GB" w:eastAsia="en-GB"/>
                        </w:rPr>
                        <w:t>The selection of Class A offices within the most desirable business locations would be a major factor in relocation which have costly financial implications. A selection of three office properties per city have been selected to provide focus regarding rents, availability and classification specifications. Other key factors are considered.</w:t>
                      </w:r>
                    </w:p>
                    <w:p w:rsidR="008F656F" w:rsidRPr="001E3481" w:rsidRDefault="008F656F" w:rsidP="008F656F">
                      <w:pPr>
                        <w:spacing w:before="0" w:after="0"/>
                        <w:ind w:left="708"/>
                        <w:jc w:val="left"/>
                        <w:rPr>
                          <w:rFonts w:ascii="inherit" w:hAnsi="inherit"/>
                          <w:color w:val="444444"/>
                          <w:szCs w:val="20"/>
                          <w:lang w:val="en-GB" w:eastAsia="en-GB"/>
                        </w:rPr>
                      </w:pPr>
                      <w:r w:rsidRPr="001E3481">
                        <w:rPr>
                          <w:rFonts w:cs="Arial"/>
                          <w:b/>
                          <w:bCs/>
                          <w:color w:val="444444"/>
                          <w:szCs w:val="20"/>
                          <w:bdr w:val="none" w:sz="0" w:space="0" w:color="auto" w:frame="1"/>
                          <w:lang w:val="en-GB" w:eastAsia="en-GB"/>
                        </w:rPr>
                        <w:t>Comparison of Office Rents    </w:t>
                      </w:r>
                    </w:p>
                    <w:p w:rsidR="008F656F" w:rsidRPr="001E3481" w:rsidRDefault="008F656F" w:rsidP="008F656F">
                      <w:pPr>
                        <w:spacing w:before="0" w:after="0"/>
                        <w:jc w:val="left"/>
                        <w:rPr>
                          <w:rFonts w:ascii="inherit" w:hAnsi="inherit"/>
                          <w:color w:val="444444"/>
                          <w:szCs w:val="20"/>
                          <w:lang w:val="en-GB" w:eastAsia="en-GB"/>
                        </w:rPr>
                      </w:pPr>
                      <w:r w:rsidRPr="001E3481">
                        <w:rPr>
                          <w:rFonts w:cs="Arial"/>
                          <w:color w:val="444444"/>
                          <w:szCs w:val="20"/>
                          <w:bdr w:val="none" w:sz="0" w:space="0" w:color="auto" w:frame="1"/>
                          <w:lang w:val="en-GB" w:eastAsia="en-GB"/>
                        </w:rPr>
                        <w:t>A comparison of the office rental rates for the properties selected shown below reveal that Moscow’s rental is almost double than that of Saint Petersburg. Furthermore, operating costs in Saint Petersburg are included.</w:t>
                      </w:r>
                    </w:p>
                    <w:p w:rsidR="008F656F" w:rsidRPr="001E3481" w:rsidRDefault="008F656F" w:rsidP="008F656F">
                      <w:pPr>
                        <w:spacing w:before="0" w:after="0"/>
                        <w:jc w:val="left"/>
                        <w:rPr>
                          <w:rFonts w:ascii="inherit" w:hAnsi="inherit"/>
                          <w:color w:val="444444"/>
                          <w:szCs w:val="20"/>
                          <w:lang w:val="en-GB" w:eastAsia="en-GB"/>
                        </w:rPr>
                      </w:pPr>
                      <w:r w:rsidRPr="001E3481">
                        <w:rPr>
                          <w:rFonts w:cs="Arial"/>
                          <w:b/>
                          <w:bCs/>
                          <w:color w:val="444444"/>
                          <w:szCs w:val="20"/>
                          <w:bdr w:val="none" w:sz="0" w:space="0" w:color="auto" w:frame="1"/>
                          <w:lang w:val="en-GB" w:eastAsia="en-GB"/>
                        </w:rPr>
                        <w:t>Table 1.1</w:t>
                      </w:r>
                    </w:p>
                    <w:p w:rsidR="001B7620" w:rsidRDefault="00280F57" w:rsidP="008F656F">
                      <w:pPr>
                        <w:spacing w:before="0" w:after="0"/>
                        <w:jc w:val="left"/>
                        <w:rPr>
                          <w:rFonts w:ascii="inherit" w:hAnsi="inherit"/>
                          <w:noProof/>
                          <w:color w:val="444444"/>
                          <w:szCs w:val="20"/>
                          <w:lang w:val="en-GB" w:eastAsia="en-GB"/>
                        </w:rPr>
                      </w:pPr>
                      <w:r>
                        <w:rPr>
                          <w:rFonts w:ascii="inherit" w:hAnsi="inherit"/>
                          <w:noProof/>
                          <w:color w:val="444444"/>
                          <w:szCs w:val="20"/>
                          <w:lang w:val="en-GB" w:eastAsia="en-GB"/>
                        </w:rPr>
                        <w:drawing>
                          <wp:inline distT="0" distB="0" distL="0" distR="0">
                            <wp:extent cx="2333625" cy="1685925"/>
                            <wp:effectExtent l="0" t="0" r="9525" b="9525"/>
                            <wp:docPr id="3" name="Picture 4" descr="Description: Class A office rental r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lass A office rental ra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3625" cy="1685925"/>
                                    </a:xfrm>
                                    <a:prstGeom prst="rect">
                                      <a:avLst/>
                                    </a:prstGeom>
                                    <a:noFill/>
                                    <a:ln>
                                      <a:noFill/>
                                    </a:ln>
                                  </pic:spPr>
                                </pic:pic>
                              </a:graphicData>
                            </a:graphic>
                          </wp:inline>
                        </w:drawing>
                      </w:r>
                      <w:r w:rsidR="008F656F">
                        <w:rPr>
                          <w:rFonts w:ascii="inherit" w:hAnsi="inherit"/>
                          <w:noProof/>
                          <w:color w:val="444444"/>
                          <w:szCs w:val="20"/>
                          <w:lang w:val="en-GB" w:eastAsia="en-GB"/>
                        </w:rPr>
                        <w:t xml:space="preserve"> </w:t>
                      </w:r>
                    </w:p>
                    <w:p w:rsidR="001B7620" w:rsidRDefault="001B7620" w:rsidP="008F656F">
                      <w:pPr>
                        <w:spacing w:before="0" w:after="0"/>
                        <w:jc w:val="left"/>
                        <w:rPr>
                          <w:rFonts w:ascii="inherit" w:hAnsi="inherit"/>
                          <w:noProof/>
                          <w:color w:val="444444"/>
                          <w:szCs w:val="20"/>
                          <w:lang w:val="en-GB" w:eastAsia="en-GB"/>
                        </w:rPr>
                      </w:pPr>
                    </w:p>
                    <w:p w:rsidR="008F656F" w:rsidRPr="001E3481" w:rsidRDefault="008F656F" w:rsidP="008F656F">
                      <w:pPr>
                        <w:spacing w:before="0" w:after="0"/>
                        <w:jc w:val="left"/>
                        <w:rPr>
                          <w:rFonts w:ascii="inherit" w:hAnsi="inherit"/>
                          <w:color w:val="444444"/>
                          <w:szCs w:val="20"/>
                          <w:lang w:val="en-GB" w:eastAsia="en-GB"/>
                        </w:rPr>
                      </w:pPr>
                      <w:r>
                        <w:rPr>
                          <w:rFonts w:ascii="inherit" w:hAnsi="inherit"/>
                          <w:noProof/>
                          <w:color w:val="444444"/>
                          <w:szCs w:val="20"/>
                          <w:lang w:val="en-GB" w:eastAsia="en-GB"/>
                        </w:rPr>
                        <w:t xml:space="preserve">  </w:t>
                      </w:r>
                      <w:r w:rsidR="00280F57">
                        <w:rPr>
                          <w:rFonts w:ascii="inherit" w:hAnsi="inherit"/>
                          <w:noProof/>
                          <w:color w:val="444444"/>
                          <w:szCs w:val="20"/>
                          <w:lang w:val="en-GB" w:eastAsia="en-GB"/>
                        </w:rPr>
                        <w:drawing>
                          <wp:inline distT="0" distB="0" distL="0" distR="0">
                            <wp:extent cx="2409825" cy="1781175"/>
                            <wp:effectExtent l="0" t="0" r="9525" b="9525"/>
                            <wp:docPr id="5" name="Picture 5" descr="Description: Moscow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Moscow m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9825" cy="1781175"/>
                                    </a:xfrm>
                                    <a:prstGeom prst="rect">
                                      <a:avLst/>
                                    </a:prstGeom>
                                    <a:noFill/>
                                    <a:ln>
                                      <a:noFill/>
                                    </a:ln>
                                  </pic:spPr>
                                </pic:pic>
                              </a:graphicData>
                            </a:graphic>
                          </wp:inline>
                        </w:drawing>
                      </w:r>
                      <w:r>
                        <w:rPr>
                          <w:rFonts w:ascii="inherit" w:hAnsi="inherit"/>
                          <w:noProof/>
                          <w:color w:val="444444"/>
                          <w:szCs w:val="20"/>
                          <w:lang w:val="en-GB" w:eastAsia="en-GB"/>
                        </w:rPr>
                        <w:t xml:space="preserve"> </w:t>
                      </w:r>
                      <w:r w:rsidR="00280F57">
                        <w:rPr>
                          <w:rFonts w:ascii="inherit" w:hAnsi="inherit"/>
                          <w:noProof/>
                          <w:color w:val="444444"/>
                          <w:szCs w:val="20"/>
                          <w:lang w:val="en-GB" w:eastAsia="en-GB"/>
                        </w:rPr>
                        <w:drawing>
                          <wp:inline distT="0" distB="0" distL="0" distR="0">
                            <wp:extent cx="2733675" cy="1752600"/>
                            <wp:effectExtent l="0" t="0" r="9525" b="0"/>
                            <wp:docPr id="7" name="Picture 6" descr="Description: St Peter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St Peter M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33675" cy="1752600"/>
                                    </a:xfrm>
                                    <a:prstGeom prst="rect">
                                      <a:avLst/>
                                    </a:prstGeom>
                                    <a:noFill/>
                                    <a:ln>
                                      <a:noFill/>
                                    </a:ln>
                                  </pic:spPr>
                                </pic:pic>
                              </a:graphicData>
                            </a:graphic>
                          </wp:inline>
                        </w:drawing>
                      </w:r>
                    </w:p>
                    <w:p w:rsidR="008F656F" w:rsidRPr="001E3481" w:rsidRDefault="008F656F" w:rsidP="008F656F">
                      <w:pPr>
                        <w:spacing w:before="0" w:after="0"/>
                        <w:ind w:left="60"/>
                        <w:jc w:val="left"/>
                        <w:rPr>
                          <w:rFonts w:ascii="inherit" w:hAnsi="inherit"/>
                          <w:color w:val="444444"/>
                          <w:szCs w:val="20"/>
                          <w:lang w:val="en-GB" w:eastAsia="en-GB"/>
                        </w:rPr>
                      </w:pPr>
                    </w:p>
                    <w:p w:rsidR="008F656F" w:rsidRPr="001E3481" w:rsidRDefault="008F656F" w:rsidP="008F656F">
                      <w:pPr>
                        <w:spacing w:before="0" w:after="0"/>
                        <w:jc w:val="left"/>
                        <w:rPr>
                          <w:rFonts w:ascii="inherit" w:hAnsi="inherit"/>
                          <w:color w:val="444444"/>
                          <w:szCs w:val="20"/>
                          <w:lang w:val="en-GB" w:eastAsia="en-GB"/>
                        </w:rPr>
                      </w:pPr>
                      <w:r w:rsidRPr="001E3481">
                        <w:rPr>
                          <w:rFonts w:cs="Arial"/>
                          <w:b/>
                          <w:bCs/>
                          <w:color w:val="444444"/>
                          <w:szCs w:val="20"/>
                          <w:bdr w:val="none" w:sz="0" w:space="0" w:color="auto" w:frame="1"/>
                          <w:lang w:val="en-GB" w:eastAsia="en-GB"/>
                        </w:rPr>
                        <w:t>Illustration 1.1:</w:t>
                      </w:r>
                    </w:p>
                    <w:p w:rsidR="008F656F" w:rsidRPr="001E3481" w:rsidRDefault="008F656F" w:rsidP="008F656F">
                      <w:pPr>
                        <w:spacing w:before="0" w:after="240"/>
                        <w:jc w:val="left"/>
                        <w:rPr>
                          <w:rFonts w:ascii="inherit" w:hAnsi="inherit"/>
                          <w:color w:val="444444"/>
                          <w:szCs w:val="20"/>
                          <w:lang w:val="en-GB" w:eastAsia="en-GB"/>
                        </w:rPr>
                      </w:pPr>
                      <w:r>
                        <w:rPr>
                          <w:rFonts w:ascii="inherit" w:hAnsi="inherit"/>
                          <w:noProof/>
                          <w:color w:val="444444"/>
                          <w:szCs w:val="20"/>
                          <w:lang w:val="en-GB" w:eastAsia="en-GB"/>
                        </w:rPr>
                        <w:t xml:space="preserve">               </w:t>
                      </w:r>
                    </w:p>
                    <w:p w:rsidR="008F656F" w:rsidRPr="001E3481" w:rsidRDefault="008F656F" w:rsidP="008F656F">
                      <w:pPr>
                        <w:spacing w:before="0" w:after="0"/>
                        <w:ind w:left="60"/>
                        <w:jc w:val="left"/>
                        <w:rPr>
                          <w:rFonts w:ascii="inherit" w:hAnsi="inherit"/>
                          <w:color w:val="444444"/>
                          <w:szCs w:val="20"/>
                          <w:lang w:val="en-GB" w:eastAsia="en-GB"/>
                        </w:rPr>
                      </w:pPr>
                    </w:p>
                    <w:p w:rsidR="008F656F" w:rsidRDefault="008F656F"/>
                  </w:txbxContent>
                </v:textbox>
              </v:shape>
            </w:pict>
          </mc:Fallback>
        </mc:AlternateContent>
      </w:r>
    </w:p>
    <w:p w:rsidR="008F656F" w:rsidRDefault="008F656F" w:rsidP="00E013D9">
      <w:pPr>
        <w:spacing w:before="100" w:beforeAutospacing="1" w:after="100" w:afterAutospacing="1"/>
        <w:jc w:val="left"/>
        <w:rPr>
          <w:noProof/>
          <w:lang w:val="en-GB" w:eastAsia="en-GB"/>
        </w:rPr>
      </w:pPr>
    </w:p>
    <w:p w:rsidR="008F656F" w:rsidRDefault="008F656F" w:rsidP="00E013D9">
      <w:pPr>
        <w:spacing w:before="100" w:beforeAutospacing="1" w:after="100" w:afterAutospacing="1"/>
        <w:jc w:val="left"/>
        <w:rPr>
          <w:noProof/>
          <w:lang w:val="en-GB" w:eastAsia="en-GB"/>
        </w:rPr>
      </w:pPr>
    </w:p>
    <w:p w:rsidR="008F656F" w:rsidRDefault="008F656F" w:rsidP="00E013D9">
      <w:pPr>
        <w:spacing w:before="100" w:beforeAutospacing="1" w:after="100" w:afterAutospacing="1"/>
        <w:jc w:val="left"/>
        <w:rPr>
          <w:noProof/>
          <w:lang w:val="en-GB" w:eastAsia="en-GB"/>
        </w:rPr>
      </w:pPr>
    </w:p>
    <w:p w:rsidR="008F656F" w:rsidRDefault="008F656F" w:rsidP="00E013D9">
      <w:pPr>
        <w:spacing w:before="100" w:beforeAutospacing="1" w:after="100" w:afterAutospacing="1"/>
        <w:jc w:val="left"/>
        <w:rPr>
          <w:noProof/>
          <w:lang w:val="en-GB" w:eastAsia="en-GB"/>
        </w:rPr>
      </w:pPr>
    </w:p>
    <w:p w:rsidR="008F656F" w:rsidRDefault="008F656F" w:rsidP="00E013D9">
      <w:pPr>
        <w:spacing w:before="100" w:beforeAutospacing="1" w:after="100" w:afterAutospacing="1"/>
        <w:jc w:val="left"/>
        <w:rPr>
          <w:noProof/>
          <w:lang w:val="en-GB" w:eastAsia="en-GB"/>
        </w:rPr>
      </w:pPr>
    </w:p>
    <w:p w:rsidR="008F656F" w:rsidRDefault="008F656F" w:rsidP="00E013D9">
      <w:pPr>
        <w:spacing w:before="100" w:beforeAutospacing="1" w:after="100" w:afterAutospacing="1"/>
        <w:jc w:val="left"/>
        <w:rPr>
          <w:noProof/>
          <w:lang w:val="en-GB" w:eastAsia="en-GB"/>
        </w:rPr>
      </w:pPr>
    </w:p>
    <w:p w:rsidR="008F656F" w:rsidRDefault="008F656F" w:rsidP="00E013D9">
      <w:pPr>
        <w:spacing w:before="100" w:beforeAutospacing="1" w:after="100" w:afterAutospacing="1"/>
        <w:jc w:val="left"/>
        <w:rPr>
          <w:noProof/>
          <w:lang w:val="en-GB" w:eastAsia="en-GB"/>
        </w:rPr>
      </w:pPr>
    </w:p>
    <w:p w:rsidR="008F656F" w:rsidRDefault="008F656F" w:rsidP="00E013D9">
      <w:pPr>
        <w:spacing w:before="100" w:beforeAutospacing="1" w:after="100" w:afterAutospacing="1"/>
        <w:jc w:val="left"/>
        <w:rPr>
          <w:noProof/>
          <w:lang w:val="en-GB" w:eastAsia="en-GB"/>
        </w:rPr>
      </w:pPr>
    </w:p>
    <w:p w:rsidR="008F656F" w:rsidRDefault="008F656F" w:rsidP="00E013D9">
      <w:pPr>
        <w:spacing w:before="100" w:beforeAutospacing="1" w:after="100" w:afterAutospacing="1"/>
        <w:jc w:val="left"/>
        <w:rPr>
          <w:noProof/>
          <w:lang w:val="en-GB" w:eastAsia="en-GB"/>
        </w:rPr>
      </w:pPr>
    </w:p>
    <w:p w:rsidR="008F656F" w:rsidRDefault="008F656F" w:rsidP="00E013D9">
      <w:pPr>
        <w:spacing w:before="100" w:beforeAutospacing="1" w:after="100" w:afterAutospacing="1"/>
        <w:jc w:val="left"/>
        <w:rPr>
          <w:noProof/>
          <w:lang w:val="en-GB" w:eastAsia="en-GB"/>
        </w:rPr>
      </w:pPr>
    </w:p>
    <w:p w:rsidR="008F656F" w:rsidRDefault="008F656F" w:rsidP="00E013D9">
      <w:pPr>
        <w:spacing w:before="100" w:beforeAutospacing="1" w:after="100" w:afterAutospacing="1"/>
        <w:jc w:val="left"/>
        <w:rPr>
          <w:noProof/>
          <w:lang w:val="en-GB" w:eastAsia="en-GB"/>
        </w:rPr>
      </w:pPr>
    </w:p>
    <w:p w:rsidR="001B7620" w:rsidRDefault="001B7620" w:rsidP="00AB375B">
      <w:pPr>
        <w:spacing w:before="100" w:beforeAutospacing="1" w:after="100" w:afterAutospacing="1"/>
        <w:jc w:val="center"/>
        <w:rPr>
          <w:noProof/>
          <w:lang w:val="en-GB" w:eastAsia="en-GB"/>
        </w:rPr>
      </w:pPr>
    </w:p>
    <w:p w:rsidR="001B7620" w:rsidRDefault="001B7620" w:rsidP="00AB375B">
      <w:pPr>
        <w:spacing w:before="100" w:beforeAutospacing="1" w:after="100" w:afterAutospacing="1"/>
        <w:jc w:val="center"/>
        <w:rPr>
          <w:noProof/>
          <w:lang w:val="en-GB" w:eastAsia="en-GB"/>
        </w:rPr>
      </w:pPr>
    </w:p>
    <w:p w:rsidR="001B7620" w:rsidRDefault="001B7620" w:rsidP="00AB375B">
      <w:pPr>
        <w:spacing w:before="100" w:beforeAutospacing="1" w:after="100" w:afterAutospacing="1"/>
        <w:jc w:val="center"/>
        <w:rPr>
          <w:noProof/>
          <w:lang w:val="en-GB" w:eastAsia="en-GB"/>
        </w:rPr>
      </w:pPr>
    </w:p>
    <w:p w:rsidR="001B7620" w:rsidRDefault="001B7620" w:rsidP="00AB375B">
      <w:pPr>
        <w:spacing w:before="100" w:beforeAutospacing="1" w:after="100" w:afterAutospacing="1"/>
        <w:jc w:val="center"/>
        <w:rPr>
          <w:noProof/>
          <w:lang w:val="en-GB" w:eastAsia="en-GB"/>
        </w:rPr>
      </w:pPr>
    </w:p>
    <w:p w:rsidR="001B7620" w:rsidRDefault="001B7620" w:rsidP="00AB375B">
      <w:pPr>
        <w:spacing w:before="100" w:beforeAutospacing="1" w:after="100" w:afterAutospacing="1"/>
        <w:jc w:val="center"/>
        <w:rPr>
          <w:noProof/>
          <w:lang w:val="en-GB" w:eastAsia="en-GB"/>
        </w:rPr>
      </w:pPr>
    </w:p>
    <w:p w:rsidR="001B7620" w:rsidRDefault="001B7620" w:rsidP="00AB375B">
      <w:pPr>
        <w:spacing w:before="100" w:beforeAutospacing="1" w:after="100" w:afterAutospacing="1"/>
        <w:jc w:val="center"/>
        <w:rPr>
          <w:noProof/>
          <w:lang w:val="en-GB" w:eastAsia="en-GB"/>
        </w:rPr>
      </w:pPr>
    </w:p>
    <w:p w:rsidR="001B7620" w:rsidRDefault="001B7620" w:rsidP="00AB375B">
      <w:pPr>
        <w:spacing w:before="100" w:beforeAutospacing="1" w:after="100" w:afterAutospacing="1"/>
        <w:jc w:val="center"/>
        <w:rPr>
          <w:noProof/>
          <w:lang w:val="en-GB" w:eastAsia="en-GB"/>
        </w:rPr>
      </w:pPr>
    </w:p>
    <w:p w:rsidR="008F656F" w:rsidRDefault="008F656F" w:rsidP="00AB375B">
      <w:pPr>
        <w:spacing w:before="100" w:beforeAutospacing="1" w:after="100" w:afterAutospacing="1"/>
        <w:jc w:val="center"/>
        <w:rPr>
          <w:noProof/>
          <w:lang w:val="en-GB" w:eastAsia="en-GB"/>
        </w:rPr>
      </w:pPr>
      <w:r>
        <w:rPr>
          <w:noProof/>
          <w:lang w:val="en-GB" w:eastAsia="en-GB"/>
        </w:rPr>
        <w:t>This is an extract from a students’ submission on an individual page.  The student compar</w:t>
      </w:r>
      <w:r w:rsidR="00AB375B">
        <w:rPr>
          <w:noProof/>
          <w:lang w:val="en-GB" w:eastAsia="en-GB"/>
        </w:rPr>
        <w:t xml:space="preserve">ed </w:t>
      </w:r>
      <w:r>
        <w:rPr>
          <w:noProof/>
          <w:lang w:val="en-GB" w:eastAsia="en-GB"/>
        </w:rPr>
        <w:t>office accommodation in Moscow and St Petersburg.  The students can upload images, files, video’s etc.</w:t>
      </w:r>
    </w:p>
    <w:p w:rsidR="008F656F" w:rsidRDefault="003A4B43" w:rsidP="00E013D9">
      <w:pPr>
        <w:spacing w:before="100" w:beforeAutospacing="1" w:after="100" w:afterAutospacing="1"/>
        <w:jc w:val="left"/>
        <w:rPr>
          <w:noProof/>
          <w:lang w:val="en-GB" w:eastAsia="en-GB"/>
        </w:rPr>
      </w:pPr>
      <w:r>
        <w:rPr>
          <w:noProof/>
          <w:lang w:val="en-GB" w:eastAsia="en-GB"/>
        </w:rPr>
        <w:t>Feedback to the students is given by:</w:t>
      </w:r>
    </w:p>
    <w:p w:rsidR="00E013D9" w:rsidRPr="00E013D9" w:rsidRDefault="00B12BF8" w:rsidP="00E013D9">
      <w:pPr>
        <w:numPr>
          <w:ilvl w:val="0"/>
          <w:numId w:val="40"/>
        </w:numPr>
        <w:spacing w:before="100" w:beforeAutospacing="1" w:after="100" w:afterAutospacing="1"/>
        <w:jc w:val="left"/>
        <w:rPr>
          <w:rFonts w:cs="Arial"/>
          <w:szCs w:val="20"/>
          <w:lang w:val="en-GB" w:eastAsia="en-GB"/>
        </w:rPr>
      </w:pPr>
      <w:r>
        <w:rPr>
          <w:rFonts w:cs="Arial"/>
          <w:szCs w:val="20"/>
          <w:lang w:val="en-GB" w:eastAsia="en-GB"/>
        </w:rPr>
        <w:t>A</w:t>
      </w:r>
      <w:r w:rsidR="00E013D9" w:rsidRPr="00E013D9">
        <w:rPr>
          <w:rFonts w:cs="Arial"/>
          <w:szCs w:val="20"/>
          <w:lang w:val="en-GB" w:eastAsia="en-GB"/>
        </w:rPr>
        <w:t>udio feedback – an MP3 file of comments from the tutor</w:t>
      </w:r>
      <w:r w:rsidR="003575F0">
        <w:rPr>
          <w:rFonts w:cs="Arial"/>
          <w:szCs w:val="20"/>
          <w:lang w:val="en-GB" w:eastAsia="en-GB"/>
        </w:rPr>
        <w:t>.</w:t>
      </w:r>
    </w:p>
    <w:p w:rsidR="00E013D9" w:rsidRPr="00E013D9" w:rsidRDefault="00B12BF8" w:rsidP="00E013D9">
      <w:pPr>
        <w:numPr>
          <w:ilvl w:val="0"/>
          <w:numId w:val="40"/>
        </w:numPr>
        <w:spacing w:before="100" w:beforeAutospacing="1" w:after="100" w:afterAutospacing="1"/>
        <w:jc w:val="left"/>
        <w:rPr>
          <w:rFonts w:cs="Arial"/>
          <w:szCs w:val="20"/>
          <w:lang w:val="en-GB" w:eastAsia="en-GB"/>
        </w:rPr>
      </w:pPr>
      <w:r>
        <w:rPr>
          <w:rFonts w:cs="Arial"/>
          <w:szCs w:val="20"/>
          <w:lang w:val="en-GB" w:eastAsia="en-GB"/>
        </w:rPr>
        <w:t>A</w:t>
      </w:r>
      <w:r w:rsidR="00E013D9" w:rsidRPr="00E013D9">
        <w:rPr>
          <w:rFonts w:cs="Arial"/>
          <w:szCs w:val="20"/>
          <w:lang w:val="en-GB" w:eastAsia="en-GB"/>
        </w:rPr>
        <w:t xml:space="preserve"> detailed rubric sheet, below.</w:t>
      </w:r>
    </w:p>
    <w:p w:rsidR="00E013D9" w:rsidRPr="00E013D9" w:rsidRDefault="00AB375B" w:rsidP="00AB375B">
      <w:pPr>
        <w:keepNext/>
        <w:spacing w:before="240" w:after="60"/>
        <w:jc w:val="center"/>
        <w:outlineLvl w:val="0"/>
        <w:rPr>
          <w:rFonts w:cs="Arial"/>
          <w:bCs/>
          <w:kern w:val="32"/>
          <w:szCs w:val="20"/>
          <w:lang w:val="en-GB" w:eastAsia="en-GB"/>
        </w:rPr>
      </w:pPr>
      <w:r w:rsidRPr="00AB375B">
        <w:rPr>
          <w:rFonts w:cs="Arial"/>
          <w:bCs/>
          <w:kern w:val="32"/>
          <w:szCs w:val="20"/>
          <w:lang w:val="en-GB" w:eastAsia="en-GB"/>
        </w:rPr>
        <w:lastRenderedPageBreak/>
        <w:t xml:space="preserve">Fig 3.  </w:t>
      </w:r>
      <w:r w:rsidR="002E783E" w:rsidRPr="00AB375B">
        <w:rPr>
          <w:rFonts w:cs="Arial"/>
          <w:bCs/>
          <w:kern w:val="32"/>
          <w:szCs w:val="20"/>
          <w:lang w:val="en-GB" w:eastAsia="en-GB"/>
        </w:rPr>
        <w:t>Rubric Sheet</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529"/>
        <w:gridCol w:w="1276"/>
        <w:gridCol w:w="1134"/>
        <w:gridCol w:w="3754"/>
      </w:tblGrid>
      <w:tr w:rsidR="00E013D9" w:rsidRPr="00E013D9" w:rsidTr="002E783E">
        <w:trPr>
          <w:jc w:val="center"/>
        </w:trPr>
        <w:tc>
          <w:tcPr>
            <w:tcW w:w="2764" w:type="dxa"/>
            <w:gridSpan w:val="2"/>
            <w:shd w:val="clear" w:color="auto" w:fill="auto"/>
          </w:tcPr>
          <w:p w:rsidR="00E013D9" w:rsidRPr="00E013D9" w:rsidRDefault="00E013D9" w:rsidP="00E013D9">
            <w:pPr>
              <w:pStyle w:val="Heading2"/>
              <w:numPr>
                <w:ilvl w:val="0"/>
                <w:numId w:val="0"/>
              </w:numPr>
              <w:rPr>
                <w:rFonts w:cs="Arial"/>
                <w:sz w:val="20"/>
                <w:szCs w:val="20"/>
                <w:lang w:val="en-GB" w:eastAsia="en-GB"/>
              </w:rPr>
            </w:pPr>
            <w:r w:rsidRPr="00E013D9">
              <w:rPr>
                <w:rFonts w:cs="Arial"/>
                <w:sz w:val="20"/>
                <w:szCs w:val="20"/>
                <w:lang w:val="en-GB" w:eastAsia="en-GB"/>
              </w:rPr>
              <w:t>STUDENT NAME:</w:t>
            </w:r>
          </w:p>
        </w:tc>
        <w:tc>
          <w:tcPr>
            <w:tcW w:w="1276" w:type="dxa"/>
            <w:shd w:val="clear" w:color="auto" w:fill="auto"/>
          </w:tcPr>
          <w:p w:rsidR="00E013D9" w:rsidRPr="00E013D9" w:rsidRDefault="00E013D9" w:rsidP="00E013D9">
            <w:pPr>
              <w:pStyle w:val="Heading1"/>
              <w:numPr>
                <w:ilvl w:val="0"/>
                <w:numId w:val="0"/>
              </w:numPr>
              <w:rPr>
                <w:rFonts w:cs="Arial"/>
                <w:sz w:val="20"/>
                <w:szCs w:val="20"/>
                <w:lang w:val="en-GB" w:eastAsia="en-GB"/>
              </w:rPr>
            </w:pPr>
          </w:p>
        </w:tc>
        <w:tc>
          <w:tcPr>
            <w:tcW w:w="1134" w:type="dxa"/>
            <w:shd w:val="clear" w:color="auto" w:fill="auto"/>
          </w:tcPr>
          <w:p w:rsidR="00E013D9" w:rsidRPr="00E013D9" w:rsidRDefault="00E013D9" w:rsidP="00E013D9">
            <w:pPr>
              <w:pStyle w:val="Heading1"/>
              <w:numPr>
                <w:ilvl w:val="0"/>
                <w:numId w:val="0"/>
              </w:numPr>
              <w:rPr>
                <w:rFonts w:cs="Arial"/>
                <w:sz w:val="20"/>
                <w:szCs w:val="20"/>
                <w:lang w:val="en-GB" w:eastAsia="en-GB"/>
              </w:rPr>
            </w:pPr>
            <w:r w:rsidRPr="00E013D9">
              <w:rPr>
                <w:rFonts w:cs="Arial"/>
                <w:sz w:val="20"/>
                <w:szCs w:val="20"/>
                <w:lang w:val="en-GB" w:eastAsia="en-GB"/>
              </w:rPr>
              <w:t>DATE:</w:t>
            </w:r>
          </w:p>
        </w:tc>
        <w:tc>
          <w:tcPr>
            <w:tcW w:w="3754" w:type="dxa"/>
            <w:shd w:val="clear" w:color="auto" w:fill="auto"/>
          </w:tcPr>
          <w:p w:rsidR="00E013D9" w:rsidRPr="00E013D9" w:rsidRDefault="00E013D9" w:rsidP="00E013D9">
            <w:pPr>
              <w:pStyle w:val="Heading1"/>
              <w:numPr>
                <w:ilvl w:val="0"/>
                <w:numId w:val="0"/>
              </w:numPr>
              <w:rPr>
                <w:rFonts w:cs="Arial"/>
                <w:sz w:val="20"/>
                <w:szCs w:val="20"/>
                <w:lang w:val="en-GB" w:eastAsia="en-GB"/>
              </w:rPr>
            </w:pPr>
          </w:p>
        </w:tc>
      </w:tr>
      <w:tr w:rsidR="00E013D9" w:rsidRPr="00E013D9" w:rsidTr="00E013D9">
        <w:trPr>
          <w:trHeight w:val="3670"/>
          <w:jc w:val="center"/>
        </w:trPr>
        <w:tc>
          <w:tcPr>
            <w:tcW w:w="8928" w:type="dxa"/>
            <w:gridSpan w:val="5"/>
            <w:shd w:val="clear" w:color="auto" w:fill="auto"/>
          </w:tcPr>
          <w:p w:rsidR="00E013D9" w:rsidRPr="00E013D9" w:rsidRDefault="00E013D9" w:rsidP="00E013D9">
            <w:pPr>
              <w:pStyle w:val="Heading1"/>
              <w:numPr>
                <w:ilvl w:val="0"/>
                <w:numId w:val="0"/>
              </w:numPr>
              <w:rPr>
                <w:rFonts w:cs="Arial"/>
                <w:sz w:val="20"/>
                <w:szCs w:val="20"/>
                <w:lang w:val="en-GB" w:eastAsia="en-GB"/>
              </w:rPr>
            </w:pPr>
            <w:r>
              <w:rPr>
                <w:rFonts w:cs="Arial"/>
                <w:sz w:val="20"/>
                <w:szCs w:val="20"/>
                <w:lang w:val="en-GB" w:eastAsia="en-GB"/>
              </w:rPr>
              <w:t xml:space="preserve">MODULE </w:t>
            </w:r>
            <w:r w:rsidRPr="00E013D9">
              <w:rPr>
                <w:rFonts w:cs="Arial"/>
                <w:sz w:val="20"/>
                <w:szCs w:val="20"/>
                <w:lang w:val="en-GB" w:eastAsia="en-GB"/>
              </w:rPr>
              <w:t>LEARNING OUTCOMES</w:t>
            </w:r>
          </w:p>
          <w:p w:rsidR="00E013D9" w:rsidRPr="00E013D9" w:rsidRDefault="00E013D9" w:rsidP="00E013D9">
            <w:pPr>
              <w:pStyle w:val="Heading1"/>
              <w:numPr>
                <w:ilvl w:val="0"/>
                <w:numId w:val="0"/>
              </w:numPr>
              <w:rPr>
                <w:rFonts w:cs="Arial"/>
                <w:b w:val="0"/>
                <w:sz w:val="20"/>
                <w:szCs w:val="20"/>
                <w:lang w:val="en-GB" w:eastAsia="en-GB"/>
              </w:rPr>
            </w:pPr>
            <w:r w:rsidRPr="00E013D9">
              <w:rPr>
                <w:rFonts w:cs="Arial"/>
                <w:b w:val="0"/>
                <w:caps w:val="0"/>
                <w:sz w:val="20"/>
                <w:szCs w:val="20"/>
                <w:lang w:val="en-GB" w:eastAsia="en-GB"/>
              </w:rPr>
              <w:t>This module is intended to enable students to synthesis theoretical, financial, and legal knowledge in order to formulate and evaluate strategies for corporate real estate management.  The module encompasses property as an operational and a strategic asset.</w:t>
            </w:r>
            <w:r>
              <w:rPr>
                <w:rFonts w:cs="Arial"/>
                <w:b w:val="0"/>
                <w:caps w:val="0"/>
                <w:sz w:val="20"/>
                <w:szCs w:val="20"/>
                <w:lang w:val="en-GB" w:eastAsia="en-GB"/>
              </w:rPr>
              <w:t xml:space="preserve">  </w:t>
            </w:r>
            <w:r w:rsidRPr="00E013D9">
              <w:rPr>
                <w:rFonts w:cs="Arial"/>
                <w:b w:val="0"/>
                <w:caps w:val="0"/>
                <w:sz w:val="20"/>
                <w:szCs w:val="20"/>
                <w:lang w:val="en-GB" w:eastAsia="en-GB"/>
              </w:rPr>
              <w:t>Students will be empowered to direct the property life-cycle, from feasibility study to commissioning and evaluating designs, to occupation, to post-occupation evaluation, through to disposal strategies.</w:t>
            </w:r>
          </w:p>
          <w:p w:rsidR="00E013D9" w:rsidRPr="00E013D9" w:rsidRDefault="00E013D9" w:rsidP="00E013D9">
            <w:pPr>
              <w:pStyle w:val="Heading1"/>
              <w:numPr>
                <w:ilvl w:val="0"/>
                <w:numId w:val="0"/>
              </w:numPr>
              <w:rPr>
                <w:rFonts w:cs="Arial"/>
                <w:b w:val="0"/>
                <w:sz w:val="20"/>
                <w:szCs w:val="20"/>
                <w:lang w:val="en-GB" w:eastAsia="en-GB"/>
              </w:rPr>
            </w:pPr>
            <w:r w:rsidRPr="00E013D9">
              <w:rPr>
                <w:rFonts w:cs="Arial"/>
                <w:b w:val="0"/>
                <w:caps w:val="0"/>
                <w:sz w:val="20"/>
                <w:szCs w:val="20"/>
                <w:lang w:val="en-GB" w:eastAsia="en-GB"/>
              </w:rPr>
              <w:t>On satisfactory completion of the module students will be able to:</w:t>
            </w:r>
          </w:p>
          <w:p w:rsidR="00E013D9" w:rsidRPr="00E013D9" w:rsidRDefault="00E013D9" w:rsidP="00B12BF8">
            <w:pPr>
              <w:pStyle w:val="Heading1"/>
              <w:numPr>
                <w:ilvl w:val="0"/>
                <w:numId w:val="41"/>
              </w:numPr>
              <w:ind w:left="714" w:hanging="357"/>
              <w:rPr>
                <w:rFonts w:cs="Arial"/>
                <w:b w:val="0"/>
                <w:sz w:val="20"/>
                <w:szCs w:val="20"/>
                <w:lang w:val="en-GB" w:eastAsia="en-GB"/>
              </w:rPr>
            </w:pPr>
            <w:r w:rsidRPr="00E013D9">
              <w:rPr>
                <w:rFonts w:cs="Arial"/>
                <w:b w:val="0"/>
                <w:caps w:val="0"/>
                <w:spacing w:val="-3"/>
                <w:sz w:val="20"/>
                <w:szCs w:val="20"/>
                <w:lang w:val="en-GB" w:eastAsia="en-GB"/>
              </w:rPr>
              <w:t>Identify and critically evaluate appropriate strategies</w:t>
            </w:r>
            <w:r w:rsidRPr="00E013D9">
              <w:rPr>
                <w:rFonts w:cs="Arial"/>
                <w:b w:val="0"/>
                <w:caps w:val="0"/>
                <w:sz w:val="20"/>
                <w:szCs w:val="20"/>
                <w:lang w:val="en-GB" w:eastAsia="en-GB"/>
              </w:rPr>
              <w:t xml:space="preserve"> to undertake the effective management of the organisation’s built assets.</w:t>
            </w:r>
          </w:p>
          <w:p w:rsidR="00E013D9" w:rsidRPr="00E013D9" w:rsidRDefault="00E013D9" w:rsidP="00B12BF8">
            <w:pPr>
              <w:pStyle w:val="Heading1"/>
              <w:numPr>
                <w:ilvl w:val="0"/>
                <w:numId w:val="41"/>
              </w:numPr>
              <w:ind w:left="714" w:hanging="357"/>
              <w:rPr>
                <w:rFonts w:cs="Arial"/>
                <w:b w:val="0"/>
                <w:sz w:val="20"/>
                <w:szCs w:val="20"/>
                <w:lang w:val="en-GB" w:eastAsia="en-GB"/>
              </w:rPr>
            </w:pPr>
            <w:r w:rsidRPr="00E013D9">
              <w:rPr>
                <w:rFonts w:cs="Arial"/>
                <w:b w:val="0"/>
                <w:caps w:val="0"/>
                <w:sz w:val="20"/>
                <w:szCs w:val="20"/>
                <w:lang w:val="en-GB" w:eastAsia="en-GB"/>
              </w:rPr>
              <w:t>Undertake or commission financial, technical and human appraisals of corporate property.</w:t>
            </w:r>
          </w:p>
          <w:p w:rsidR="00E013D9" w:rsidRPr="00E013D9" w:rsidRDefault="00E013D9" w:rsidP="00B12BF8">
            <w:pPr>
              <w:pStyle w:val="Heading1"/>
              <w:numPr>
                <w:ilvl w:val="0"/>
                <w:numId w:val="41"/>
              </w:numPr>
              <w:ind w:left="714" w:hanging="357"/>
              <w:rPr>
                <w:rFonts w:cs="Arial"/>
                <w:sz w:val="20"/>
                <w:szCs w:val="20"/>
                <w:lang w:val="en-GB" w:eastAsia="en-GB"/>
              </w:rPr>
            </w:pPr>
            <w:r w:rsidRPr="00E013D9">
              <w:rPr>
                <w:rFonts w:cs="Arial"/>
                <w:b w:val="0"/>
                <w:caps w:val="0"/>
                <w:sz w:val="20"/>
                <w:szCs w:val="20"/>
                <w:lang w:val="en-GB" w:eastAsia="en-GB"/>
              </w:rPr>
              <w:t>Make informed decisions regarding design and design solutions.</w:t>
            </w:r>
          </w:p>
        </w:tc>
      </w:tr>
      <w:tr w:rsidR="00E013D9" w:rsidRPr="00E013D9" w:rsidTr="00E013D9">
        <w:trPr>
          <w:jc w:val="center"/>
        </w:trPr>
        <w:tc>
          <w:tcPr>
            <w:tcW w:w="2235" w:type="dxa"/>
            <w:shd w:val="clear" w:color="auto" w:fill="auto"/>
          </w:tcPr>
          <w:p w:rsidR="00E013D9" w:rsidRPr="00E013D9" w:rsidRDefault="00E013D9" w:rsidP="00AB375B">
            <w:pPr>
              <w:keepNext/>
              <w:spacing w:before="240" w:after="60"/>
              <w:jc w:val="left"/>
              <w:outlineLvl w:val="0"/>
              <w:rPr>
                <w:rFonts w:cs="Arial"/>
                <w:b/>
                <w:bCs/>
                <w:kern w:val="32"/>
                <w:szCs w:val="20"/>
                <w:lang w:val="en-GB" w:eastAsia="en-GB"/>
              </w:rPr>
            </w:pPr>
            <w:r w:rsidRPr="00E013D9">
              <w:rPr>
                <w:rFonts w:cs="Arial"/>
                <w:b/>
                <w:bCs/>
                <w:kern w:val="32"/>
                <w:szCs w:val="20"/>
                <w:lang w:val="en-GB" w:eastAsia="en-GB"/>
              </w:rPr>
              <w:t>ASSIGNMENT ONE</w:t>
            </w:r>
          </w:p>
        </w:tc>
        <w:tc>
          <w:tcPr>
            <w:tcW w:w="6693" w:type="dxa"/>
            <w:gridSpan w:val="4"/>
            <w:shd w:val="clear" w:color="auto" w:fill="auto"/>
          </w:tcPr>
          <w:p w:rsidR="00E013D9" w:rsidRPr="00E013D9" w:rsidRDefault="00E013D9" w:rsidP="00E013D9">
            <w:pPr>
              <w:widowControl w:val="0"/>
              <w:numPr>
                <w:ilvl w:val="0"/>
                <w:numId w:val="37"/>
              </w:numPr>
              <w:spacing w:before="0" w:after="0"/>
              <w:jc w:val="left"/>
              <w:rPr>
                <w:rFonts w:cs="Arial"/>
                <w:color w:val="000000"/>
                <w:szCs w:val="20"/>
                <w:lang w:val="en-GB" w:eastAsia="en-GB"/>
              </w:rPr>
            </w:pPr>
            <w:r w:rsidRPr="00E013D9">
              <w:rPr>
                <w:rFonts w:cs="Arial"/>
                <w:color w:val="000000"/>
                <w:szCs w:val="20"/>
                <w:lang w:val="en-GB" w:eastAsia="en-GB"/>
              </w:rPr>
              <w:t>Undertake or commission financial, technical and human appraisals of corporate property.</w:t>
            </w:r>
          </w:p>
        </w:tc>
      </w:tr>
      <w:tr w:rsidR="00E013D9" w:rsidRPr="00E013D9" w:rsidTr="00E013D9">
        <w:trPr>
          <w:jc w:val="center"/>
        </w:trPr>
        <w:tc>
          <w:tcPr>
            <w:tcW w:w="8928" w:type="dxa"/>
            <w:gridSpan w:val="5"/>
            <w:shd w:val="clear" w:color="auto" w:fill="auto"/>
          </w:tcPr>
          <w:p w:rsidR="00E013D9" w:rsidRPr="00E013D9" w:rsidRDefault="00E013D9" w:rsidP="00E013D9">
            <w:pPr>
              <w:spacing w:before="0" w:after="0"/>
              <w:jc w:val="left"/>
              <w:rPr>
                <w:rFonts w:cs="Arial"/>
                <w:szCs w:val="20"/>
                <w:lang w:val="en-GB" w:eastAsia="en-GB"/>
              </w:rPr>
            </w:pPr>
            <w:r w:rsidRPr="00E013D9">
              <w:rPr>
                <w:rFonts w:cs="Arial"/>
                <w:szCs w:val="20"/>
                <w:lang w:val="en-GB" w:eastAsia="en-GB"/>
              </w:rPr>
              <w:t>A good answer will clearly demonstrate the student’s ability to think strategically about and research into property values and property acquisition.  Students will demonstrate the ability to manipulate practical knowledge in order to contribute to a viable strategy.</w:t>
            </w:r>
          </w:p>
          <w:p w:rsidR="00E013D9" w:rsidRPr="00E013D9" w:rsidRDefault="00E013D9" w:rsidP="00E013D9">
            <w:pPr>
              <w:spacing w:before="0" w:after="0"/>
              <w:jc w:val="left"/>
              <w:rPr>
                <w:rFonts w:cs="Arial"/>
                <w:color w:val="FF0000"/>
                <w:szCs w:val="20"/>
                <w:lang w:val="en-GB" w:eastAsia="en-GB"/>
              </w:rPr>
            </w:pPr>
            <w:r w:rsidRPr="00E013D9">
              <w:rPr>
                <w:rFonts w:cs="Arial"/>
                <w:color w:val="FF0000"/>
                <w:szCs w:val="20"/>
                <w:lang w:val="en-GB" w:eastAsia="en-GB"/>
              </w:rPr>
              <w:t>Note to tutors:</w:t>
            </w:r>
            <w:r>
              <w:rPr>
                <w:rFonts w:cs="Arial"/>
                <w:color w:val="FF0000"/>
                <w:szCs w:val="20"/>
                <w:lang w:val="en-GB" w:eastAsia="en-GB"/>
              </w:rPr>
              <w:t xml:space="preserve">  </w:t>
            </w:r>
            <w:r w:rsidRPr="00E013D9">
              <w:rPr>
                <w:rFonts w:cs="Arial"/>
                <w:color w:val="FF0000"/>
                <w:szCs w:val="20"/>
                <w:lang w:val="en-GB" w:eastAsia="en-GB"/>
              </w:rPr>
              <w:t>May award half marks.  Award half marks if only one city considered.</w:t>
            </w:r>
          </w:p>
        </w:tc>
      </w:tr>
      <w:tr w:rsidR="00E013D9" w:rsidRPr="00E013D9" w:rsidTr="002E783E">
        <w:trPr>
          <w:jc w:val="center"/>
        </w:trPr>
        <w:tc>
          <w:tcPr>
            <w:tcW w:w="2764" w:type="dxa"/>
            <w:gridSpan w:val="2"/>
            <w:shd w:val="clear" w:color="auto" w:fill="auto"/>
          </w:tcPr>
          <w:p w:rsidR="00E013D9" w:rsidRPr="00E013D9" w:rsidRDefault="00E013D9" w:rsidP="00E013D9">
            <w:pPr>
              <w:spacing w:before="0" w:after="0"/>
              <w:jc w:val="left"/>
              <w:rPr>
                <w:rFonts w:cs="Arial"/>
                <w:b/>
                <w:szCs w:val="20"/>
                <w:lang w:val="en-GB" w:eastAsia="en-GB"/>
              </w:rPr>
            </w:pPr>
            <w:r>
              <w:rPr>
                <w:rFonts w:cs="Arial"/>
                <w:b/>
                <w:szCs w:val="20"/>
                <w:lang w:val="en-GB" w:eastAsia="en-GB"/>
              </w:rPr>
              <w:t>Individual P</w:t>
            </w:r>
            <w:r w:rsidRPr="00E013D9">
              <w:rPr>
                <w:rFonts w:cs="Arial"/>
                <w:b/>
                <w:szCs w:val="20"/>
                <w:lang w:val="en-GB" w:eastAsia="en-GB"/>
              </w:rPr>
              <w:t>art of Group Task:</w:t>
            </w:r>
          </w:p>
        </w:tc>
        <w:tc>
          <w:tcPr>
            <w:tcW w:w="6164" w:type="dxa"/>
            <w:gridSpan w:val="3"/>
            <w:shd w:val="clear" w:color="auto" w:fill="auto"/>
          </w:tcPr>
          <w:p w:rsidR="00E013D9" w:rsidRPr="00E013D9" w:rsidRDefault="00E013D9" w:rsidP="00E013D9">
            <w:pPr>
              <w:spacing w:before="0" w:after="0"/>
              <w:jc w:val="left"/>
              <w:rPr>
                <w:rFonts w:cs="Arial"/>
                <w:i/>
                <w:color w:val="0000FF"/>
                <w:szCs w:val="20"/>
                <w:lang w:val="en-GB" w:eastAsia="en-GB"/>
              </w:rPr>
            </w:pPr>
          </w:p>
        </w:tc>
      </w:tr>
      <w:tr w:rsidR="00E013D9" w:rsidRPr="00E013D9" w:rsidTr="002E783E">
        <w:trPr>
          <w:jc w:val="center"/>
        </w:trPr>
        <w:tc>
          <w:tcPr>
            <w:tcW w:w="2764" w:type="dxa"/>
            <w:gridSpan w:val="2"/>
            <w:shd w:val="clear" w:color="auto" w:fill="auto"/>
          </w:tcPr>
          <w:p w:rsidR="00E013D9" w:rsidRPr="00E013D9" w:rsidRDefault="00E013D9" w:rsidP="00E013D9">
            <w:pPr>
              <w:spacing w:before="0" w:after="0"/>
              <w:jc w:val="left"/>
              <w:rPr>
                <w:rFonts w:cs="Arial"/>
                <w:szCs w:val="20"/>
                <w:lang w:val="en-GB" w:eastAsia="en-GB"/>
              </w:rPr>
            </w:pPr>
            <w:r w:rsidRPr="00E013D9">
              <w:rPr>
                <w:rFonts w:cs="Arial"/>
                <w:szCs w:val="20"/>
                <w:lang w:val="en-GB" w:eastAsia="en-GB"/>
              </w:rPr>
              <w:t>Depth and appropriateness of research.</w:t>
            </w:r>
          </w:p>
        </w:tc>
        <w:tc>
          <w:tcPr>
            <w:tcW w:w="1276" w:type="dxa"/>
            <w:shd w:val="clear" w:color="auto" w:fill="auto"/>
          </w:tcPr>
          <w:p w:rsidR="00E013D9" w:rsidRPr="00E013D9" w:rsidRDefault="00E013D9" w:rsidP="00E013D9">
            <w:pPr>
              <w:spacing w:before="0" w:after="0"/>
              <w:jc w:val="left"/>
              <w:rPr>
                <w:rFonts w:cs="Arial"/>
                <w:b/>
                <w:szCs w:val="20"/>
                <w:lang w:val="en-GB" w:eastAsia="en-GB"/>
              </w:rPr>
            </w:pPr>
            <w:r w:rsidRPr="00E013D9">
              <w:rPr>
                <w:rFonts w:cs="Arial"/>
                <w:b/>
                <w:szCs w:val="20"/>
                <w:lang w:val="en-GB" w:eastAsia="en-GB"/>
              </w:rPr>
              <w:t>Marks Available</w:t>
            </w:r>
          </w:p>
        </w:tc>
        <w:tc>
          <w:tcPr>
            <w:tcW w:w="1134" w:type="dxa"/>
            <w:shd w:val="clear" w:color="auto" w:fill="auto"/>
          </w:tcPr>
          <w:p w:rsidR="00E013D9" w:rsidRPr="00E013D9" w:rsidRDefault="00E013D9" w:rsidP="00E013D9">
            <w:pPr>
              <w:spacing w:before="0" w:after="0"/>
              <w:jc w:val="left"/>
              <w:rPr>
                <w:rFonts w:cs="Arial"/>
                <w:b/>
                <w:szCs w:val="20"/>
                <w:lang w:val="en-GB" w:eastAsia="en-GB"/>
              </w:rPr>
            </w:pPr>
            <w:r w:rsidRPr="00E013D9">
              <w:rPr>
                <w:rFonts w:cs="Arial"/>
                <w:b/>
                <w:szCs w:val="20"/>
                <w:lang w:val="en-GB" w:eastAsia="en-GB"/>
              </w:rPr>
              <w:t>Marks Awarded</w:t>
            </w:r>
          </w:p>
        </w:tc>
        <w:tc>
          <w:tcPr>
            <w:tcW w:w="3754" w:type="dxa"/>
            <w:shd w:val="clear" w:color="auto" w:fill="auto"/>
          </w:tcPr>
          <w:p w:rsidR="00E013D9" w:rsidRPr="00E013D9" w:rsidRDefault="002E783E" w:rsidP="00E013D9">
            <w:pPr>
              <w:spacing w:before="0" w:after="0"/>
              <w:jc w:val="left"/>
              <w:rPr>
                <w:rFonts w:cs="Arial"/>
                <w:b/>
                <w:szCs w:val="20"/>
                <w:lang w:val="en-GB" w:eastAsia="en-GB"/>
              </w:rPr>
            </w:pPr>
            <w:r w:rsidRPr="002E783E">
              <w:rPr>
                <w:rFonts w:cs="Arial"/>
                <w:b/>
                <w:szCs w:val="20"/>
                <w:lang w:val="en-GB" w:eastAsia="en-GB"/>
              </w:rPr>
              <w:t>Comments</w:t>
            </w:r>
          </w:p>
        </w:tc>
      </w:tr>
      <w:tr w:rsidR="00E013D9" w:rsidRPr="00E013D9" w:rsidTr="002E783E">
        <w:trPr>
          <w:jc w:val="center"/>
        </w:trPr>
        <w:tc>
          <w:tcPr>
            <w:tcW w:w="2764" w:type="dxa"/>
            <w:gridSpan w:val="2"/>
            <w:shd w:val="clear" w:color="auto" w:fill="auto"/>
          </w:tcPr>
          <w:p w:rsidR="00E013D9" w:rsidRPr="00E013D9" w:rsidRDefault="00E013D9" w:rsidP="00E013D9">
            <w:pPr>
              <w:spacing w:before="100" w:beforeAutospacing="1" w:after="100" w:afterAutospacing="1"/>
              <w:jc w:val="left"/>
              <w:rPr>
                <w:rFonts w:cs="Arial"/>
                <w:szCs w:val="20"/>
                <w:lang w:val="en-GB" w:eastAsia="en-GB"/>
              </w:rPr>
            </w:pPr>
            <w:r w:rsidRPr="00E013D9">
              <w:rPr>
                <w:rFonts w:cs="Arial"/>
                <w:szCs w:val="20"/>
                <w:lang w:val="en-GB" w:eastAsia="en-GB"/>
              </w:rPr>
              <w:t>Evidence of research - correct referencing</w:t>
            </w:r>
          </w:p>
        </w:tc>
        <w:tc>
          <w:tcPr>
            <w:tcW w:w="1276" w:type="dxa"/>
            <w:shd w:val="clear" w:color="auto" w:fill="auto"/>
          </w:tcPr>
          <w:p w:rsidR="00E013D9" w:rsidRPr="00E013D9" w:rsidRDefault="00E013D9" w:rsidP="00E013D9">
            <w:pPr>
              <w:spacing w:before="0" w:after="0"/>
              <w:jc w:val="center"/>
              <w:rPr>
                <w:rFonts w:cs="Arial"/>
                <w:szCs w:val="20"/>
                <w:lang w:val="en-GB" w:eastAsia="en-GB"/>
              </w:rPr>
            </w:pPr>
            <w:r w:rsidRPr="00E013D9">
              <w:rPr>
                <w:rFonts w:cs="Arial"/>
                <w:szCs w:val="20"/>
                <w:lang w:val="en-GB" w:eastAsia="en-GB"/>
              </w:rPr>
              <w:t>1</w:t>
            </w:r>
          </w:p>
        </w:tc>
        <w:tc>
          <w:tcPr>
            <w:tcW w:w="1134" w:type="dxa"/>
            <w:shd w:val="clear" w:color="auto" w:fill="auto"/>
          </w:tcPr>
          <w:p w:rsidR="00E013D9" w:rsidRPr="00E013D9" w:rsidRDefault="00E013D9" w:rsidP="00E013D9">
            <w:pPr>
              <w:spacing w:before="0" w:after="0"/>
              <w:jc w:val="center"/>
              <w:rPr>
                <w:rFonts w:cs="Arial"/>
                <w:color w:val="0000FF"/>
                <w:szCs w:val="20"/>
                <w:lang w:val="en-GB" w:eastAsia="en-GB"/>
              </w:rPr>
            </w:pPr>
            <w:r w:rsidRPr="00E013D9">
              <w:rPr>
                <w:rFonts w:cs="Arial"/>
                <w:color w:val="0000FF"/>
                <w:szCs w:val="20"/>
                <w:lang w:val="en-GB" w:eastAsia="en-GB"/>
              </w:rPr>
              <w:t>1</w:t>
            </w:r>
          </w:p>
        </w:tc>
        <w:tc>
          <w:tcPr>
            <w:tcW w:w="3754" w:type="dxa"/>
            <w:shd w:val="clear" w:color="auto" w:fill="auto"/>
          </w:tcPr>
          <w:p w:rsidR="00E013D9" w:rsidRPr="00E013D9" w:rsidRDefault="00E013D9" w:rsidP="00E013D9">
            <w:pPr>
              <w:spacing w:before="0" w:after="0"/>
              <w:jc w:val="left"/>
              <w:rPr>
                <w:rFonts w:cs="Arial"/>
                <w:i/>
                <w:color w:val="0000FF"/>
                <w:szCs w:val="20"/>
                <w:lang w:val="en-GB" w:eastAsia="en-GB"/>
              </w:rPr>
            </w:pPr>
          </w:p>
        </w:tc>
      </w:tr>
      <w:tr w:rsidR="00E013D9" w:rsidRPr="00E013D9" w:rsidTr="002E783E">
        <w:trPr>
          <w:jc w:val="center"/>
        </w:trPr>
        <w:tc>
          <w:tcPr>
            <w:tcW w:w="2764" w:type="dxa"/>
            <w:gridSpan w:val="2"/>
            <w:shd w:val="clear" w:color="auto" w:fill="auto"/>
          </w:tcPr>
          <w:p w:rsidR="00E013D9" w:rsidRPr="00E013D9" w:rsidRDefault="00E013D9" w:rsidP="00E013D9">
            <w:pPr>
              <w:spacing w:before="100" w:beforeAutospacing="1" w:after="100" w:afterAutospacing="1"/>
              <w:jc w:val="left"/>
              <w:rPr>
                <w:rFonts w:cs="Arial"/>
                <w:szCs w:val="20"/>
                <w:lang w:val="en-GB" w:eastAsia="en-GB"/>
              </w:rPr>
            </w:pPr>
            <w:r w:rsidRPr="00E013D9">
              <w:rPr>
                <w:rFonts w:cs="Arial"/>
                <w:szCs w:val="20"/>
                <w:lang w:val="en-GB" w:eastAsia="en-GB"/>
              </w:rPr>
              <w:t>Use of authoritative sites</w:t>
            </w:r>
          </w:p>
        </w:tc>
        <w:tc>
          <w:tcPr>
            <w:tcW w:w="1276" w:type="dxa"/>
            <w:shd w:val="clear" w:color="auto" w:fill="auto"/>
          </w:tcPr>
          <w:p w:rsidR="00E013D9" w:rsidRPr="00E013D9" w:rsidRDefault="00E013D9" w:rsidP="00E013D9">
            <w:pPr>
              <w:spacing w:before="0" w:after="0"/>
              <w:jc w:val="center"/>
              <w:rPr>
                <w:rFonts w:cs="Arial"/>
                <w:szCs w:val="20"/>
                <w:lang w:val="en-GB" w:eastAsia="en-GB"/>
              </w:rPr>
            </w:pPr>
            <w:r w:rsidRPr="00E013D9">
              <w:rPr>
                <w:rFonts w:cs="Arial"/>
                <w:szCs w:val="20"/>
                <w:lang w:val="en-GB" w:eastAsia="en-GB"/>
              </w:rPr>
              <w:t>1</w:t>
            </w:r>
          </w:p>
        </w:tc>
        <w:tc>
          <w:tcPr>
            <w:tcW w:w="1134" w:type="dxa"/>
            <w:shd w:val="clear" w:color="auto" w:fill="auto"/>
          </w:tcPr>
          <w:p w:rsidR="00E013D9" w:rsidRPr="00E013D9" w:rsidRDefault="00E013D9" w:rsidP="00E013D9">
            <w:pPr>
              <w:spacing w:before="0" w:after="0"/>
              <w:jc w:val="center"/>
              <w:rPr>
                <w:rFonts w:cs="Arial"/>
                <w:szCs w:val="20"/>
                <w:lang w:val="en-GB" w:eastAsia="en-GB"/>
              </w:rPr>
            </w:pPr>
            <w:r w:rsidRPr="00E013D9">
              <w:rPr>
                <w:rFonts w:cs="Arial"/>
                <w:color w:val="0000FF"/>
                <w:szCs w:val="20"/>
                <w:lang w:val="en-GB" w:eastAsia="en-GB"/>
              </w:rPr>
              <w:t>1</w:t>
            </w:r>
          </w:p>
        </w:tc>
        <w:tc>
          <w:tcPr>
            <w:tcW w:w="3754" w:type="dxa"/>
            <w:shd w:val="clear" w:color="auto" w:fill="auto"/>
          </w:tcPr>
          <w:p w:rsidR="00E013D9" w:rsidRPr="00E013D9" w:rsidRDefault="00E013D9" w:rsidP="00E013D9">
            <w:pPr>
              <w:spacing w:before="0" w:after="0"/>
              <w:jc w:val="left"/>
              <w:rPr>
                <w:rFonts w:cs="Arial"/>
                <w:i/>
                <w:color w:val="0000FF"/>
                <w:szCs w:val="20"/>
                <w:lang w:val="en-GB" w:eastAsia="en-GB"/>
              </w:rPr>
            </w:pPr>
          </w:p>
        </w:tc>
      </w:tr>
      <w:tr w:rsidR="00E013D9" w:rsidRPr="00E013D9" w:rsidTr="002E783E">
        <w:trPr>
          <w:jc w:val="center"/>
        </w:trPr>
        <w:tc>
          <w:tcPr>
            <w:tcW w:w="2764" w:type="dxa"/>
            <w:gridSpan w:val="2"/>
            <w:shd w:val="clear" w:color="auto" w:fill="auto"/>
          </w:tcPr>
          <w:p w:rsidR="00E013D9" w:rsidRPr="00E013D9" w:rsidRDefault="00E013D9" w:rsidP="00E013D9">
            <w:pPr>
              <w:spacing w:before="100" w:beforeAutospacing="1" w:after="100" w:afterAutospacing="1"/>
              <w:jc w:val="left"/>
              <w:rPr>
                <w:rFonts w:cs="Arial"/>
                <w:szCs w:val="20"/>
                <w:lang w:val="en-GB" w:eastAsia="en-GB"/>
              </w:rPr>
            </w:pPr>
            <w:r w:rsidRPr="00E013D9">
              <w:rPr>
                <w:rFonts w:cs="Arial"/>
                <w:szCs w:val="20"/>
                <w:lang w:val="en-GB" w:eastAsia="en-GB"/>
              </w:rPr>
              <w:t>Depth of research, not too detailed, yet sufficient for purpose</w:t>
            </w:r>
          </w:p>
        </w:tc>
        <w:tc>
          <w:tcPr>
            <w:tcW w:w="1276" w:type="dxa"/>
            <w:shd w:val="clear" w:color="auto" w:fill="auto"/>
          </w:tcPr>
          <w:p w:rsidR="00E013D9" w:rsidRPr="00E013D9" w:rsidRDefault="00E013D9" w:rsidP="00E013D9">
            <w:pPr>
              <w:spacing w:before="0" w:after="0"/>
              <w:jc w:val="center"/>
              <w:rPr>
                <w:rFonts w:cs="Arial"/>
                <w:szCs w:val="20"/>
                <w:lang w:val="en-GB" w:eastAsia="en-GB"/>
              </w:rPr>
            </w:pPr>
            <w:r w:rsidRPr="00E013D9">
              <w:rPr>
                <w:rFonts w:cs="Arial"/>
                <w:szCs w:val="20"/>
                <w:lang w:val="en-GB" w:eastAsia="en-GB"/>
              </w:rPr>
              <w:t>1</w:t>
            </w:r>
          </w:p>
        </w:tc>
        <w:tc>
          <w:tcPr>
            <w:tcW w:w="1134" w:type="dxa"/>
            <w:shd w:val="clear" w:color="auto" w:fill="auto"/>
          </w:tcPr>
          <w:p w:rsidR="00E013D9" w:rsidRPr="00E013D9" w:rsidRDefault="00E013D9" w:rsidP="00E013D9">
            <w:pPr>
              <w:spacing w:before="0" w:after="0"/>
              <w:jc w:val="center"/>
              <w:rPr>
                <w:rFonts w:cs="Arial"/>
                <w:szCs w:val="20"/>
                <w:lang w:val="en-GB" w:eastAsia="en-GB"/>
              </w:rPr>
            </w:pPr>
            <w:r w:rsidRPr="00E013D9">
              <w:rPr>
                <w:rFonts w:cs="Arial"/>
                <w:color w:val="0000FF"/>
                <w:szCs w:val="20"/>
                <w:lang w:val="en-GB" w:eastAsia="en-GB"/>
              </w:rPr>
              <w:t>1</w:t>
            </w:r>
          </w:p>
        </w:tc>
        <w:tc>
          <w:tcPr>
            <w:tcW w:w="3754" w:type="dxa"/>
            <w:shd w:val="clear" w:color="auto" w:fill="auto"/>
          </w:tcPr>
          <w:p w:rsidR="00E013D9" w:rsidRPr="00E013D9" w:rsidRDefault="00E013D9" w:rsidP="00E013D9">
            <w:pPr>
              <w:spacing w:before="0" w:after="0"/>
              <w:jc w:val="left"/>
              <w:rPr>
                <w:rFonts w:cs="Arial"/>
                <w:i/>
                <w:color w:val="0000FF"/>
                <w:szCs w:val="20"/>
                <w:lang w:val="en-GB" w:eastAsia="en-GB"/>
              </w:rPr>
            </w:pPr>
          </w:p>
        </w:tc>
      </w:tr>
      <w:tr w:rsidR="00E013D9" w:rsidRPr="00E013D9" w:rsidTr="002E783E">
        <w:trPr>
          <w:jc w:val="center"/>
        </w:trPr>
        <w:tc>
          <w:tcPr>
            <w:tcW w:w="2764" w:type="dxa"/>
            <w:gridSpan w:val="2"/>
            <w:shd w:val="clear" w:color="auto" w:fill="auto"/>
          </w:tcPr>
          <w:p w:rsidR="00E013D9" w:rsidRPr="00E013D9" w:rsidRDefault="00E013D9" w:rsidP="00E013D9">
            <w:pPr>
              <w:spacing w:before="100" w:beforeAutospacing="1" w:after="100" w:afterAutospacing="1"/>
              <w:jc w:val="left"/>
              <w:rPr>
                <w:rFonts w:cs="Arial"/>
                <w:szCs w:val="20"/>
                <w:lang w:val="en-GB" w:eastAsia="en-GB"/>
              </w:rPr>
            </w:pPr>
            <w:r w:rsidRPr="00E013D9">
              <w:rPr>
                <w:rFonts w:cs="Arial"/>
                <w:szCs w:val="20"/>
                <w:lang w:val="en-GB" w:eastAsia="en-GB"/>
              </w:rPr>
              <w:t>Appropriate presentation of facts.  Clear and readable</w:t>
            </w:r>
          </w:p>
        </w:tc>
        <w:tc>
          <w:tcPr>
            <w:tcW w:w="1276" w:type="dxa"/>
            <w:shd w:val="clear" w:color="auto" w:fill="auto"/>
          </w:tcPr>
          <w:p w:rsidR="00E013D9" w:rsidRPr="00E013D9" w:rsidRDefault="00E013D9" w:rsidP="00E013D9">
            <w:pPr>
              <w:spacing w:before="0" w:after="0"/>
              <w:jc w:val="center"/>
              <w:rPr>
                <w:rFonts w:cs="Arial"/>
                <w:szCs w:val="20"/>
                <w:lang w:val="en-GB" w:eastAsia="en-GB"/>
              </w:rPr>
            </w:pPr>
            <w:r w:rsidRPr="00E013D9">
              <w:rPr>
                <w:rFonts w:cs="Arial"/>
                <w:szCs w:val="20"/>
                <w:lang w:val="en-GB" w:eastAsia="en-GB"/>
              </w:rPr>
              <w:t>1</w:t>
            </w:r>
          </w:p>
        </w:tc>
        <w:tc>
          <w:tcPr>
            <w:tcW w:w="1134" w:type="dxa"/>
            <w:shd w:val="clear" w:color="auto" w:fill="auto"/>
          </w:tcPr>
          <w:p w:rsidR="00E013D9" w:rsidRPr="00E013D9" w:rsidRDefault="00E013D9" w:rsidP="00E013D9">
            <w:pPr>
              <w:spacing w:before="0" w:after="0"/>
              <w:jc w:val="center"/>
              <w:rPr>
                <w:rFonts w:cs="Arial"/>
                <w:szCs w:val="20"/>
                <w:lang w:val="en-GB" w:eastAsia="en-GB"/>
              </w:rPr>
            </w:pPr>
            <w:r w:rsidRPr="00E013D9">
              <w:rPr>
                <w:rFonts w:cs="Arial"/>
                <w:color w:val="0000FF"/>
                <w:szCs w:val="20"/>
                <w:lang w:val="en-GB" w:eastAsia="en-GB"/>
              </w:rPr>
              <w:t>1</w:t>
            </w:r>
          </w:p>
        </w:tc>
        <w:tc>
          <w:tcPr>
            <w:tcW w:w="3754" w:type="dxa"/>
            <w:shd w:val="clear" w:color="auto" w:fill="auto"/>
          </w:tcPr>
          <w:p w:rsidR="00E013D9" w:rsidRPr="00E013D9" w:rsidRDefault="00E013D9" w:rsidP="00E013D9">
            <w:pPr>
              <w:spacing w:before="0" w:after="0"/>
              <w:jc w:val="left"/>
              <w:rPr>
                <w:rFonts w:cs="Arial"/>
                <w:i/>
                <w:color w:val="0000FF"/>
                <w:szCs w:val="20"/>
                <w:lang w:val="en-GB" w:eastAsia="en-GB"/>
              </w:rPr>
            </w:pPr>
          </w:p>
        </w:tc>
      </w:tr>
      <w:tr w:rsidR="00E013D9" w:rsidRPr="00E013D9" w:rsidTr="002E783E">
        <w:trPr>
          <w:jc w:val="center"/>
        </w:trPr>
        <w:tc>
          <w:tcPr>
            <w:tcW w:w="2764" w:type="dxa"/>
            <w:gridSpan w:val="2"/>
            <w:shd w:val="clear" w:color="auto" w:fill="auto"/>
          </w:tcPr>
          <w:p w:rsidR="00E013D9" w:rsidRPr="00E013D9" w:rsidRDefault="00E013D9" w:rsidP="00E013D9">
            <w:pPr>
              <w:spacing w:before="100" w:beforeAutospacing="1" w:after="100" w:afterAutospacing="1"/>
              <w:jc w:val="left"/>
              <w:rPr>
                <w:rFonts w:cs="Arial"/>
                <w:sz w:val="22"/>
                <w:szCs w:val="22"/>
                <w:lang w:val="en-GB" w:eastAsia="en-GB"/>
              </w:rPr>
            </w:pPr>
            <w:r w:rsidRPr="00E013D9">
              <w:rPr>
                <w:rFonts w:cs="Arial"/>
                <w:sz w:val="22"/>
                <w:szCs w:val="22"/>
                <w:lang w:val="en-GB" w:eastAsia="en-GB"/>
              </w:rPr>
              <w:t>Conclusion (shared)</w:t>
            </w:r>
          </w:p>
        </w:tc>
        <w:tc>
          <w:tcPr>
            <w:tcW w:w="1276" w:type="dxa"/>
            <w:shd w:val="clear" w:color="auto" w:fill="auto"/>
          </w:tcPr>
          <w:p w:rsidR="00E013D9" w:rsidRPr="00E013D9" w:rsidRDefault="00E013D9" w:rsidP="00E013D9">
            <w:pPr>
              <w:spacing w:before="0" w:after="0"/>
              <w:jc w:val="center"/>
              <w:rPr>
                <w:rFonts w:cs="Arial"/>
                <w:sz w:val="22"/>
                <w:szCs w:val="22"/>
                <w:lang w:val="en-GB" w:eastAsia="en-GB"/>
              </w:rPr>
            </w:pPr>
            <w:r w:rsidRPr="00E013D9">
              <w:rPr>
                <w:rFonts w:cs="Arial"/>
                <w:sz w:val="22"/>
                <w:szCs w:val="22"/>
                <w:lang w:val="en-GB" w:eastAsia="en-GB"/>
              </w:rPr>
              <w:t>2</w:t>
            </w:r>
          </w:p>
        </w:tc>
        <w:tc>
          <w:tcPr>
            <w:tcW w:w="1134" w:type="dxa"/>
            <w:shd w:val="clear" w:color="auto" w:fill="auto"/>
          </w:tcPr>
          <w:p w:rsidR="00E013D9" w:rsidRPr="00E013D9" w:rsidRDefault="00E013D9" w:rsidP="00E013D9">
            <w:pPr>
              <w:spacing w:before="0" w:after="0"/>
              <w:jc w:val="center"/>
              <w:rPr>
                <w:rFonts w:ascii="Times New Roman" w:hAnsi="Times New Roman"/>
                <w:sz w:val="24"/>
                <w:lang w:val="en-GB" w:eastAsia="en-GB"/>
              </w:rPr>
            </w:pPr>
            <w:r w:rsidRPr="00E013D9">
              <w:rPr>
                <w:rFonts w:cs="Arial"/>
                <w:color w:val="0000FF"/>
                <w:sz w:val="22"/>
                <w:szCs w:val="22"/>
                <w:lang w:val="en-GB" w:eastAsia="en-GB"/>
              </w:rPr>
              <w:t>2</w:t>
            </w:r>
          </w:p>
        </w:tc>
        <w:tc>
          <w:tcPr>
            <w:tcW w:w="3754" w:type="dxa"/>
            <w:shd w:val="clear" w:color="auto" w:fill="auto"/>
          </w:tcPr>
          <w:p w:rsidR="00E013D9" w:rsidRPr="00E013D9" w:rsidRDefault="00E013D9" w:rsidP="00E013D9">
            <w:pPr>
              <w:spacing w:before="0" w:after="0"/>
              <w:jc w:val="left"/>
              <w:rPr>
                <w:rFonts w:cs="Arial"/>
                <w:i/>
                <w:color w:val="0000FF"/>
                <w:sz w:val="22"/>
                <w:szCs w:val="22"/>
                <w:lang w:val="en-GB" w:eastAsia="en-GB"/>
              </w:rPr>
            </w:pPr>
          </w:p>
        </w:tc>
      </w:tr>
      <w:tr w:rsidR="00E013D9" w:rsidRPr="00E013D9" w:rsidTr="002E783E">
        <w:trPr>
          <w:jc w:val="center"/>
        </w:trPr>
        <w:tc>
          <w:tcPr>
            <w:tcW w:w="2764" w:type="dxa"/>
            <w:gridSpan w:val="2"/>
            <w:shd w:val="clear" w:color="auto" w:fill="auto"/>
          </w:tcPr>
          <w:p w:rsidR="00E013D9" w:rsidRPr="00E013D9" w:rsidRDefault="00E013D9" w:rsidP="00E013D9">
            <w:pPr>
              <w:spacing w:before="100" w:beforeAutospacing="1" w:after="100" w:afterAutospacing="1"/>
              <w:jc w:val="left"/>
              <w:rPr>
                <w:rFonts w:cs="Arial"/>
                <w:sz w:val="22"/>
                <w:szCs w:val="22"/>
                <w:lang w:val="en-GB" w:eastAsia="en-GB"/>
              </w:rPr>
            </w:pPr>
            <w:r w:rsidRPr="00E013D9">
              <w:rPr>
                <w:rFonts w:cs="Arial"/>
                <w:sz w:val="22"/>
                <w:szCs w:val="22"/>
                <w:lang w:val="en-GB" w:eastAsia="en-GB"/>
              </w:rPr>
              <w:t>Maps, illustrations</w:t>
            </w:r>
          </w:p>
        </w:tc>
        <w:tc>
          <w:tcPr>
            <w:tcW w:w="1276" w:type="dxa"/>
            <w:shd w:val="clear" w:color="auto" w:fill="auto"/>
          </w:tcPr>
          <w:p w:rsidR="00E013D9" w:rsidRPr="00E013D9" w:rsidRDefault="00E013D9" w:rsidP="00E013D9">
            <w:pPr>
              <w:spacing w:before="0" w:after="0"/>
              <w:jc w:val="center"/>
              <w:rPr>
                <w:rFonts w:cs="Arial"/>
                <w:sz w:val="22"/>
                <w:szCs w:val="22"/>
                <w:lang w:val="en-GB" w:eastAsia="en-GB"/>
              </w:rPr>
            </w:pPr>
            <w:r w:rsidRPr="00E013D9">
              <w:rPr>
                <w:rFonts w:cs="Arial"/>
                <w:sz w:val="22"/>
                <w:szCs w:val="22"/>
                <w:lang w:val="en-GB" w:eastAsia="en-GB"/>
              </w:rPr>
              <w:t>1</w:t>
            </w:r>
          </w:p>
        </w:tc>
        <w:tc>
          <w:tcPr>
            <w:tcW w:w="1134" w:type="dxa"/>
            <w:shd w:val="clear" w:color="auto" w:fill="auto"/>
          </w:tcPr>
          <w:p w:rsidR="00E013D9" w:rsidRPr="00E013D9" w:rsidRDefault="00E013D9" w:rsidP="00E013D9">
            <w:pPr>
              <w:spacing w:before="0" w:after="0"/>
              <w:jc w:val="center"/>
              <w:rPr>
                <w:rFonts w:ascii="Times New Roman" w:hAnsi="Times New Roman"/>
                <w:color w:val="3366FF"/>
                <w:sz w:val="24"/>
                <w:lang w:val="en-GB" w:eastAsia="en-GB"/>
              </w:rPr>
            </w:pPr>
            <w:r w:rsidRPr="00E013D9">
              <w:rPr>
                <w:rFonts w:ascii="Times New Roman" w:hAnsi="Times New Roman"/>
                <w:color w:val="3366FF"/>
                <w:sz w:val="24"/>
                <w:lang w:val="en-GB" w:eastAsia="en-GB"/>
              </w:rPr>
              <w:t>1</w:t>
            </w:r>
          </w:p>
        </w:tc>
        <w:tc>
          <w:tcPr>
            <w:tcW w:w="3754" w:type="dxa"/>
            <w:shd w:val="clear" w:color="auto" w:fill="auto"/>
          </w:tcPr>
          <w:p w:rsidR="00E013D9" w:rsidRPr="00E013D9" w:rsidRDefault="00E013D9" w:rsidP="00E013D9">
            <w:pPr>
              <w:spacing w:before="0" w:after="0"/>
              <w:jc w:val="left"/>
              <w:rPr>
                <w:rFonts w:cs="Arial"/>
                <w:i/>
                <w:color w:val="3366FF"/>
                <w:sz w:val="22"/>
                <w:szCs w:val="22"/>
                <w:lang w:val="en-GB" w:eastAsia="en-GB"/>
              </w:rPr>
            </w:pPr>
          </w:p>
        </w:tc>
      </w:tr>
      <w:tr w:rsidR="00E013D9" w:rsidRPr="00E013D9" w:rsidTr="002E783E">
        <w:trPr>
          <w:jc w:val="center"/>
        </w:trPr>
        <w:tc>
          <w:tcPr>
            <w:tcW w:w="2764" w:type="dxa"/>
            <w:gridSpan w:val="2"/>
            <w:shd w:val="clear" w:color="auto" w:fill="auto"/>
          </w:tcPr>
          <w:p w:rsidR="00E013D9" w:rsidRPr="00E013D9" w:rsidRDefault="00E013D9" w:rsidP="00E013D9">
            <w:pPr>
              <w:spacing w:before="100" w:beforeAutospacing="1" w:after="100" w:afterAutospacing="1"/>
              <w:jc w:val="left"/>
              <w:rPr>
                <w:rFonts w:cs="Arial"/>
                <w:sz w:val="22"/>
                <w:szCs w:val="22"/>
                <w:lang w:val="en-GB" w:eastAsia="en-GB"/>
              </w:rPr>
            </w:pPr>
            <w:r w:rsidRPr="00E013D9">
              <w:rPr>
                <w:rFonts w:cs="Arial"/>
                <w:sz w:val="22"/>
                <w:szCs w:val="22"/>
                <w:lang w:val="en-GB" w:eastAsia="en-GB"/>
              </w:rPr>
              <w:t>Tables</w:t>
            </w:r>
          </w:p>
        </w:tc>
        <w:tc>
          <w:tcPr>
            <w:tcW w:w="1276" w:type="dxa"/>
            <w:shd w:val="clear" w:color="auto" w:fill="auto"/>
          </w:tcPr>
          <w:p w:rsidR="00E013D9" w:rsidRPr="00E013D9" w:rsidRDefault="00E013D9" w:rsidP="00E013D9">
            <w:pPr>
              <w:spacing w:before="0" w:after="0"/>
              <w:jc w:val="center"/>
              <w:rPr>
                <w:rFonts w:cs="Arial"/>
                <w:sz w:val="22"/>
                <w:szCs w:val="22"/>
                <w:lang w:val="en-GB" w:eastAsia="en-GB"/>
              </w:rPr>
            </w:pPr>
            <w:r w:rsidRPr="00E013D9">
              <w:rPr>
                <w:rFonts w:cs="Arial"/>
                <w:sz w:val="22"/>
                <w:szCs w:val="22"/>
                <w:lang w:val="en-GB" w:eastAsia="en-GB"/>
              </w:rPr>
              <w:t>1</w:t>
            </w:r>
          </w:p>
        </w:tc>
        <w:tc>
          <w:tcPr>
            <w:tcW w:w="1134" w:type="dxa"/>
            <w:shd w:val="clear" w:color="auto" w:fill="auto"/>
          </w:tcPr>
          <w:p w:rsidR="00E013D9" w:rsidRPr="00E013D9" w:rsidRDefault="00E013D9" w:rsidP="00E013D9">
            <w:pPr>
              <w:spacing w:before="0" w:after="0"/>
              <w:jc w:val="center"/>
              <w:rPr>
                <w:rFonts w:cs="Arial"/>
                <w:color w:val="0000FF"/>
                <w:sz w:val="22"/>
                <w:szCs w:val="22"/>
                <w:lang w:val="en-GB" w:eastAsia="en-GB"/>
              </w:rPr>
            </w:pPr>
            <w:r w:rsidRPr="00E013D9">
              <w:rPr>
                <w:rFonts w:cs="Arial"/>
                <w:color w:val="0000FF"/>
                <w:sz w:val="22"/>
                <w:szCs w:val="22"/>
                <w:lang w:val="en-GB" w:eastAsia="en-GB"/>
              </w:rPr>
              <w:t>6</w:t>
            </w:r>
          </w:p>
        </w:tc>
        <w:tc>
          <w:tcPr>
            <w:tcW w:w="3754" w:type="dxa"/>
            <w:shd w:val="clear" w:color="auto" w:fill="auto"/>
          </w:tcPr>
          <w:p w:rsidR="00E013D9" w:rsidRPr="00E013D9" w:rsidRDefault="00E013D9" w:rsidP="00E013D9">
            <w:pPr>
              <w:spacing w:before="0" w:after="0"/>
              <w:jc w:val="left"/>
              <w:rPr>
                <w:rFonts w:cs="Arial"/>
                <w:i/>
                <w:color w:val="3366FF"/>
                <w:sz w:val="22"/>
                <w:szCs w:val="22"/>
                <w:lang w:val="en-GB" w:eastAsia="en-GB"/>
              </w:rPr>
            </w:pPr>
          </w:p>
        </w:tc>
      </w:tr>
      <w:tr w:rsidR="00E013D9" w:rsidRPr="00E013D9" w:rsidTr="002E783E">
        <w:trPr>
          <w:jc w:val="center"/>
        </w:trPr>
        <w:tc>
          <w:tcPr>
            <w:tcW w:w="2764" w:type="dxa"/>
            <w:gridSpan w:val="2"/>
            <w:shd w:val="clear" w:color="auto" w:fill="auto"/>
          </w:tcPr>
          <w:p w:rsidR="00E013D9" w:rsidRPr="00E013D9" w:rsidRDefault="00E013D9" w:rsidP="00E013D9">
            <w:pPr>
              <w:spacing w:before="100" w:beforeAutospacing="1" w:after="100" w:afterAutospacing="1"/>
              <w:jc w:val="left"/>
              <w:rPr>
                <w:rFonts w:cs="Arial"/>
                <w:sz w:val="22"/>
                <w:szCs w:val="22"/>
                <w:lang w:val="en-GB" w:eastAsia="en-GB"/>
              </w:rPr>
            </w:pPr>
            <w:r w:rsidRPr="00E013D9">
              <w:rPr>
                <w:rFonts w:cs="Arial"/>
                <w:sz w:val="22"/>
                <w:szCs w:val="22"/>
                <w:lang w:val="en-GB" w:eastAsia="en-GB"/>
              </w:rPr>
              <w:t>Other</w:t>
            </w:r>
          </w:p>
        </w:tc>
        <w:tc>
          <w:tcPr>
            <w:tcW w:w="1276" w:type="dxa"/>
            <w:shd w:val="clear" w:color="auto" w:fill="auto"/>
          </w:tcPr>
          <w:p w:rsidR="00E013D9" w:rsidRPr="00E013D9" w:rsidRDefault="00E013D9" w:rsidP="00E013D9">
            <w:pPr>
              <w:spacing w:before="0" w:after="0"/>
              <w:jc w:val="center"/>
              <w:rPr>
                <w:rFonts w:cs="Arial"/>
                <w:sz w:val="22"/>
                <w:szCs w:val="22"/>
                <w:lang w:val="en-GB" w:eastAsia="en-GB"/>
              </w:rPr>
            </w:pPr>
            <w:r w:rsidRPr="00E013D9">
              <w:rPr>
                <w:rFonts w:cs="Arial"/>
                <w:sz w:val="22"/>
                <w:szCs w:val="22"/>
                <w:lang w:val="en-GB" w:eastAsia="en-GB"/>
              </w:rPr>
              <w:t>2</w:t>
            </w:r>
          </w:p>
        </w:tc>
        <w:tc>
          <w:tcPr>
            <w:tcW w:w="1134" w:type="dxa"/>
            <w:shd w:val="clear" w:color="auto" w:fill="auto"/>
          </w:tcPr>
          <w:p w:rsidR="00E013D9" w:rsidRPr="00E013D9" w:rsidRDefault="00E013D9" w:rsidP="00E013D9">
            <w:pPr>
              <w:spacing w:before="0" w:after="0"/>
              <w:jc w:val="center"/>
              <w:rPr>
                <w:rFonts w:ascii="Times New Roman" w:hAnsi="Times New Roman"/>
                <w:sz w:val="24"/>
                <w:lang w:val="en-GB" w:eastAsia="en-GB"/>
              </w:rPr>
            </w:pPr>
            <w:r w:rsidRPr="00E013D9">
              <w:rPr>
                <w:rFonts w:cs="Arial"/>
                <w:color w:val="0000FF"/>
                <w:sz w:val="22"/>
                <w:szCs w:val="22"/>
                <w:lang w:val="en-GB" w:eastAsia="en-GB"/>
              </w:rPr>
              <w:t>2</w:t>
            </w:r>
          </w:p>
        </w:tc>
        <w:tc>
          <w:tcPr>
            <w:tcW w:w="3754" w:type="dxa"/>
            <w:shd w:val="clear" w:color="auto" w:fill="auto"/>
          </w:tcPr>
          <w:p w:rsidR="00E013D9" w:rsidRPr="00E013D9" w:rsidRDefault="00E013D9" w:rsidP="00E013D9">
            <w:pPr>
              <w:spacing w:before="0" w:after="0"/>
              <w:jc w:val="left"/>
              <w:rPr>
                <w:rFonts w:cs="Arial"/>
                <w:i/>
                <w:color w:val="3366FF"/>
                <w:sz w:val="22"/>
                <w:szCs w:val="22"/>
                <w:lang w:val="en-GB" w:eastAsia="en-GB"/>
              </w:rPr>
            </w:pPr>
          </w:p>
        </w:tc>
      </w:tr>
      <w:tr w:rsidR="00E013D9" w:rsidRPr="00E013D9" w:rsidTr="002E783E">
        <w:trPr>
          <w:jc w:val="center"/>
        </w:trPr>
        <w:tc>
          <w:tcPr>
            <w:tcW w:w="2764" w:type="dxa"/>
            <w:gridSpan w:val="2"/>
            <w:shd w:val="clear" w:color="auto" w:fill="auto"/>
          </w:tcPr>
          <w:p w:rsidR="00E013D9" w:rsidRPr="00E013D9" w:rsidRDefault="00E013D9" w:rsidP="00E013D9">
            <w:pPr>
              <w:spacing w:before="100" w:beforeAutospacing="1" w:after="100" w:afterAutospacing="1"/>
              <w:jc w:val="left"/>
              <w:rPr>
                <w:rFonts w:cs="Arial"/>
                <w:sz w:val="22"/>
                <w:szCs w:val="22"/>
                <w:lang w:val="en-GB" w:eastAsia="en-GB"/>
              </w:rPr>
            </w:pPr>
            <w:r w:rsidRPr="00E013D9">
              <w:rPr>
                <w:rFonts w:cs="Arial"/>
                <w:b/>
                <w:sz w:val="22"/>
                <w:szCs w:val="22"/>
                <w:lang w:val="en-GB" w:eastAsia="en-GB"/>
              </w:rPr>
              <w:t xml:space="preserve">TOTAL </w:t>
            </w:r>
          </w:p>
        </w:tc>
        <w:tc>
          <w:tcPr>
            <w:tcW w:w="1276" w:type="dxa"/>
            <w:shd w:val="clear" w:color="auto" w:fill="auto"/>
          </w:tcPr>
          <w:p w:rsidR="00E013D9" w:rsidRPr="00E013D9" w:rsidRDefault="00E013D9" w:rsidP="00E013D9">
            <w:pPr>
              <w:spacing w:before="0" w:after="0"/>
              <w:jc w:val="center"/>
              <w:rPr>
                <w:rFonts w:cs="Arial"/>
                <w:sz w:val="22"/>
                <w:szCs w:val="22"/>
                <w:lang w:val="en-GB" w:eastAsia="en-GB"/>
              </w:rPr>
            </w:pPr>
            <w:r w:rsidRPr="00E013D9">
              <w:rPr>
                <w:rFonts w:cs="Arial"/>
                <w:sz w:val="22"/>
                <w:szCs w:val="22"/>
                <w:lang w:val="en-GB" w:eastAsia="en-GB"/>
              </w:rPr>
              <w:fldChar w:fldCharType="begin"/>
            </w:r>
            <w:r w:rsidRPr="00E013D9">
              <w:rPr>
                <w:rFonts w:cs="Arial"/>
                <w:sz w:val="22"/>
                <w:szCs w:val="22"/>
                <w:lang w:val="en-GB" w:eastAsia="en-GB"/>
              </w:rPr>
              <w:instrText xml:space="preserve"> =SUM(ABOVE) </w:instrText>
            </w:r>
            <w:r w:rsidRPr="00E013D9">
              <w:rPr>
                <w:rFonts w:cs="Arial"/>
                <w:sz w:val="22"/>
                <w:szCs w:val="22"/>
                <w:lang w:val="en-GB" w:eastAsia="en-GB"/>
              </w:rPr>
              <w:fldChar w:fldCharType="separate"/>
            </w:r>
            <w:r w:rsidRPr="00E013D9">
              <w:rPr>
                <w:rFonts w:cs="Arial"/>
                <w:noProof/>
                <w:sz w:val="22"/>
                <w:szCs w:val="22"/>
                <w:lang w:val="en-GB" w:eastAsia="en-GB"/>
              </w:rPr>
              <w:t>10</w:t>
            </w:r>
            <w:r w:rsidRPr="00E013D9">
              <w:rPr>
                <w:rFonts w:cs="Arial"/>
                <w:sz w:val="22"/>
                <w:szCs w:val="22"/>
                <w:lang w:val="en-GB" w:eastAsia="en-GB"/>
              </w:rPr>
              <w:fldChar w:fldCharType="end"/>
            </w:r>
          </w:p>
        </w:tc>
        <w:tc>
          <w:tcPr>
            <w:tcW w:w="1134" w:type="dxa"/>
            <w:shd w:val="clear" w:color="auto" w:fill="auto"/>
          </w:tcPr>
          <w:p w:rsidR="00E013D9" w:rsidRPr="00E013D9" w:rsidRDefault="00E013D9" w:rsidP="00E013D9">
            <w:pPr>
              <w:spacing w:before="0" w:after="0"/>
              <w:jc w:val="center"/>
              <w:rPr>
                <w:rFonts w:cs="Arial"/>
                <w:color w:val="0000FF"/>
                <w:sz w:val="22"/>
                <w:szCs w:val="22"/>
                <w:lang w:val="en-GB" w:eastAsia="en-GB"/>
              </w:rPr>
            </w:pPr>
            <w:r w:rsidRPr="00E013D9">
              <w:rPr>
                <w:rFonts w:cs="Arial"/>
                <w:color w:val="0000FF"/>
                <w:sz w:val="22"/>
                <w:szCs w:val="22"/>
                <w:highlight w:val="lightGray"/>
                <w:lang w:val="en-GB" w:eastAsia="en-GB"/>
              </w:rPr>
              <w:fldChar w:fldCharType="begin"/>
            </w:r>
            <w:r w:rsidRPr="00E013D9">
              <w:rPr>
                <w:rFonts w:cs="Arial"/>
                <w:color w:val="0000FF"/>
                <w:sz w:val="22"/>
                <w:szCs w:val="22"/>
                <w:highlight w:val="lightGray"/>
                <w:lang w:val="en-GB" w:eastAsia="en-GB"/>
              </w:rPr>
              <w:instrText xml:space="preserve"> =SUM(ABOVE) </w:instrText>
            </w:r>
            <w:r w:rsidRPr="00E013D9">
              <w:rPr>
                <w:rFonts w:cs="Arial"/>
                <w:color w:val="0000FF"/>
                <w:sz w:val="22"/>
                <w:szCs w:val="22"/>
                <w:highlight w:val="lightGray"/>
                <w:lang w:val="en-GB" w:eastAsia="en-GB"/>
              </w:rPr>
              <w:fldChar w:fldCharType="separate"/>
            </w:r>
            <w:r w:rsidRPr="00E013D9">
              <w:rPr>
                <w:rFonts w:cs="Arial"/>
                <w:noProof/>
                <w:color w:val="0000FF"/>
                <w:sz w:val="22"/>
                <w:szCs w:val="22"/>
                <w:highlight w:val="lightGray"/>
                <w:lang w:val="en-GB" w:eastAsia="en-GB"/>
              </w:rPr>
              <w:t>10</w:t>
            </w:r>
            <w:r w:rsidRPr="00E013D9">
              <w:rPr>
                <w:rFonts w:cs="Arial"/>
                <w:color w:val="0000FF"/>
                <w:sz w:val="22"/>
                <w:szCs w:val="22"/>
                <w:highlight w:val="lightGray"/>
                <w:lang w:val="en-GB" w:eastAsia="en-GB"/>
              </w:rPr>
              <w:fldChar w:fldCharType="end"/>
            </w:r>
          </w:p>
        </w:tc>
        <w:tc>
          <w:tcPr>
            <w:tcW w:w="3754" w:type="dxa"/>
            <w:shd w:val="clear" w:color="auto" w:fill="auto"/>
          </w:tcPr>
          <w:p w:rsidR="00E013D9" w:rsidRPr="00E013D9" w:rsidRDefault="00E013D9" w:rsidP="00E013D9">
            <w:pPr>
              <w:spacing w:before="0" w:after="0"/>
              <w:jc w:val="left"/>
              <w:rPr>
                <w:rFonts w:cs="Arial"/>
                <w:i/>
                <w:color w:val="3366FF"/>
                <w:sz w:val="22"/>
                <w:szCs w:val="22"/>
                <w:lang w:val="en-GB" w:eastAsia="en-GB"/>
              </w:rPr>
            </w:pPr>
          </w:p>
        </w:tc>
      </w:tr>
      <w:tr w:rsidR="00E013D9" w:rsidRPr="00E013D9" w:rsidTr="00E013D9">
        <w:trPr>
          <w:jc w:val="center"/>
        </w:trPr>
        <w:tc>
          <w:tcPr>
            <w:tcW w:w="8928" w:type="dxa"/>
            <w:gridSpan w:val="5"/>
            <w:shd w:val="clear" w:color="auto" w:fill="auto"/>
          </w:tcPr>
          <w:p w:rsidR="00E013D9" w:rsidRPr="00E013D9" w:rsidRDefault="002E783E" w:rsidP="00E013D9">
            <w:pPr>
              <w:spacing w:before="0" w:after="0"/>
              <w:jc w:val="left"/>
              <w:rPr>
                <w:rFonts w:cs="Arial"/>
                <w:b/>
                <w:i/>
                <w:sz w:val="22"/>
                <w:szCs w:val="22"/>
                <w:lang w:val="en-GB" w:eastAsia="en-GB"/>
              </w:rPr>
            </w:pPr>
            <w:r>
              <w:rPr>
                <w:rFonts w:cs="Arial"/>
                <w:b/>
                <w:i/>
                <w:sz w:val="22"/>
                <w:szCs w:val="22"/>
                <w:lang w:val="en-GB" w:eastAsia="en-GB"/>
              </w:rPr>
              <w:t xml:space="preserve">General </w:t>
            </w:r>
            <w:r w:rsidR="00E013D9" w:rsidRPr="00E013D9">
              <w:rPr>
                <w:rFonts w:cs="Arial"/>
                <w:b/>
                <w:i/>
                <w:sz w:val="22"/>
                <w:szCs w:val="22"/>
                <w:lang w:val="en-GB" w:eastAsia="en-GB"/>
              </w:rPr>
              <w:t xml:space="preserve">Comments: </w:t>
            </w:r>
          </w:p>
          <w:p w:rsidR="00E013D9" w:rsidRPr="00E013D9" w:rsidRDefault="00E013D9" w:rsidP="00E013D9">
            <w:pPr>
              <w:spacing w:before="0" w:after="0"/>
              <w:jc w:val="left"/>
              <w:rPr>
                <w:rFonts w:cs="Arial"/>
                <w:i/>
                <w:color w:val="3366FF"/>
                <w:sz w:val="22"/>
                <w:szCs w:val="22"/>
                <w:highlight w:val="lightGray"/>
                <w:lang w:val="en-GB" w:eastAsia="en-GB"/>
              </w:rPr>
            </w:pPr>
          </w:p>
        </w:tc>
      </w:tr>
    </w:tbl>
    <w:p w:rsidR="00E013D9" w:rsidRDefault="003A4B43" w:rsidP="003A4B43">
      <w:pPr>
        <w:spacing w:before="100" w:beforeAutospacing="1" w:after="100" w:afterAutospacing="1"/>
        <w:jc w:val="center"/>
        <w:rPr>
          <w:rFonts w:cs="Arial"/>
          <w:sz w:val="24"/>
          <w:lang w:val="en-GB" w:eastAsia="en-GB"/>
        </w:rPr>
      </w:pPr>
      <w:r>
        <w:rPr>
          <w:rFonts w:cs="Arial"/>
          <w:sz w:val="24"/>
          <w:lang w:val="en-GB" w:eastAsia="en-GB"/>
        </w:rPr>
        <w:t>Rubric sheet for marking the assignment.</w:t>
      </w:r>
      <w:r w:rsidR="00AB375B">
        <w:rPr>
          <w:rFonts w:cs="Arial"/>
          <w:sz w:val="24"/>
          <w:lang w:val="en-GB" w:eastAsia="en-GB"/>
        </w:rPr>
        <w:t xml:space="preserve">  Tutors can comment on individual components of the assessment.  Students can clearly see where marks have been gained or lost.</w:t>
      </w:r>
    </w:p>
    <w:p w:rsidR="00036AB3" w:rsidRPr="00036AB3" w:rsidRDefault="00036AB3" w:rsidP="00E013D9">
      <w:pPr>
        <w:spacing w:before="100" w:beforeAutospacing="1" w:after="100" w:afterAutospacing="1"/>
        <w:jc w:val="left"/>
        <w:rPr>
          <w:rFonts w:cs="Arial"/>
          <w:sz w:val="24"/>
          <w:lang w:val="en-GB" w:eastAsia="en-US"/>
        </w:rPr>
      </w:pPr>
    </w:p>
    <w:p w:rsidR="00B55A17" w:rsidRPr="00705478" w:rsidRDefault="001B7620" w:rsidP="001B7620">
      <w:pPr>
        <w:pStyle w:val="Heading2"/>
        <w:rPr>
          <w:lang w:val="en-GB"/>
        </w:rPr>
      </w:pPr>
      <w:r>
        <w:rPr>
          <w:lang w:val="en-GB"/>
        </w:rPr>
        <w:lastRenderedPageBreak/>
        <w:t xml:space="preserve">Masters’ </w:t>
      </w:r>
      <w:r w:rsidR="00AB375B">
        <w:rPr>
          <w:lang w:val="en-GB"/>
        </w:rPr>
        <w:t>Student</w:t>
      </w:r>
      <w:r>
        <w:rPr>
          <w:lang w:val="en-GB"/>
        </w:rPr>
        <w:t>s’</w:t>
      </w:r>
      <w:r w:rsidR="00AB375B">
        <w:rPr>
          <w:lang w:val="en-GB"/>
        </w:rPr>
        <w:t xml:space="preserve"> </w:t>
      </w:r>
      <w:r>
        <w:rPr>
          <w:lang w:val="en-GB"/>
        </w:rPr>
        <w:t>R</w:t>
      </w:r>
      <w:r w:rsidR="00AB375B">
        <w:rPr>
          <w:lang w:val="en-GB"/>
        </w:rPr>
        <w:t>esponse to Collaborative Group Work</w:t>
      </w:r>
    </w:p>
    <w:p w:rsidR="00B55A17" w:rsidRDefault="00AB375B" w:rsidP="00B55A17">
      <w:pPr>
        <w:rPr>
          <w:lang w:val="en-GB"/>
        </w:rPr>
      </w:pPr>
      <w:r>
        <w:rPr>
          <w:lang w:val="en-GB"/>
        </w:rPr>
        <w:t>Students overwhelmingly like the collaborative group work.  They appreciate that although working collaboratively, they are marked on their own efforts. There are no “free riders” or marks dragged down by other students</w:t>
      </w:r>
      <w:r w:rsidR="001B7620">
        <w:rPr>
          <w:lang w:val="en-GB"/>
        </w:rPr>
        <w:t>’</w:t>
      </w:r>
      <w:r>
        <w:rPr>
          <w:lang w:val="en-GB"/>
        </w:rPr>
        <w:t xml:space="preserve"> efforts.</w:t>
      </w:r>
    </w:p>
    <w:p w:rsidR="00AB375B" w:rsidRDefault="00AB375B" w:rsidP="00B55A17">
      <w:pPr>
        <w:rPr>
          <w:lang w:val="en-GB"/>
        </w:rPr>
      </w:pPr>
      <w:r>
        <w:rPr>
          <w:lang w:val="en-GB"/>
        </w:rPr>
        <w:t>As distance learners, they appreciate being compelled to work in small groups with other students.</w:t>
      </w:r>
    </w:p>
    <w:p w:rsidR="003575F0" w:rsidRPr="00705478" w:rsidRDefault="003575F0" w:rsidP="00B55A17">
      <w:pPr>
        <w:rPr>
          <w:lang w:val="en-GB"/>
        </w:rPr>
      </w:pPr>
      <w:r>
        <w:rPr>
          <w:lang w:val="en-GB"/>
        </w:rPr>
        <w:t>Marks for the group work are consistently high.  The rare failures only arise through non-submission by the student.</w:t>
      </w:r>
    </w:p>
    <w:p w:rsidR="003575F0" w:rsidRPr="00705478" w:rsidRDefault="003575F0" w:rsidP="003575F0">
      <w:pPr>
        <w:pStyle w:val="Heading1"/>
        <w:rPr>
          <w:lang w:val="en-GB"/>
        </w:rPr>
      </w:pPr>
      <w:r>
        <w:rPr>
          <w:lang w:val="en-GB"/>
        </w:rPr>
        <w:t>Group work on face to face undergraduate Level 5 Programme</w:t>
      </w:r>
    </w:p>
    <w:p w:rsidR="006C5CAE" w:rsidRDefault="006C5CAE" w:rsidP="006C5CAE">
      <w:pPr>
        <w:pStyle w:val="Heading2"/>
        <w:numPr>
          <w:ilvl w:val="0"/>
          <w:numId w:val="0"/>
        </w:numPr>
        <w:rPr>
          <w:b w:val="0"/>
          <w:sz w:val="20"/>
          <w:szCs w:val="20"/>
          <w:lang w:val="en-GB"/>
        </w:rPr>
      </w:pPr>
      <w:r>
        <w:rPr>
          <w:b w:val="0"/>
          <w:sz w:val="20"/>
          <w:szCs w:val="20"/>
          <w:lang w:val="en-GB"/>
        </w:rPr>
        <w:t xml:space="preserve">Students on </w:t>
      </w:r>
      <w:r w:rsidR="008B5A72" w:rsidRPr="006C5CAE">
        <w:rPr>
          <w:b w:val="0"/>
          <w:sz w:val="20"/>
          <w:szCs w:val="20"/>
          <w:lang w:val="en-GB"/>
        </w:rPr>
        <w:t xml:space="preserve">the module “Planning &amp; Property Development” Level 5 </w:t>
      </w:r>
      <w:r>
        <w:rPr>
          <w:b w:val="0"/>
          <w:sz w:val="20"/>
          <w:szCs w:val="20"/>
          <w:lang w:val="en-GB"/>
        </w:rPr>
        <w:t>BS</w:t>
      </w:r>
      <w:r w:rsidRPr="006C5CAE">
        <w:rPr>
          <w:b w:val="0"/>
          <w:sz w:val="20"/>
          <w:szCs w:val="20"/>
          <w:lang w:val="en-GB"/>
        </w:rPr>
        <w:t xml:space="preserve">c </w:t>
      </w:r>
      <w:r w:rsidR="008B5A72" w:rsidRPr="006C5CAE">
        <w:rPr>
          <w:b w:val="0"/>
          <w:sz w:val="20"/>
          <w:szCs w:val="20"/>
          <w:lang w:val="en-GB"/>
        </w:rPr>
        <w:t>(Hons) Building Surveying</w:t>
      </w:r>
      <w:r>
        <w:rPr>
          <w:b w:val="0"/>
          <w:sz w:val="20"/>
          <w:szCs w:val="20"/>
          <w:lang w:val="en-GB"/>
        </w:rPr>
        <w:t xml:space="preserve"> have been assessed on a group project for many years.  Due to dissatisfaction with group work, it was decided to try the same approach to group work on the Level 5 Undergraduate module as on the Masters’ Distance Learning module; i.e. a collaborative project with each student creating, and being assessed on, one part of the project, again using a wiki.  The students were given the following brief.  The site is an actual site in the city.  They</w:t>
      </w:r>
      <w:r w:rsidR="00C6439C">
        <w:rPr>
          <w:b w:val="0"/>
          <w:sz w:val="20"/>
          <w:szCs w:val="20"/>
          <w:lang w:val="en-GB"/>
        </w:rPr>
        <w:t xml:space="preserve"> </w:t>
      </w:r>
      <w:r>
        <w:rPr>
          <w:b w:val="0"/>
          <w:sz w:val="20"/>
          <w:szCs w:val="20"/>
          <w:lang w:val="en-GB"/>
        </w:rPr>
        <w:t xml:space="preserve">are given site plans, and taken to examine the site, and the surrounding areas. </w:t>
      </w:r>
    </w:p>
    <w:p w:rsidR="006C5CAE" w:rsidRPr="006C5CAE" w:rsidRDefault="006C5CAE" w:rsidP="006C5CAE">
      <w:pPr>
        <w:pStyle w:val="Heading2"/>
        <w:rPr>
          <w:lang w:val="en-GB"/>
        </w:rPr>
      </w:pPr>
      <w:r w:rsidRPr="006C5CAE">
        <w:rPr>
          <w:lang w:val="en-GB"/>
        </w:rPr>
        <w:t>Group Project (60 Marks)</w:t>
      </w:r>
    </w:p>
    <w:p w:rsidR="006C5CAE" w:rsidRPr="006C5CAE" w:rsidRDefault="006C5CAE" w:rsidP="006C5CAE">
      <w:pPr>
        <w:rPr>
          <w:bCs/>
          <w:szCs w:val="20"/>
          <w:lang w:val="en-GB"/>
        </w:rPr>
      </w:pPr>
      <w:r w:rsidRPr="006C5CAE">
        <w:rPr>
          <w:bCs/>
          <w:szCs w:val="20"/>
          <w:lang w:val="en-GB"/>
        </w:rPr>
        <w:t>Scenario</w:t>
      </w:r>
    </w:p>
    <w:p w:rsidR="006C5CAE" w:rsidRPr="006C5CAE" w:rsidRDefault="006C5CAE" w:rsidP="006C5CAE">
      <w:pPr>
        <w:rPr>
          <w:szCs w:val="20"/>
          <w:lang w:val="en-GB"/>
        </w:rPr>
      </w:pPr>
      <w:r w:rsidRPr="006C5CAE">
        <w:rPr>
          <w:szCs w:val="20"/>
          <w:lang w:val="en-GB"/>
        </w:rPr>
        <w:t>You are a team of developers seeking investment funding to develop a site in Leeds. </w:t>
      </w:r>
    </w:p>
    <w:p w:rsidR="006C5CAE" w:rsidRPr="006C5CAE" w:rsidRDefault="006C5CAE" w:rsidP="006C5CAE">
      <w:pPr>
        <w:rPr>
          <w:szCs w:val="20"/>
          <w:lang w:val="en-GB"/>
        </w:rPr>
      </w:pPr>
      <w:r w:rsidRPr="006C5CAE">
        <w:rPr>
          <w:szCs w:val="20"/>
          <w:lang w:val="en-GB"/>
        </w:rPr>
        <w:t>You have identified a site.  If you buy the site, you will be able to raise secured funding to undertake the development. For the purposes of this exercise, assume that the property(ies) is/are all vacant or let on very short-term licence.  There will be no cost in buying up the existing businesses.</w:t>
      </w:r>
    </w:p>
    <w:p w:rsidR="006C5CAE" w:rsidRPr="006C5CAE" w:rsidRDefault="006C5CAE" w:rsidP="006C5CAE">
      <w:pPr>
        <w:rPr>
          <w:szCs w:val="20"/>
          <w:lang w:val="en-GB"/>
        </w:rPr>
      </w:pPr>
      <w:r w:rsidRPr="006C5CAE">
        <w:rPr>
          <w:szCs w:val="20"/>
          <w:lang w:val="en-GB"/>
        </w:rPr>
        <w:t>You need to convince a group of investors to purchase the site, on your behalf.</w:t>
      </w:r>
    </w:p>
    <w:p w:rsidR="006C5CAE" w:rsidRPr="006C5CAE" w:rsidRDefault="006C5CAE" w:rsidP="006C5CAE">
      <w:pPr>
        <w:rPr>
          <w:szCs w:val="20"/>
          <w:lang w:val="en-GB"/>
        </w:rPr>
      </w:pPr>
      <w:r w:rsidRPr="006C5CAE">
        <w:rPr>
          <w:szCs w:val="20"/>
          <w:lang w:val="en-GB"/>
        </w:rPr>
        <w:t>In order to do this you will have to make two presentations to the investors explaining why this is a good investment.  You will also submit a detailed report.</w:t>
      </w:r>
    </w:p>
    <w:p w:rsidR="006C5CAE" w:rsidRPr="006C5CAE" w:rsidRDefault="006C5CAE" w:rsidP="006C5CAE">
      <w:pPr>
        <w:rPr>
          <w:szCs w:val="20"/>
          <w:lang w:val="en-GB"/>
        </w:rPr>
      </w:pPr>
    </w:p>
    <w:p w:rsidR="006C5CAE" w:rsidRPr="006C5CAE" w:rsidRDefault="006C5CAE" w:rsidP="006C5CAE">
      <w:pPr>
        <w:rPr>
          <w:bCs/>
          <w:szCs w:val="20"/>
          <w:lang w:val="en-GB"/>
        </w:rPr>
      </w:pPr>
      <w:r w:rsidRPr="006C5CAE">
        <w:rPr>
          <w:bCs/>
          <w:szCs w:val="20"/>
          <w:lang w:val="en-GB"/>
        </w:rPr>
        <w:t>Deliverables</w:t>
      </w:r>
    </w:p>
    <w:p w:rsidR="006C5CAE" w:rsidRPr="006C5CAE" w:rsidRDefault="006C5CAE" w:rsidP="006C5CAE">
      <w:pPr>
        <w:rPr>
          <w:bCs/>
          <w:szCs w:val="20"/>
          <w:lang w:val="en-GB"/>
        </w:rPr>
      </w:pPr>
      <w:r w:rsidRPr="006C5CAE">
        <w:rPr>
          <w:bCs/>
          <w:szCs w:val="20"/>
          <w:lang w:val="en-GB"/>
        </w:rPr>
        <w:t>Presentations</w:t>
      </w:r>
    </w:p>
    <w:p w:rsidR="006C5CAE" w:rsidRPr="006C5CAE" w:rsidRDefault="006C5CAE" w:rsidP="006C5CAE">
      <w:pPr>
        <w:rPr>
          <w:szCs w:val="20"/>
          <w:lang w:val="en-GB"/>
        </w:rPr>
      </w:pPr>
      <w:r w:rsidRPr="006C5CAE">
        <w:rPr>
          <w:szCs w:val="20"/>
          <w:lang w:val="en-GB"/>
        </w:rPr>
        <w:t>There will be two </w:t>
      </w:r>
      <w:r w:rsidRPr="006C5CAE">
        <w:rPr>
          <w:i/>
          <w:iCs/>
          <w:szCs w:val="20"/>
          <w:lang w:val="en-GB"/>
        </w:rPr>
        <w:t>formative</w:t>
      </w:r>
      <w:r w:rsidRPr="006C5CAE">
        <w:rPr>
          <w:szCs w:val="20"/>
          <w:lang w:val="en-GB"/>
        </w:rPr>
        <w:t> presentations on your project.  These will </w:t>
      </w:r>
      <w:r w:rsidRPr="006C5CAE">
        <w:rPr>
          <w:bCs/>
          <w:szCs w:val="20"/>
          <w:lang w:val="en-GB"/>
        </w:rPr>
        <w:t>not</w:t>
      </w:r>
      <w:r w:rsidRPr="006C5CAE">
        <w:rPr>
          <w:szCs w:val="20"/>
          <w:lang w:val="en-GB"/>
        </w:rPr>
        <w:t> be marked, but you will receive feedback to help you with your project.</w:t>
      </w:r>
    </w:p>
    <w:p w:rsidR="006C5CAE" w:rsidRPr="006C5CAE" w:rsidRDefault="006C5CAE" w:rsidP="006C5CAE">
      <w:pPr>
        <w:rPr>
          <w:bCs/>
          <w:szCs w:val="20"/>
          <w:lang w:val="en-GB"/>
        </w:rPr>
      </w:pPr>
      <w:r w:rsidRPr="006C5CAE">
        <w:rPr>
          <w:bCs/>
          <w:szCs w:val="20"/>
          <w:lang w:val="en-GB"/>
        </w:rPr>
        <w:t>Report</w:t>
      </w:r>
    </w:p>
    <w:p w:rsidR="006C5CAE" w:rsidRPr="006C5CAE" w:rsidRDefault="006C5CAE" w:rsidP="006C5CAE">
      <w:pPr>
        <w:rPr>
          <w:szCs w:val="20"/>
          <w:lang w:val="en-GB"/>
        </w:rPr>
      </w:pPr>
      <w:r w:rsidRPr="006C5CAE">
        <w:rPr>
          <w:szCs w:val="20"/>
          <w:lang w:val="en-GB"/>
        </w:rPr>
        <w:t>You will deliver one composite report with all of your groups’ contributions.</w:t>
      </w:r>
    </w:p>
    <w:p w:rsidR="006C5CAE" w:rsidRPr="006C5CAE" w:rsidRDefault="006C5CAE" w:rsidP="006C5CAE">
      <w:pPr>
        <w:rPr>
          <w:bCs/>
          <w:szCs w:val="20"/>
          <w:lang w:val="en-GB"/>
        </w:rPr>
      </w:pPr>
      <w:r w:rsidRPr="006C5CAE">
        <w:rPr>
          <w:bCs/>
          <w:szCs w:val="20"/>
          <w:lang w:val="en-GB"/>
        </w:rPr>
        <w:t>Topic Areas.</w:t>
      </w:r>
    </w:p>
    <w:p w:rsidR="006C5CAE" w:rsidRPr="006C5CAE" w:rsidRDefault="006C5CAE" w:rsidP="006C5CAE">
      <w:pPr>
        <w:rPr>
          <w:lang w:val="en-GB"/>
        </w:rPr>
      </w:pPr>
      <w:r w:rsidRPr="006C5CAE">
        <w:rPr>
          <w:lang w:val="en-GB"/>
        </w:rPr>
        <w:t>You will work in Groups of 6.  Each Group will be allocated 6 topic areas.  Amongst yourselves, decide who is going to tackle which topic area. </w:t>
      </w:r>
    </w:p>
    <w:p w:rsidR="006C5CAE" w:rsidRPr="006C5CAE" w:rsidRDefault="006C5CAE" w:rsidP="006C5CAE">
      <w:pPr>
        <w:rPr>
          <w:lang w:val="en-GB"/>
        </w:rPr>
      </w:pPr>
      <w:r w:rsidRPr="006C5CAE">
        <w:rPr>
          <w:lang w:val="en-GB"/>
        </w:rPr>
        <w:t>The </w:t>
      </w:r>
      <w:r w:rsidRPr="006C5CAE">
        <w:rPr>
          <w:b/>
          <w:bCs/>
          <w:lang w:val="en-GB"/>
        </w:rPr>
        <w:t>individual </w:t>
      </w:r>
      <w:r w:rsidRPr="006C5CAE">
        <w:rPr>
          <w:lang w:val="en-GB"/>
        </w:rPr>
        <w:t>student will receive marks for </w:t>
      </w:r>
      <w:r w:rsidRPr="006C5CAE">
        <w:rPr>
          <w:b/>
          <w:bCs/>
          <w:lang w:val="en-GB"/>
        </w:rPr>
        <w:t>that topic</w:t>
      </w:r>
      <w:r w:rsidRPr="006C5CAE">
        <w:rPr>
          <w:lang w:val="en-GB"/>
        </w:rPr>
        <w:t> and you will all receive some marks for the group presentation.</w:t>
      </w:r>
    </w:p>
    <w:p w:rsidR="006C5CAE" w:rsidRPr="006C5CAE" w:rsidRDefault="006C5CAE" w:rsidP="006C5CAE">
      <w:pPr>
        <w:rPr>
          <w:lang w:val="en-GB"/>
        </w:rPr>
      </w:pPr>
      <w:r w:rsidRPr="006C5CAE">
        <w:rPr>
          <w:lang w:val="en-GB"/>
        </w:rPr>
        <w:t>There can be no “Free-riders” in the group.  If an individual does not contribute, they will get no marks.</w:t>
      </w:r>
    </w:p>
    <w:p w:rsidR="006C5CAE" w:rsidRPr="006C5CAE" w:rsidRDefault="006C5CAE" w:rsidP="006C5CAE">
      <w:pPr>
        <w:rPr>
          <w:lang w:val="en-GB"/>
        </w:rPr>
      </w:pPr>
      <w:r w:rsidRPr="006C5CAE">
        <w:rPr>
          <w:lang w:val="en-GB"/>
        </w:rPr>
        <w:t>Although there are individual topics, you </w:t>
      </w:r>
      <w:r w:rsidRPr="006C5CAE">
        <w:rPr>
          <w:b/>
          <w:bCs/>
          <w:lang w:val="en-GB"/>
        </w:rPr>
        <w:t>must</w:t>
      </w:r>
      <w:r w:rsidRPr="006C5CAE">
        <w:rPr>
          <w:lang w:val="en-GB"/>
        </w:rPr>
        <w:t> help each other out.</w:t>
      </w:r>
    </w:p>
    <w:p w:rsidR="006C5CAE" w:rsidRPr="006C5CAE" w:rsidRDefault="006C5CAE" w:rsidP="006C5CAE">
      <w:pPr>
        <w:rPr>
          <w:b/>
          <w:bCs/>
          <w:lang w:val="en-GB"/>
        </w:rPr>
      </w:pPr>
      <w:r w:rsidRPr="006C5CAE">
        <w:rPr>
          <w:b/>
          <w:bCs/>
          <w:lang w:val="en-GB"/>
        </w:rPr>
        <w:t>Topic Areas</w:t>
      </w:r>
    </w:p>
    <w:p w:rsidR="006C5CAE" w:rsidRPr="006C5CAE" w:rsidRDefault="006C5CAE" w:rsidP="006C5CAE">
      <w:pPr>
        <w:rPr>
          <w:lang w:val="en-GB"/>
        </w:rPr>
      </w:pPr>
      <w:r w:rsidRPr="006C5CAE">
        <w:rPr>
          <w:b/>
          <w:bCs/>
          <w:lang w:val="en-GB"/>
        </w:rPr>
        <w:t>Site considerations. </w:t>
      </w:r>
    </w:p>
    <w:p w:rsidR="006C5CAE" w:rsidRPr="006C5CAE" w:rsidRDefault="006C5CAE" w:rsidP="006C5CAE">
      <w:pPr>
        <w:rPr>
          <w:lang w:val="en-GB"/>
        </w:rPr>
      </w:pPr>
      <w:r w:rsidRPr="006C5CAE">
        <w:rPr>
          <w:lang w:val="en-GB"/>
        </w:rPr>
        <w:t>Why this site in Leeds?  What makes Leeds a good investment and what are the external factors affecting this site?</w:t>
      </w:r>
    </w:p>
    <w:p w:rsidR="006C5CAE" w:rsidRPr="006C5CAE" w:rsidRDefault="006C5CAE" w:rsidP="006C5CAE">
      <w:pPr>
        <w:rPr>
          <w:lang w:val="en-GB"/>
        </w:rPr>
      </w:pPr>
      <w:r w:rsidRPr="006C5CAE">
        <w:rPr>
          <w:b/>
          <w:bCs/>
          <w:lang w:val="en-GB"/>
        </w:rPr>
        <w:t>Market research. </w:t>
      </w:r>
    </w:p>
    <w:p w:rsidR="006C5CAE" w:rsidRPr="006C5CAE" w:rsidRDefault="006C5CAE" w:rsidP="006C5CAE">
      <w:pPr>
        <w:rPr>
          <w:lang w:val="en-GB"/>
        </w:rPr>
      </w:pPr>
      <w:r w:rsidRPr="006C5CAE">
        <w:rPr>
          <w:lang w:val="en-GB"/>
        </w:rPr>
        <w:lastRenderedPageBreak/>
        <w:t>What is the best type of development for the site?  Why is this the best, how can you justify this decision?</w:t>
      </w:r>
    </w:p>
    <w:p w:rsidR="006C5CAE" w:rsidRPr="006C5CAE" w:rsidRDefault="006C5CAE" w:rsidP="006C5CAE">
      <w:pPr>
        <w:rPr>
          <w:lang w:val="en-GB"/>
        </w:rPr>
      </w:pPr>
      <w:r w:rsidRPr="006C5CAE">
        <w:rPr>
          <w:b/>
          <w:bCs/>
          <w:lang w:val="en-GB"/>
        </w:rPr>
        <w:t>Market appraisal. </w:t>
      </w:r>
    </w:p>
    <w:p w:rsidR="006C5CAE" w:rsidRPr="006C5CAE" w:rsidRDefault="006C5CAE" w:rsidP="006C5CAE">
      <w:pPr>
        <w:rPr>
          <w:lang w:val="en-GB"/>
        </w:rPr>
      </w:pPr>
      <w:r w:rsidRPr="006C5CAE">
        <w:rPr>
          <w:lang w:val="en-GB"/>
        </w:rPr>
        <w:t>How much is the site going to cost to buy?  This is what you are asking from the investors.</w:t>
      </w:r>
    </w:p>
    <w:p w:rsidR="006C5CAE" w:rsidRPr="006C5CAE" w:rsidRDefault="006C5CAE" w:rsidP="006C5CAE">
      <w:pPr>
        <w:rPr>
          <w:lang w:val="en-GB"/>
        </w:rPr>
      </w:pPr>
      <w:r w:rsidRPr="006C5CAE">
        <w:rPr>
          <w:b/>
          <w:bCs/>
          <w:lang w:val="en-GB"/>
        </w:rPr>
        <w:t>Planning. </w:t>
      </w:r>
    </w:p>
    <w:p w:rsidR="006C5CAE" w:rsidRPr="006C5CAE" w:rsidRDefault="006C5CAE" w:rsidP="006C5CAE">
      <w:pPr>
        <w:rPr>
          <w:lang w:val="en-GB"/>
        </w:rPr>
      </w:pPr>
      <w:r w:rsidRPr="006C5CAE">
        <w:rPr>
          <w:lang w:val="en-GB"/>
        </w:rPr>
        <w:t>What are the Planning issues concerning this site?  Are there any known development proposals, or restrictions?</w:t>
      </w:r>
    </w:p>
    <w:p w:rsidR="006C5CAE" w:rsidRPr="006C5CAE" w:rsidRDefault="006C5CAE" w:rsidP="006C5CAE">
      <w:pPr>
        <w:rPr>
          <w:lang w:val="en-GB"/>
        </w:rPr>
      </w:pPr>
      <w:r w:rsidRPr="006C5CAE">
        <w:rPr>
          <w:b/>
          <w:bCs/>
          <w:lang w:val="en-GB"/>
        </w:rPr>
        <w:t>Design. </w:t>
      </w:r>
    </w:p>
    <w:p w:rsidR="006C5CAE" w:rsidRPr="006C5CAE" w:rsidRDefault="006C5CAE" w:rsidP="006C5CAE">
      <w:pPr>
        <w:rPr>
          <w:lang w:val="en-GB"/>
        </w:rPr>
      </w:pPr>
      <w:r w:rsidRPr="006C5CAE">
        <w:rPr>
          <w:lang w:val="en-GB"/>
        </w:rPr>
        <w:t>What will your building look like?  Present elevations, iso- or axio-matric representations.  You MAY use drawing packages such as Sketch-up to present your proposals but this is not essential.  What has influenced your design?</w:t>
      </w:r>
    </w:p>
    <w:p w:rsidR="006C5CAE" w:rsidRPr="006C5CAE" w:rsidRDefault="006C5CAE" w:rsidP="006C5CAE">
      <w:pPr>
        <w:rPr>
          <w:lang w:val="en-GB"/>
        </w:rPr>
      </w:pPr>
      <w:r w:rsidRPr="006C5CAE">
        <w:rPr>
          <w:b/>
          <w:bCs/>
          <w:lang w:val="en-GB"/>
        </w:rPr>
        <w:t>Environmental Considerations.</w:t>
      </w:r>
    </w:p>
    <w:p w:rsidR="006C5CAE" w:rsidRPr="006C5CAE" w:rsidRDefault="00C6439C" w:rsidP="006C5CAE">
      <w:pPr>
        <w:rPr>
          <w:lang w:val="en-GB"/>
        </w:rPr>
      </w:pPr>
      <w:r>
        <w:rPr>
          <w:lang w:val="en-GB"/>
        </w:rPr>
        <w:t>Are there any envir</w:t>
      </w:r>
      <w:r w:rsidR="006C5CAE" w:rsidRPr="006C5CAE">
        <w:rPr>
          <w:lang w:val="en-GB"/>
        </w:rPr>
        <w:t>onmental factors affecting the site?  Are there any environmental considerations in your design?</w:t>
      </w:r>
    </w:p>
    <w:p w:rsidR="006C5CAE" w:rsidRPr="006C5CAE" w:rsidRDefault="006C5CAE" w:rsidP="006C5CAE">
      <w:pPr>
        <w:rPr>
          <w:lang w:val="en-GB"/>
        </w:rPr>
      </w:pPr>
    </w:p>
    <w:p w:rsidR="006C5CAE" w:rsidRPr="006C5CAE" w:rsidRDefault="006C5CAE" w:rsidP="006C5CAE">
      <w:pPr>
        <w:rPr>
          <w:lang w:val="en-GB"/>
        </w:rPr>
      </w:pPr>
      <w:r w:rsidRPr="006C5CAE">
        <w:rPr>
          <w:b/>
          <w:bCs/>
          <w:lang w:val="en-GB"/>
        </w:rPr>
        <w:t>NB</w:t>
      </w:r>
      <w:r w:rsidRPr="006C5CAE">
        <w:rPr>
          <w:lang w:val="en-GB"/>
        </w:rPr>
        <w:t>  These are not mutually exclusive.  For example, location factors and nearby buildings will affect your choice of design, the market appraisal, and  Planning considerations.  The same research may be interpreted in many different ways.</w:t>
      </w:r>
    </w:p>
    <w:p w:rsidR="006C5CAE" w:rsidRPr="006C5CAE" w:rsidRDefault="006C5CAE" w:rsidP="006C5CAE">
      <w:pPr>
        <w:rPr>
          <w:b/>
          <w:bCs/>
          <w:lang w:val="en-GB"/>
        </w:rPr>
      </w:pPr>
      <w:r w:rsidRPr="006C5CAE">
        <w:rPr>
          <w:b/>
          <w:bCs/>
          <w:lang w:val="en-GB"/>
        </w:rPr>
        <w:t>FINAL REPORT</w:t>
      </w:r>
    </w:p>
    <w:p w:rsidR="006C5CAE" w:rsidRPr="006C5CAE" w:rsidRDefault="006C5CAE" w:rsidP="006C5CAE">
      <w:pPr>
        <w:rPr>
          <w:lang w:val="en-GB"/>
        </w:rPr>
      </w:pPr>
      <w:r w:rsidRPr="006C5CAE">
        <w:rPr>
          <w:lang w:val="en-GB"/>
        </w:rPr>
        <w:t>The end illustrated report should be set out as a wiki.  Use a separate page of the wiki for each topic area.  This will be a recap of the information presented in the presentations, as amended in the light of the feedback you received in the presentations. These should be clearly marked with the author’s name. </w:t>
      </w:r>
    </w:p>
    <w:p w:rsidR="006C5CAE" w:rsidRPr="006C5CAE" w:rsidRDefault="006C5CAE" w:rsidP="006C5CAE">
      <w:pPr>
        <w:rPr>
          <w:lang w:val="en-GB"/>
        </w:rPr>
      </w:pPr>
      <w:r w:rsidRPr="006C5CAE">
        <w:rPr>
          <w:lang w:val="en-GB"/>
        </w:rPr>
        <w:t>Use separate pages for the (joint) introduction and the (joint) conclusion.</w:t>
      </w:r>
    </w:p>
    <w:p w:rsidR="006C5CAE" w:rsidRPr="006C5CAE" w:rsidRDefault="006C5CAE" w:rsidP="006C5CAE">
      <w:pPr>
        <w:rPr>
          <w:lang w:val="en-GB"/>
        </w:rPr>
      </w:pPr>
      <w:r w:rsidRPr="006C5CAE">
        <w:rPr>
          <w:lang w:val="en-GB"/>
        </w:rPr>
        <w:t>Tutorial guidance will be given throughout the module/Semester to support your group. It is vital that you turn up for these sessions, at either the scheduled times or those mutually agreed between you and the lecturers.</w:t>
      </w:r>
    </w:p>
    <w:p w:rsidR="006C5CAE" w:rsidRDefault="006C5CAE" w:rsidP="00B55A17">
      <w:pPr>
        <w:rPr>
          <w:lang w:val="en-GB"/>
        </w:rPr>
      </w:pPr>
    </w:p>
    <w:p w:rsidR="00B55A17" w:rsidRPr="00705478" w:rsidRDefault="00B55A17" w:rsidP="00B55A17">
      <w:pPr>
        <w:pStyle w:val="Heading3"/>
        <w:rPr>
          <w:lang w:val="en-GB"/>
        </w:rPr>
      </w:pPr>
      <w:r w:rsidRPr="00705478">
        <w:rPr>
          <w:lang w:val="en-GB"/>
        </w:rPr>
        <w:t>S</w:t>
      </w:r>
      <w:r w:rsidR="00C6439C">
        <w:rPr>
          <w:lang w:val="en-GB"/>
        </w:rPr>
        <w:t>tudent Support</w:t>
      </w:r>
    </w:p>
    <w:p w:rsidR="00B55A17" w:rsidRDefault="00C6439C" w:rsidP="00B55A17">
      <w:pPr>
        <w:rPr>
          <w:lang w:val="en-GB"/>
        </w:rPr>
      </w:pPr>
      <w:r>
        <w:rPr>
          <w:lang w:val="en-GB"/>
        </w:rPr>
        <w:t>As stated in the brief, students were given face to face lectures on each of the topic areas.  Lectures were supported by on-line material with copies of slides, and links to supporting material.  Students also had two lectures about how to format and use the wiki tool, again, there was supporting material on the website. Students were also encouraged to meet with the tutors; either as a group or individually, to discuss their progress.  Additionally, groups were required to make two presentations on their work in progress and their initial findings and proposals; for formative feedback.</w:t>
      </w:r>
    </w:p>
    <w:p w:rsidR="00C6439C" w:rsidRDefault="00C6439C" w:rsidP="002F0245">
      <w:pPr>
        <w:pStyle w:val="Heading1"/>
        <w:rPr>
          <w:lang w:val="en-GB"/>
        </w:rPr>
      </w:pPr>
      <w:r>
        <w:rPr>
          <w:lang w:val="en-GB"/>
        </w:rPr>
        <w:t>Results from the Group Project.</w:t>
      </w:r>
    </w:p>
    <w:p w:rsidR="00C6439C" w:rsidRDefault="00B55A17" w:rsidP="00B55A17">
      <w:pPr>
        <w:rPr>
          <w:lang w:val="en-GB"/>
        </w:rPr>
      </w:pPr>
      <w:r>
        <w:rPr>
          <w:lang w:val="en-GB"/>
        </w:rPr>
        <w:t>The</w:t>
      </w:r>
      <w:r w:rsidRPr="00705478">
        <w:rPr>
          <w:lang w:val="en-GB"/>
        </w:rPr>
        <w:t xml:space="preserve"> </w:t>
      </w:r>
      <w:r w:rsidR="00C6439C">
        <w:rPr>
          <w:lang w:val="en-GB"/>
        </w:rPr>
        <w:t>results of the group project were very disappointing.  9 out of 38 (24%) of students failed the group work.  This was a far higher failure than in previous years.</w:t>
      </w:r>
    </w:p>
    <w:p w:rsidR="00101089" w:rsidRDefault="00101089" w:rsidP="00B55A17">
      <w:pPr>
        <w:rPr>
          <w:lang w:val="en-GB"/>
        </w:rPr>
      </w:pPr>
      <w:r>
        <w:rPr>
          <w:lang w:val="en-GB"/>
        </w:rPr>
        <w:t xml:space="preserve">At the mid-module review, students overwhelmingly liked the collaborative format as it avoided the free-rider or dragging down effect of group work.  However, when the results became known students were far more dissatisfied with the module than in previous years.  </w:t>
      </w:r>
    </w:p>
    <w:p w:rsidR="00101089" w:rsidRDefault="00101089" w:rsidP="002F0245">
      <w:pPr>
        <w:pStyle w:val="Heading2"/>
        <w:rPr>
          <w:lang w:val="en-GB"/>
        </w:rPr>
      </w:pPr>
      <w:r>
        <w:rPr>
          <w:lang w:val="en-GB"/>
        </w:rPr>
        <w:t>Why was the technique successful with distance learners; but unsuccessful with face-to-face learners?</w:t>
      </w:r>
    </w:p>
    <w:p w:rsidR="00101089" w:rsidRDefault="00101089" w:rsidP="00101089">
      <w:pPr>
        <w:rPr>
          <w:lang w:val="en-GB"/>
        </w:rPr>
      </w:pPr>
      <w:r>
        <w:rPr>
          <w:lang w:val="en-GB"/>
        </w:rPr>
        <w:t>An investigation was undertaken into what went wrong.  Student views were sought and the following issues were identified:</w:t>
      </w:r>
    </w:p>
    <w:p w:rsidR="00B92004" w:rsidRDefault="00B92004" w:rsidP="00B92004">
      <w:pPr>
        <w:jc w:val="center"/>
        <w:rPr>
          <w:lang w:val="en-GB"/>
        </w:rPr>
      </w:pPr>
    </w:p>
    <w:p w:rsidR="00B92004" w:rsidRDefault="00B92004" w:rsidP="00B92004">
      <w:pPr>
        <w:jc w:val="center"/>
        <w:rPr>
          <w:lang w:val="en-GB"/>
        </w:rPr>
      </w:pPr>
      <w:r>
        <w:rPr>
          <w:lang w:val="en-GB"/>
        </w:rPr>
        <w:lastRenderedPageBreak/>
        <w:t>Fig 4.  Issues identified by face-to-face students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B92004" w:rsidRPr="00ED697A" w:rsidTr="00ED697A">
        <w:tc>
          <w:tcPr>
            <w:tcW w:w="4643" w:type="dxa"/>
            <w:shd w:val="clear" w:color="auto" w:fill="auto"/>
          </w:tcPr>
          <w:p w:rsidR="00B92004" w:rsidRPr="00ED697A" w:rsidRDefault="00B92004" w:rsidP="00B92004">
            <w:pPr>
              <w:rPr>
                <w:lang w:val="en-GB"/>
              </w:rPr>
            </w:pPr>
            <w:r w:rsidRPr="00ED697A">
              <w:rPr>
                <w:lang w:val="en-GB"/>
              </w:rPr>
              <w:t>Issue identified by face-to-face students</w:t>
            </w:r>
          </w:p>
        </w:tc>
        <w:tc>
          <w:tcPr>
            <w:tcW w:w="4643" w:type="dxa"/>
            <w:shd w:val="clear" w:color="auto" w:fill="auto"/>
          </w:tcPr>
          <w:p w:rsidR="00B92004" w:rsidRPr="00ED697A" w:rsidRDefault="00B92004" w:rsidP="00B92004">
            <w:pPr>
              <w:rPr>
                <w:lang w:val="en-GB"/>
              </w:rPr>
            </w:pPr>
            <w:r w:rsidRPr="00ED697A">
              <w:rPr>
                <w:lang w:val="en-GB"/>
              </w:rPr>
              <w:t>Comparison with DL students</w:t>
            </w:r>
          </w:p>
        </w:tc>
      </w:tr>
      <w:tr w:rsidR="00B92004" w:rsidRPr="00ED697A" w:rsidTr="00ED697A">
        <w:tc>
          <w:tcPr>
            <w:tcW w:w="4643" w:type="dxa"/>
            <w:shd w:val="clear" w:color="auto" w:fill="auto"/>
          </w:tcPr>
          <w:p w:rsidR="000D02DE" w:rsidRPr="00ED697A" w:rsidRDefault="000D02DE" w:rsidP="00B92004">
            <w:pPr>
              <w:rPr>
                <w:b/>
                <w:lang w:val="en-GB"/>
              </w:rPr>
            </w:pPr>
            <w:r w:rsidRPr="00ED697A">
              <w:rPr>
                <w:b/>
                <w:lang w:val="en-GB"/>
              </w:rPr>
              <w:t>Technology.</w:t>
            </w:r>
          </w:p>
          <w:p w:rsidR="00B92004" w:rsidRPr="00ED697A" w:rsidRDefault="00B92004" w:rsidP="00B92004">
            <w:pPr>
              <w:rPr>
                <w:lang w:val="en-GB"/>
              </w:rPr>
            </w:pPr>
            <w:r w:rsidRPr="00ED697A">
              <w:rPr>
                <w:lang w:val="en-GB"/>
              </w:rPr>
              <w:t xml:space="preserve">The wiki was an unfamiliar tool, despite having two lectures on how to use the wiki.   </w:t>
            </w:r>
          </w:p>
          <w:p w:rsidR="00B92004" w:rsidRPr="00ED697A" w:rsidRDefault="00B92004" w:rsidP="00ED697A">
            <w:pPr>
              <w:pStyle w:val="Heading2"/>
              <w:numPr>
                <w:ilvl w:val="0"/>
                <w:numId w:val="0"/>
              </w:numPr>
              <w:rPr>
                <w:lang w:val="en-GB"/>
              </w:rPr>
            </w:pPr>
          </w:p>
        </w:tc>
        <w:tc>
          <w:tcPr>
            <w:tcW w:w="4643" w:type="dxa"/>
            <w:shd w:val="clear" w:color="auto" w:fill="auto"/>
          </w:tcPr>
          <w:p w:rsidR="00B92004" w:rsidRPr="00ED697A" w:rsidRDefault="00B92004" w:rsidP="00B92004">
            <w:pPr>
              <w:rPr>
                <w:lang w:val="en-GB"/>
              </w:rPr>
            </w:pPr>
            <w:r w:rsidRPr="00ED697A">
              <w:rPr>
                <w:lang w:val="en-GB"/>
              </w:rPr>
              <w:t>The wiki is also an unfamiliar tool to the Masters’ students.</w:t>
            </w:r>
          </w:p>
        </w:tc>
      </w:tr>
      <w:tr w:rsidR="00B92004" w:rsidRPr="00ED697A" w:rsidTr="00ED697A">
        <w:tc>
          <w:tcPr>
            <w:tcW w:w="4643" w:type="dxa"/>
            <w:shd w:val="clear" w:color="auto" w:fill="auto"/>
          </w:tcPr>
          <w:p w:rsidR="000D02DE" w:rsidRPr="00ED697A" w:rsidRDefault="000D02DE" w:rsidP="00B92004">
            <w:pPr>
              <w:rPr>
                <w:b/>
                <w:lang w:val="en-GB"/>
              </w:rPr>
            </w:pPr>
            <w:r w:rsidRPr="00ED697A">
              <w:rPr>
                <w:b/>
                <w:lang w:val="en-GB"/>
              </w:rPr>
              <w:t>Learner Autonomy</w:t>
            </w:r>
          </w:p>
          <w:p w:rsidR="00B92004" w:rsidRPr="00ED697A" w:rsidRDefault="00B92004" w:rsidP="00B92004">
            <w:pPr>
              <w:rPr>
                <w:lang w:val="en-GB"/>
              </w:rPr>
            </w:pPr>
            <w:r w:rsidRPr="00ED697A">
              <w:rPr>
                <w:lang w:val="en-GB"/>
              </w:rPr>
              <w:t>Groups did not “click” despite being able to meet face-to-face.</w:t>
            </w:r>
            <w:r w:rsidR="000D02DE" w:rsidRPr="00ED697A">
              <w:rPr>
                <w:lang w:val="en-GB"/>
              </w:rPr>
              <w:t xml:space="preserve">  Difficult to decide who was doing what</w:t>
            </w:r>
          </w:p>
          <w:p w:rsidR="00B92004" w:rsidRPr="00ED697A" w:rsidRDefault="00B92004" w:rsidP="00B92004">
            <w:pPr>
              <w:rPr>
                <w:lang w:val="en-GB"/>
              </w:rPr>
            </w:pPr>
          </w:p>
        </w:tc>
        <w:tc>
          <w:tcPr>
            <w:tcW w:w="4643" w:type="dxa"/>
            <w:shd w:val="clear" w:color="auto" w:fill="auto"/>
          </w:tcPr>
          <w:p w:rsidR="00B92004" w:rsidRPr="00ED697A" w:rsidRDefault="00B92004" w:rsidP="00B92004">
            <w:pPr>
              <w:rPr>
                <w:lang w:val="en-GB"/>
              </w:rPr>
            </w:pPr>
            <w:r w:rsidRPr="00ED697A">
              <w:rPr>
                <w:lang w:val="en-GB"/>
              </w:rPr>
              <w:t>The Masters’ groups are unknown to each other, and never meet face to face.</w:t>
            </w:r>
          </w:p>
        </w:tc>
      </w:tr>
      <w:tr w:rsidR="00B92004" w:rsidRPr="00ED697A" w:rsidTr="00ED697A">
        <w:tc>
          <w:tcPr>
            <w:tcW w:w="4643" w:type="dxa"/>
            <w:shd w:val="clear" w:color="auto" w:fill="auto"/>
          </w:tcPr>
          <w:p w:rsidR="00B92004" w:rsidRPr="00ED697A" w:rsidRDefault="00B92004" w:rsidP="00B92004">
            <w:pPr>
              <w:rPr>
                <w:lang w:val="en-GB"/>
              </w:rPr>
            </w:pPr>
            <w:r w:rsidRPr="00ED697A">
              <w:rPr>
                <w:lang w:val="en-GB"/>
              </w:rPr>
              <w:t>The lectures were not always relevant to the wiki.  - This was noted, all of the topics were covered in lectures.  (However, the lecture programme was not solely directed to the assessment, the module programme is broader than the assessment).</w:t>
            </w:r>
          </w:p>
        </w:tc>
        <w:tc>
          <w:tcPr>
            <w:tcW w:w="4643" w:type="dxa"/>
            <w:shd w:val="clear" w:color="auto" w:fill="auto"/>
          </w:tcPr>
          <w:p w:rsidR="00B92004" w:rsidRPr="00ED697A" w:rsidRDefault="00B92004" w:rsidP="00B92004">
            <w:pPr>
              <w:rPr>
                <w:lang w:val="en-GB"/>
              </w:rPr>
            </w:pPr>
            <w:r w:rsidRPr="00ED697A">
              <w:rPr>
                <w:lang w:val="en-GB"/>
              </w:rPr>
              <w:t>The Group project is only a small component of the overall assessment for the Masters’ students.  It is the major component for the face-to-face students.</w:t>
            </w:r>
          </w:p>
        </w:tc>
      </w:tr>
      <w:tr w:rsidR="00B92004" w:rsidRPr="00ED697A" w:rsidTr="00ED697A">
        <w:tc>
          <w:tcPr>
            <w:tcW w:w="4643" w:type="dxa"/>
            <w:shd w:val="clear" w:color="auto" w:fill="auto"/>
          </w:tcPr>
          <w:p w:rsidR="00B92004" w:rsidRPr="00ED697A" w:rsidRDefault="00B92004" w:rsidP="00B92004">
            <w:pPr>
              <w:rPr>
                <w:lang w:val="en-GB"/>
              </w:rPr>
            </w:pPr>
            <w:r w:rsidRPr="00ED697A">
              <w:rPr>
                <w:lang w:val="en-GB"/>
              </w:rPr>
              <w:t xml:space="preserve">Difficulty in contacting one of the tutors. – This was noted, and a valid comment.  Due to circumstances, one tutor was unavailable for some of the time.  </w:t>
            </w:r>
          </w:p>
          <w:p w:rsidR="00B92004" w:rsidRPr="00ED697A" w:rsidRDefault="00B92004" w:rsidP="00B92004">
            <w:pPr>
              <w:rPr>
                <w:lang w:val="en-GB"/>
              </w:rPr>
            </w:pPr>
          </w:p>
        </w:tc>
        <w:tc>
          <w:tcPr>
            <w:tcW w:w="4643" w:type="dxa"/>
            <w:shd w:val="clear" w:color="auto" w:fill="auto"/>
          </w:tcPr>
          <w:p w:rsidR="00B92004" w:rsidRPr="00ED697A" w:rsidRDefault="00B92004" w:rsidP="00B92004">
            <w:pPr>
              <w:rPr>
                <w:lang w:val="en-GB"/>
              </w:rPr>
            </w:pPr>
            <w:r w:rsidRPr="00ED697A">
              <w:rPr>
                <w:lang w:val="en-GB"/>
              </w:rPr>
              <w:t>One would assume that full-time face to face students would have greater opportunity to contact tutors than distance learning students.</w:t>
            </w:r>
          </w:p>
        </w:tc>
      </w:tr>
      <w:tr w:rsidR="00B92004" w:rsidRPr="00ED697A" w:rsidTr="00ED697A">
        <w:tc>
          <w:tcPr>
            <w:tcW w:w="4643" w:type="dxa"/>
            <w:shd w:val="clear" w:color="auto" w:fill="auto"/>
          </w:tcPr>
          <w:p w:rsidR="00B92004" w:rsidRPr="00ED697A" w:rsidRDefault="000D02DE" w:rsidP="00B92004">
            <w:pPr>
              <w:rPr>
                <w:lang w:val="en-GB"/>
              </w:rPr>
            </w:pPr>
            <w:r w:rsidRPr="00ED697A">
              <w:rPr>
                <w:b/>
                <w:lang w:val="en-GB"/>
              </w:rPr>
              <w:t xml:space="preserve">Profile and </w:t>
            </w:r>
            <w:r w:rsidR="00B92004" w:rsidRPr="00ED697A">
              <w:rPr>
                <w:b/>
                <w:lang w:val="en-GB"/>
              </w:rPr>
              <w:t>Commitment.</w:t>
            </w:r>
            <w:r w:rsidR="00B92004" w:rsidRPr="00ED697A">
              <w:rPr>
                <w:lang w:val="en-GB"/>
              </w:rPr>
              <w:t xml:space="preserve">  The face-to-face students suspected that the Masters’ students had more commi</w:t>
            </w:r>
            <w:r w:rsidR="00EF618A" w:rsidRPr="00ED697A">
              <w:rPr>
                <w:lang w:val="en-GB"/>
              </w:rPr>
              <w:t>tment to their project.</w:t>
            </w:r>
          </w:p>
        </w:tc>
        <w:tc>
          <w:tcPr>
            <w:tcW w:w="4643" w:type="dxa"/>
            <w:shd w:val="clear" w:color="auto" w:fill="auto"/>
          </w:tcPr>
          <w:p w:rsidR="00B92004" w:rsidRPr="00ED697A" w:rsidRDefault="00EF618A" w:rsidP="00B92004">
            <w:pPr>
              <w:rPr>
                <w:lang w:val="en-GB"/>
              </w:rPr>
            </w:pPr>
            <w:r w:rsidRPr="00ED697A">
              <w:rPr>
                <w:lang w:val="en-GB"/>
              </w:rPr>
              <w:t>Masters students are:</w:t>
            </w:r>
          </w:p>
          <w:p w:rsidR="00EF618A" w:rsidRPr="00ED697A" w:rsidRDefault="00EF618A" w:rsidP="00ED697A">
            <w:pPr>
              <w:numPr>
                <w:ilvl w:val="0"/>
                <w:numId w:val="46"/>
              </w:numPr>
              <w:rPr>
                <w:lang w:val="en-GB"/>
              </w:rPr>
            </w:pPr>
            <w:r w:rsidRPr="00ED697A">
              <w:rPr>
                <w:lang w:val="en-GB"/>
              </w:rPr>
              <w:t>working at a higher level</w:t>
            </w:r>
          </w:p>
          <w:p w:rsidR="00EF618A" w:rsidRPr="00ED697A" w:rsidRDefault="00EF618A" w:rsidP="00ED697A">
            <w:pPr>
              <w:numPr>
                <w:ilvl w:val="0"/>
                <w:numId w:val="46"/>
              </w:numPr>
              <w:rPr>
                <w:lang w:val="en-GB"/>
              </w:rPr>
            </w:pPr>
            <w:r w:rsidRPr="00ED697A">
              <w:rPr>
                <w:lang w:val="en-GB"/>
              </w:rPr>
              <w:t>Older, more mature and already holding down responsible jobs.</w:t>
            </w:r>
          </w:p>
        </w:tc>
      </w:tr>
    </w:tbl>
    <w:p w:rsidR="00B92004" w:rsidRPr="00101089" w:rsidRDefault="00374368" w:rsidP="00374368">
      <w:pPr>
        <w:jc w:val="center"/>
        <w:rPr>
          <w:lang w:val="en-GB"/>
        </w:rPr>
      </w:pPr>
      <w:r>
        <w:rPr>
          <w:lang w:val="en-GB"/>
        </w:rPr>
        <w:t>These issues were identified by the face-to-face students.</w:t>
      </w:r>
    </w:p>
    <w:p w:rsidR="00101089" w:rsidRDefault="00374368" w:rsidP="00374368">
      <w:pPr>
        <w:pStyle w:val="Heading1"/>
        <w:rPr>
          <w:lang w:val="en-GB"/>
        </w:rPr>
      </w:pPr>
      <w:r>
        <w:rPr>
          <w:lang w:val="en-GB"/>
        </w:rPr>
        <w:t>Commitment (p</w:t>
      </w:r>
      <w:r w:rsidR="00E516FA">
        <w:rPr>
          <w:lang w:val="en-GB"/>
        </w:rPr>
        <w:t>.</w:t>
      </w:r>
      <w:r>
        <w:rPr>
          <w:lang w:val="en-GB"/>
        </w:rPr>
        <w:t>a</w:t>
      </w:r>
      <w:r w:rsidR="00E516FA">
        <w:rPr>
          <w:lang w:val="en-GB"/>
        </w:rPr>
        <w:t>.</w:t>
      </w:r>
      <w:r>
        <w:rPr>
          <w:lang w:val="en-GB"/>
        </w:rPr>
        <w:t>h</w:t>
      </w:r>
      <w:r w:rsidR="00E516FA">
        <w:rPr>
          <w:lang w:val="en-GB"/>
        </w:rPr>
        <w:t>.</w:t>
      </w:r>
      <w:r>
        <w:rPr>
          <w:lang w:val="en-GB"/>
        </w:rPr>
        <w:t xml:space="preserve"> continuum)</w:t>
      </w:r>
    </w:p>
    <w:p w:rsidR="00374368" w:rsidRDefault="00374368" w:rsidP="00374368">
      <w:pPr>
        <w:rPr>
          <w:lang w:val="en-GB"/>
        </w:rPr>
      </w:pPr>
      <w:r>
        <w:rPr>
          <w:lang w:val="en-GB"/>
        </w:rPr>
        <w:t>The issue of commitment seemed to be the main issue with the face-to-face students.  For distance learning students a high degree of commitment is necessary anyway.  This way of collaborative working was seen as supportive to them in distance learning study.  For face-to-face students the independence of being able to select their own topics and work at their own pace was a distraction.</w:t>
      </w:r>
    </w:p>
    <w:p w:rsidR="00374368" w:rsidRDefault="00F94BDD" w:rsidP="00374368">
      <w:pPr>
        <w:rPr>
          <w:lang w:val="en-GB"/>
        </w:rPr>
      </w:pPr>
      <w:r>
        <w:rPr>
          <w:lang w:val="en-GB"/>
        </w:rPr>
        <w:t xml:space="preserve">This concurs directly with the concepts of Pedagogy, Andragogy and Heutagogy.  Pedagogy is defined </w:t>
      </w:r>
      <w:r w:rsidR="004E781C">
        <w:rPr>
          <w:lang w:val="en-GB"/>
        </w:rPr>
        <w:t>by “</w:t>
      </w:r>
      <w:r w:rsidR="004E781C" w:rsidRPr="004E781C">
        <w:rPr>
          <w:i/>
        </w:rPr>
        <w:t>It was always the teacher who decided </w:t>
      </w:r>
      <w:r w:rsidR="004E781C" w:rsidRPr="004E781C">
        <w:rPr>
          <w:i/>
          <w:u w:val="single"/>
        </w:rPr>
        <w:t>what</w:t>
      </w:r>
      <w:r w:rsidR="004E781C" w:rsidRPr="004E781C">
        <w:rPr>
          <w:i/>
        </w:rPr>
        <w:t> the learner needed to know, and indeed, </w:t>
      </w:r>
      <w:r w:rsidR="004E781C" w:rsidRPr="004E781C">
        <w:rPr>
          <w:i/>
          <w:u w:val="single"/>
        </w:rPr>
        <w:t xml:space="preserve">how </w:t>
      </w:r>
      <w:r w:rsidR="004E781C" w:rsidRPr="004E781C">
        <w:rPr>
          <w:i/>
        </w:rPr>
        <w:t>the knowledge and skills should be taught.</w:t>
      </w:r>
      <w:r w:rsidR="004E781C">
        <w:rPr>
          <w:i/>
        </w:rPr>
        <w:t>”</w:t>
      </w:r>
      <w:r w:rsidR="004E781C">
        <w:rPr>
          <w:noProof/>
          <w:lang w:val="en-GB"/>
        </w:rPr>
        <w:t xml:space="preserve"> </w:t>
      </w:r>
      <w:r w:rsidR="004E781C" w:rsidRPr="004E781C">
        <w:rPr>
          <w:noProof/>
          <w:lang w:val="en-GB"/>
        </w:rPr>
        <w:t>(Kenyon, 2001)</w:t>
      </w:r>
      <w:r w:rsidR="004E781C">
        <w:rPr>
          <w:lang w:val="en-GB"/>
        </w:rPr>
        <w:t>.  Andragogy was defined as “</w:t>
      </w:r>
      <w:r w:rsidR="004E781C" w:rsidRPr="004E781C">
        <w:rPr>
          <w:i/>
          <w:lang w:val="en-GB"/>
        </w:rPr>
        <w:t>the art and science of helping adults learn</w:t>
      </w:r>
      <w:r w:rsidR="002F0245" w:rsidRPr="004E781C">
        <w:rPr>
          <w:i/>
          <w:lang w:val="en-GB"/>
        </w:rPr>
        <w:t>”</w:t>
      </w:r>
      <w:r w:rsidR="002F0245">
        <w:rPr>
          <w:lang w:val="en-GB"/>
        </w:rPr>
        <w:t xml:space="preserve"> </w:t>
      </w:r>
      <w:r w:rsidR="002F0245">
        <w:rPr>
          <w:noProof/>
          <w:lang w:val="en-GB"/>
        </w:rPr>
        <w:t>(</w:t>
      </w:r>
      <w:r w:rsidR="004E781C" w:rsidRPr="004E781C">
        <w:rPr>
          <w:noProof/>
          <w:lang w:val="en-GB"/>
        </w:rPr>
        <w:t>Knowles, 1970)</w:t>
      </w:r>
      <w:r w:rsidR="004E781C">
        <w:rPr>
          <w:lang w:val="en-GB"/>
        </w:rPr>
        <w:t xml:space="preserve">.  </w:t>
      </w:r>
      <w:r w:rsidR="002F0245">
        <w:rPr>
          <w:lang w:val="en-GB"/>
        </w:rPr>
        <w:t>Heutagogy “</w:t>
      </w:r>
      <w:r w:rsidR="002F0245" w:rsidRPr="000D02DE">
        <w:rPr>
          <w:i/>
          <w:lang w:val="en-GB"/>
        </w:rPr>
        <w:t>…</w:t>
      </w:r>
      <w:r w:rsidR="000D02DE" w:rsidRPr="000D02DE">
        <w:rPr>
          <w:i/>
        </w:rPr>
        <w:t xml:space="preserve"> applies a holistic approach to developing learner capabilities, with learning as an active and proactive process….</w:t>
      </w:r>
      <w:r w:rsidR="000D02DE" w:rsidRPr="000D02DE">
        <w:rPr>
          <w:rFonts w:ascii="Verdana" w:hAnsi="Verdana"/>
          <w:i/>
          <w:color w:val="111111"/>
          <w:szCs w:val="20"/>
          <w:shd w:val="clear" w:color="auto" w:fill="FFFFFF"/>
        </w:rPr>
        <w:t xml:space="preserve"> </w:t>
      </w:r>
      <w:r w:rsidR="000D02DE" w:rsidRPr="000D02DE">
        <w:rPr>
          <w:i/>
        </w:rPr>
        <w:t>Heutagogy applies a holistic approach to developing learner capabilities, with learning as an active and proactive process</w:t>
      </w:r>
      <w:r w:rsidR="002F0245">
        <w:t xml:space="preserve">” </w:t>
      </w:r>
      <w:r w:rsidR="002F0245">
        <w:rPr>
          <w:noProof/>
          <w:lang w:val="en-GB"/>
        </w:rPr>
        <w:t>(</w:t>
      </w:r>
      <w:r w:rsidR="00FD3656" w:rsidRPr="00FD3656">
        <w:rPr>
          <w:noProof/>
          <w:lang w:val="en-GB"/>
        </w:rPr>
        <w:t>Blashcke, 2012)</w:t>
      </w:r>
    </w:p>
    <w:p w:rsidR="00FD3656" w:rsidRDefault="00FD3656" w:rsidP="00374368">
      <w:pPr>
        <w:rPr>
          <w:lang w:val="en-GB"/>
        </w:rPr>
      </w:pPr>
    </w:p>
    <w:p w:rsidR="00FD3656" w:rsidRPr="00FD3656" w:rsidRDefault="00FD3656" w:rsidP="00FD3656">
      <w:pPr>
        <w:rPr>
          <w:i/>
          <w:lang w:val="en-GB"/>
        </w:rPr>
      </w:pPr>
      <w:r>
        <w:rPr>
          <w:lang w:val="en-GB"/>
        </w:rPr>
        <w:t>Blashcke (op cit.) further identifies 3 characteristics of Heutagogy “</w:t>
      </w:r>
      <w:r w:rsidRPr="00FD3656">
        <w:rPr>
          <w:i/>
          <w:lang w:val="en-GB"/>
        </w:rPr>
        <w:t>Specific characteristics of distance education that align themselves with heutagogy include:</w:t>
      </w:r>
    </w:p>
    <w:p w:rsidR="00FD3656" w:rsidRDefault="00FD3656" w:rsidP="00FD3656">
      <w:pPr>
        <w:numPr>
          <w:ilvl w:val="0"/>
          <w:numId w:val="47"/>
        </w:numPr>
        <w:rPr>
          <w:i/>
          <w:lang w:val="en-GB"/>
        </w:rPr>
      </w:pPr>
      <w:r w:rsidRPr="00FD3656">
        <w:rPr>
          <w:i/>
          <w:iCs/>
          <w:lang w:val="en-GB"/>
        </w:rPr>
        <w:t>Technology</w:t>
      </w:r>
      <w:r w:rsidRPr="00FD3656">
        <w:rPr>
          <w:i/>
          <w:lang w:val="en-GB"/>
        </w:rPr>
        <w:t xml:space="preserve">: </w:t>
      </w:r>
      <w:r>
        <w:rPr>
          <w:i/>
          <w:lang w:val="en-GB"/>
        </w:rPr>
        <w:t>…</w:t>
      </w:r>
    </w:p>
    <w:p w:rsidR="00FD3656" w:rsidRDefault="00FD3656" w:rsidP="00FD3656">
      <w:pPr>
        <w:numPr>
          <w:ilvl w:val="0"/>
          <w:numId w:val="47"/>
        </w:numPr>
        <w:rPr>
          <w:i/>
          <w:lang w:val="en-GB"/>
        </w:rPr>
      </w:pPr>
      <w:r w:rsidRPr="00FD3656">
        <w:rPr>
          <w:i/>
          <w:iCs/>
          <w:lang w:val="en-GB"/>
        </w:rPr>
        <w:t>Profile of the distance education learner</w:t>
      </w:r>
      <w:r w:rsidRPr="00FD3656">
        <w:rPr>
          <w:i/>
          <w:lang w:val="en-GB"/>
        </w:rPr>
        <w:t xml:space="preserve">: </w:t>
      </w:r>
      <w:r>
        <w:rPr>
          <w:i/>
          <w:lang w:val="en-GB"/>
        </w:rPr>
        <w:t>…</w:t>
      </w:r>
    </w:p>
    <w:p w:rsidR="00FD3656" w:rsidRDefault="00FD3656" w:rsidP="00374368">
      <w:pPr>
        <w:numPr>
          <w:ilvl w:val="0"/>
          <w:numId w:val="47"/>
        </w:numPr>
        <w:rPr>
          <w:lang w:val="en-GB"/>
        </w:rPr>
      </w:pPr>
      <w:r w:rsidRPr="00FD3656">
        <w:rPr>
          <w:i/>
          <w:iCs/>
          <w:lang w:val="en-GB"/>
        </w:rPr>
        <w:lastRenderedPageBreak/>
        <w:t>Learner autonomy</w:t>
      </w:r>
      <w:r w:rsidRPr="00FD3656">
        <w:rPr>
          <w:i/>
          <w:lang w:val="en-GB"/>
        </w:rPr>
        <w:t xml:space="preserve">: </w:t>
      </w:r>
      <w:r w:rsidR="002F0245">
        <w:rPr>
          <w:i/>
          <w:lang w:val="en-GB"/>
        </w:rPr>
        <w:t>“</w:t>
      </w:r>
      <w:r w:rsidR="002F0245">
        <w:rPr>
          <w:lang w:val="en-GB"/>
        </w:rPr>
        <w:t>Significantly</w:t>
      </w:r>
      <w:r>
        <w:rPr>
          <w:lang w:val="en-GB"/>
        </w:rPr>
        <w:t>, these characteristics coincide very neatly with what the face-to-face students identified as major problems with approach adopted in the module.</w:t>
      </w:r>
    </w:p>
    <w:p w:rsidR="00FD3656" w:rsidRPr="00FD3656" w:rsidRDefault="00FD3656" w:rsidP="00FD3656">
      <w:pPr>
        <w:rPr>
          <w:lang w:val="en-GB"/>
        </w:rPr>
      </w:pPr>
      <w:r>
        <w:rPr>
          <w:lang w:val="en-GB"/>
        </w:rPr>
        <w:t xml:space="preserve">Furthermore, </w:t>
      </w:r>
      <w:r w:rsidRPr="00FD3656">
        <w:rPr>
          <w:noProof/>
          <w:lang w:val="en-GB"/>
        </w:rPr>
        <w:t xml:space="preserve">(Narayan, </w:t>
      </w:r>
      <w:r>
        <w:rPr>
          <w:noProof/>
          <w:lang w:val="en-GB"/>
        </w:rPr>
        <w:t xml:space="preserve">&amp; Baglow </w:t>
      </w:r>
      <w:r w:rsidRPr="00FD3656">
        <w:rPr>
          <w:noProof/>
          <w:lang w:val="en-GB"/>
        </w:rPr>
        <w:t>2010)</w:t>
      </w:r>
      <w:r>
        <w:rPr>
          <w:noProof/>
          <w:lang w:val="en-GB"/>
        </w:rPr>
        <w:t xml:space="preserve"> that “</w:t>
      </w:r>
      <w:r w:rsidRPr="00FD3656">
        <w:rPr>
          <w:i/>
          <w:noProof/>
          <w:lang w:val="en-GB"/>
        </w:rPr>
        <w:t>a student-centred approach for some students could be overwhelming, especially for students who have been through a teacher-centred learning for almost all their lives. This could be made worse by the introduction of etools in the process”.</w:t>
      </w:r>
    </w:p>
    <w:p w:rsidR="00374368" w:rsidRDefault="00054DA1" w:rsidP="00054DA1">
      <w:pPr>
        <w:pStyle w:val="Heading1"/>
        <w:rPr>
          <w:lang w:val="en-GB"/>
        </w:rPr>
      </w:pPr>
      <w:r>
        <w:rPr>
          <w:lang w:val="en-GB"/>
        </w:rPr>
        <w:t>Conclusion</w:t>
      </w:r>
    </w:p>
    <w:p w:rsidR="00054DA1" w:rsidRDefault="00054DA1" w:rsidP="00054DA1">
      <w:pPr>
        <w:rPr>
          <w:lang w:val="en-GB"/>
        </w:rPr>
      </w:pPr>
      <w:r>
        <w:rPr>
          <w:lang w:val="en-GB"/>
        </w:rPr>
        <w:t xml:space="preserve">Students on both the Distance Learning and the Face to Face Courses overwhelmingly </w:t>
      </w:r>
      <w:r w:rsidR="005E3853">
        <w:rPr>
          <w:lang w:val="en-GB"/>
        </w:rPr>
        <w:t>approved of the concept of collaborative group work.  Particularly they approved of being marked on their own effort in a group project.  Where the group work project failed was in the educational approach.</w:t>
      </w:r>
    </w:p>
    <w:p w:rsidR="005E3853" w:rsidRDefault="005E3853" w:rsidP="00054DA1">
      <w:pPr>
        <w:rPr>
          <w:lang w:val="en-GB"/>
        </w:rPr>
      </w:pPr>
      <w:r>
        <w:rPr>
          <w:lang w:val="en-GB"/>
        </w:rPr>
        <w:t>Despite being in daily face to face contact; Level 5 students were unable to work in a Heutagogic environment.  They require more “hands-on” direction from the tutor whereby they still have some autonomy in their learning; but the project is more directly supervised by the tutor; i.e. an Andragogic approach to learning.  The operation of the group work project with the two different types and levels of learners firmly supports the triple level theory of Pedagogy, Andragogy and Heutagogy.</w:t>
      </w:r>
    </w:p>
    <w:p w:rsidR="005E3853" w:rsidRDefault="005E3853" w:rsidP="005E3853">
      <w:pPr>
        <w:pStyle w:val="Heading1"/>
        <w:rPr>
          <w:lang w:val="en-GB"/>
        </w:rPr>
      </w:pPr>
      <w:r>
        <w:rPr>
          <w:lang w:val="en-GB"/>
        </w:rPr>
        <w:t>Recommendations</w:t>
      </w:r>
    </w:p>
    <w:p w:rsidR="005E3853" w:rsidRDefault="005E3853" w:rsidP="005E3853">
      <w:pPr>
        <w:rPr>
          <w:lang w:val="en-GB"/>
        </w:rPr>
      </w:pPr>
      <w:r>
        <w:rPr>
          <w:lang w:val="en-GB"/>
        </w:rPr>
        <w:t>The project is going to be delivered again next year to face to face students.  It was suggested by the students, and agreed by the tutors that there should be:</w:t>
      </w:r>
    </w:p>
    <w:p w:rsidR="005E3853" w:rsidRDefault="005E3853" w:rsidP="005E3853">
      <w:pPr>
        <w:numPr>
          <w:ilvl w:val="0"/>
          <w:numId w:val="48"/>
        </w:numPr>
        <w:rPr>
          <w:lang w:val="en-GB"/>
        </w:rPr>
      </w:pPr>
      <w:r>
        <w:rPr>
          <w:lang w:val="en-GB"/>
        </w:rPr>
        <w:t xml:space="preserve">More use of milestones.  The groups will be given deadlines </w:t>
      </w:r>
      <w:r w:rsidR="002F0245">
        <w:rPr>
          <w:lang w:val="en-GB"/>
        </w:rPr>
        <w:t xml:space="preserve">as to </w:t>
      </w:r>
      <w:r>
        <w:rPr>
          <w:lang w:val="en-GB"/>
        </w:rPr>
        <w:t>when</w:t>
      </w:r>
      <w:r w:rsidR="002F0245">
        <w:rPr>
          <w:lang w:val="en-GB"/>
        </w:rPr>
        <w:t>:</w:t>
      </w:r>
    </w:p>
    <w:p w:rsidR="005E3853" w:rsidRDefault="005E3853" w:rsidP="005E3853">
      <w:pPr>
        <w:numPr>
          <w:ilvl w:val="1"/>
          <w:numId w:val="48"/>
        </w:numPr>
        <w:rPr>
          <w:lang w:val="en-GB"/>
        </w:rPr>
      </w:pPr>
      <w:r>
        <w:rPr>
          <w:lang w:val="en-GB"/>
        </w:rPr>
        <w:t>The allocation of tasks to individuals is completed</w:t>
      </w:r>
      <w:r w:rsidR="002F0245">
        <w:rPr>
          <w:lang w:val="en-GB"/>
        </w:rPr>
        <w:t>,</w:t>
      </w:r>
    </w:p>
    <w:p w:rsidR="005E3853" w:rsidRDefault="002F0245" w:rsidP="005E3853">
      <w:pPr>
        <w:numPr>
          <w:ilvl w:val="1"/>
          <w:numId w:val="48"/>
        </w:numPr>
        <w:rPr>
          <w:lang w:val="en-GB"/>
        </w:rPr>
      </w:pPr>
      <w:r>
        <w:rPr>
          <w:lang w:val="en-GB"/>
        </w:rPr>
        <w:t>Initial draft findings are shown to the tutors, by individual students,</w:t>
      </w:r>
    </w:p>
    <w:p w:rsidR="002F0245" w:rsidRDefault="002F0245" w:rsidP="005E3853">
      <w:pPr>
        <w:numPr>
          <w:ilvl w:val="1"/>
          <w:numId w:val="48"/>
        </w:numPr>
        <w:rPr>
          <w:lang w:val="en-GB"/>
        </w:rPr>
      </w:pPr>
      <w:r>
        <w:rPr>
          <w:lang w:val="en-GB"/>
        </w:rPr>
        <w:t>Initial draft combined reports are shown to the tutors.</w:t>
      </w:r>
    </w:p>
    <w:p w:rsidR="002F0245" w:rsidRDefault="002F0245" w:rsidP="002F0245">
      <w:pPr>
        <w:numPr>
          <w:ilvl w:val="0"/>
          <w:numId w:val="48"/>
        </w:numPr>
        <w:rPr>
          <w:lang w:val="en-GB"/>
        </w:rPr>
      </w:pPr>
      <w:r>
        <w:rPr>
          <w:lang w:val="en-GB"/>
        </w:rPr>
        <w:t>Further instruction in the use of the technology.</w:t>
      </w:r>
    </w:p>
    <w:p w:rsidR="002F0245" w:rsidRDefault="002F0245" w:rsidP="002F0245">
      <w:pPr>
        <w:numPr>
          <w:ilvl w:val="0"/>
          <w:numId w:val="48"/>
        </w:numPr>
        <w:rPr>
          <w:lang w:val="en-GB"/>
        </w:rPr>
      </w:pPr>
      <w:r>
        <w:rPr>
          <w:lang w:val="en-GB"/>
        </w:rPr>
        <w:t>Greater emphasis on expectations and responsibilities of individual students.</w:t>
      </w:r>
    </w:p>
    <w:p w:rsidR="005E3853" w:rsidRDefault="005E3853" w:rsidP="005E3853">
      <w:pPr>
        <w:rPr>
          <w:lang w:val="en-GB"/>
        </w:rPr>
      </w:pPr>
    </w:p>
    <w:p w:rsidR="002F0245" w:rsidRDefault="002F0245">
      <w:pPr>
        <w:pStyle w:val="Heading1"/>
      </w:pPr>
      <w:r>
        <w:t>references</w:t>
      </w:r>
    </w:p>
    <w:p w:rsidR="002F0245" w:rsidRDefault="002F0245" w:rsidP="002F0245">
      <w:pPr>
        <w:pStyle w:val="Bibliography"/>
        <w:numPr>
          <w:ilvl w:val="0"/>
          <w:numId w:val="49"/>
        </w:numPr>
        <w:jc w:val="left"/>
        <w:rPr>
          <w:noProof/>
        </w:rPr>
      </w:pPr>
      <w:r>
        <w:rPr>
          <w:noProof/>
        </w:rPr>
        <w:t xml:space="preserve">Blashcke, 2012. Heutagogy and Lifelong Learning: A Review of Heutagogical Practice and Self-Determined Learning. </w:t>
      </w:r>
      <w:r>
        <w:rPr>
          <w:i/>
          <w:iCs/>
          <w:noProof/>
        </w:rPr>
        <w:t xml:space="preserve">International Review or Research in Open and Distance Learning, </w:t>
      </w:r>
      <w:r>
        <w:rPr>
          <w:noProof/>
        </w:rPr>
        <w:t>3(1).</w:t>
      </w:r>
    </w:p>
    <w:p w:rsidR="002F0245" w:rsidRDefault="002F0245" w:rsidP="002F0245">
      <w:pPr>
        <w:pStyle w:val="Bibliography"/>
        <w:numPr>
          <w:ilvl w:val="0"/>
          <w:numId w:val="49"/>
        </w:numPr>
        <w:jc w:val="left"/>
        <w:rPr>
          <w:noProof/>
        </w:rPr>
      </w:pPr>
      <w:r>
        <w:rPr>
          <w:noProof/>
        </w:rPr>
        <w:t xml:space="preserve">Kenyon, H., 2001. </w:t>
      </w:r>
      <w:r>
        <w:rPr>
          <w:i/>
          <w:iCs/>
          <w:noProof/>
        </w:rPr>
        <w:t xml:space="preserve">University of Glasgow/ Psychology. </w:t>
      </w:r>
      <w:r>
        <w:rPr>
          <w:noProof/>
        </w:rPr>
        <w:t xml:space="preserve">[Online] </w:t>
      </w:r>
      <w:r>
        <w:rPr>
          <w:noProof/>
        </w:rPr>
        <w:br/>
        <w:t xml:space="preserve">Available at: </w:t>
      </w:r>
      <w:r>
        <w:rPr>
          <w:noProof/>
          <w:u w:val="single"/>
        </w:rPr>
        <w:t>http://www.psy.gla.ac.uk/~steve/pr/Heutagogy.html</w:t>
      </w:r>
      <w:r>
        <w:rPr>
          <w:noProof/>
        </w:rPr>
        <w:br/>
        <w:t>[Accessed 25 September 2014].</w:t>
      </w:r>
    </w:p>
    <w:p w:rsidR="002F0245" w:rsidRDefault="002F0245" w:rsidP="002F0245">
      <w:pPr>
        <w:pStyle w:val="Bibliography"/>
        <w:numPr>
          <w:ilvl w:val="0"/>
          <w:numId w:val="49"/>
        </w:numPr>
        <w:jc w:val="left"/>
        <w:rPr>
          <w:noProof/>
        </w:rPr>
      </w:pPr>
      <w:r>
        <w:rPr>
          <w:noProof/>
        </w:rPr>
        <w:t xml:space="preserve">Knowles, 1970. </w:t>
      </w:r>
      <w:r>
        <w:rPr>
          <w:i/>
          <w:iCs/>
          <w:noProof/>
        </w:rPr>
        <w:t xml:space="preserve">The Modern Practice of Education. Andragogy versus Pedagogy. </w:t>
      </w:r>
      <w:r>
        <w:rPr>
          <w:noProof/>
        </w:rPr>
        <w:t>New York: Association Press.</w:t>
      </w:r>
    </w:p>
    <w:p w:rsidR="002F0245" w:rsidRDefault="002F0245" w:rsidP="002F0245">
      <w:pPr>
        <w:pStyle w:val="Bibliography"/>
        <w:numPr>
          <w:ilvl w:val="0"/>
          <w:numId w:val="49"/>
        </w:numPr>
        <w:jc w:val="left"/>
        <w:rPr>
          <w:noProof/>
        </w:rPr>
      </w:pPr>
      <w:r>
        <w:rPr>
          <w:noProof/>
        </w:rPr>
        <w:t xml:space="preserve">Narayan, B., 2010. </w:t>
      </w:r>
      <w:r>
        <w:rPr>
          <w:i/>
          <w:iCs/>
          <w:noProof/>
        </w:rPr>
        <w:t xml:space="preserve">New beginnings: Facilitating effective learning. </w:t>
      </w:r>
      <w:r>
        <w:rPr>
          <w:noProof/>
        </w:rPr>
        <w:t>Sydney, Proceedings ascilite.</w:t>
      </w:r>
    </w:p>
    <w:sectPr w:rsidR="002F0245">
      <w:pgSz w:w="11906" w:h="16838" w:code="9"/>
      <w:pgMar w:top="1418" w:right="1418" w:bottom="1418" w:left="1418"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DFCE1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30230A0"/>
    <w:lvl w:ilvl="0">
      <w:start w:val="1"/>
      <w:numFmt w:val="decimal"/>
      <w:lvlText w:val="%1."/>
      <w:lvlJc w:val="left"/>
      <w:pPr>
        <w:tabs>
          <w:tab w:val="num" w:pos="1492"/>
        </w:tabs>
        <w:ind w:left="1492" w:hanging="360"/>
      </w:pPr>
    </w:lvl>
  </w:abstractNum>
  <w:abstractNum w:abstractNumId="2">
    <w:nsid w:val="FFFFFF7D"/>
    <w:multiLevelType w:val="singleLevel"/>
    <w:tmpl w:val="7D48CE36"/>
    <w:lvl w:ilvl="0">
      <w:start w:val="1"/>
      <w:numFmt w:val="decimal"/>
      <w:lvlText w:val="%1."/>
      <w:lvlJc w:val="left"/>
      <w:pPr>
        <w:tabs>
          <w:tab w:val="num" w:pos="1209"/>
        </w:tabs>
        <w:ind w:left="1209" w:hanging="360"/>
      </w:pPr>
    </w:lvl>
  </w:abstractNum>
  <w:abstractNum w:abstractNumId="3">
    <w:nsid w:val="FFFFFF7E"/>
    <w:multiLevelType w:val="singleLevel"/>
    <w:tmpl w:val="559A8C78"/>
    <w:lvl w:ilvl="0">
      <w:start w:val="1"/>
      <w:numFmt w:val="decimal"/>
      <w:lvlText w:val="%1."/>
      <w:lvlJc w:val="left"/>
      <w:pPr>
        <w:tabs>
          <w:tab w:val="num" w:pos="926"/>
        </w:tabs>
        <w:ind w:left="926" w:hanging="360"/>
      </w:pPr>
    </w:lvl>
  </w:abstractNum>
  <w:abstractNum w:abstractNumId="4">
    <w:nsid w:val="FFFFFF7F"/>
    <w:multiLevelType w:val="singleLevel"/>
    <w:tmpl w:val="5212D3AE"/>
    <w:lvl w:ilvl="0">
      <w:start w:val="1"/>
      <w:numFmt w:val="decimal"/>
      <w:lvlText w:val="%1."/>
      <w:lvlJc w:val="left"/>
      <w:pPr>
        <w:tabs>
          <w:tab w:val="num" w:pos="643"/>
        </w:tabs>
        <w:ind w:left="643" w:hanging="360"/>
      </w:pPr>
    </w:lvl>
  </w:abstractNum>
  <w:abstractNum w:abstractNumId="5">
    <w:nsid w:val="FFFFFF80"/>
    <w:multiLevelType w:val="singleLevel"/>
    <w:tmpl w:val="83A847A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E026A80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0B4228F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34C7B8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0DD40334"/>
    <w:lvl w:ilvl="0">
      <w:start w:val="1"/>
      <w:numFmt w:val="decimal"/>
      <w:lvlText w:val="%1."/>
      <w:lvlJc w:val="left"/>
      <w:pPr>
        <w:tabs>
          <w:tab w:val="num" w:pos="360"/>
        </w:tabs>
        <w:ind w:left="360" w:hanging="360"/>
      </w:pPr>
    </w:lvl>
  </w:abstractNum>
  <w:abstractNum w:abstractNumId="10">
    <w:nsid w:val="FFFFFF89"/>
    <w:multiLevelType w:val="singleLevel"/>
    <w:tmpl w:val="C40A6D1E"/>
    <w:lvl w:ilvl="0">
      <w:start w:val="1"/>
      <w:numFmt w:val="bullet"/>
      <w:lvlText w:val=""/>
      <w:lvlJc w:val="left"/>
      <w:pPr>
        <w:tabs>
          <w:tab w:val="num" w:pos="360"/>
        </w:tabs>
        <w:ind w:left="360" w:hanging="360"/>
      </w:pPr>
      <w:rPr>
        <w:rFonts w:ascii="Symbol" w:hAnsi="Symbol" w:hint="default"/>
      </w:rPr>
    </w:lvl>
  </w:abstractNum>
  <w:abstractNum w:abstractNumId="11">
    <w:nsid w:val="00515694"/>
    <w:multiLevelType w:val="multilevel"/>
    <w:tmpl w:val="B36A799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nsid w:val="04E621A7"/>
    <w:multiLevelType w:val="multilevel"/>
    <w:tmpl w:val="9BEAEA0A"/>
    <w:lvl w:ilvl="0">
      <w:start w:val="1"/>
      <w:numFmt w:val="none"/>
      <w:suff w:val="space"/>
      <w:lvlText w:val="Keywords - "/>
      <w:lvlJc w:val="left"/>
      <w:pPr>
        <w:ind w:left="0" w:firstLine="567"/>
      </w:pPr>
      <w:rPr>
        <w:rFonts w:ascii="Arial" w:hAnsi="Arial" w:hint="default"/>
        <w:b/>
        <w:i/>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nsid w:val="0973255A"/>
    <w:multiLevelType w:val="multilevel"/>
    <w:tmpl w:val="88EEAB6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0E743C73"/>
    <w:multiLevelType w:val="hybridMultilevel"/>
    <w:tmpl w:val="80CC8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F73588A"/>
    <w:multiLevelType w:val="hybridMultilevel"/>
    <w:tmpl w:val="D41CD24A"/>
    <w:lvl w:ilvl="0" w:tplc="C088DD10">
      <w:start w:val="1"/>
      <w:numFmt w:val="decimal"/>
      <w:lvlText w:val="[%1]"/>
      <w:lvlJc w:val="left"/>
      <w:pPr>
        <w:tabs>
          <w:tab w:val="num" w:pos="360"/>
        </w:tabs>
        <w:ind w:left="36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103F6DB4"/>
    <w:multiLevelType w:val="multilevel"/>
    <w:tmpl w:val="55C6EB36"/>
    <w:lvl w:ilvl="0">
      <w:start w:val="1"/>
      <w:numFmt w:val="none"/>
      <w:suff w:val="space"/>
      <w:lvlText w:val="Keywords - "/>
      <w:lvlJc w:val="left"/>
      <w:pPr>
        <w:ind w:left="0" w:firstLine="340"/>
      </w:pPr>
      <w:rPr>
        <w:rFonts w:ascii="Arial" w:hAnsi="Arial" w:hint="default"/>
        <w:b/>
        <w:i/>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nsid w:val="14AA6C1A"/>
    <w:multiLevelType w:val="hybridMultilevel"/>
    <w:tmpl w:val="C95200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7153415"/>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1E4903D9"/>
    <w:multiLevelType w:val="hybridMultilevel"/>
    <w:tmpl w:val="81541BF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5197BA8"/>
    <w:multiLevelType w:val="multilevel"/>
    <w:tmpl w:val="3104B88E"/>
    <w:lvl w:ilvl="0">
      <w:start w:val="1"/>
      <w:numFmt w:val="none"/>
      <w:suff w:val="space"/>
      <w:lvlText w:val="Abstracts - "/>
      <w:lvlJc w:val="left"/>
      <w:pPr>
        <w:ind w:left="0" w:firstLine="0"/>
      </w:pPr>
      <w:rPr>
        <w:rFonts w:ascii="Arial" w:hAnsi="Arial" w:hint="default"/>
        <w:b/>
        <w:i w:val="0"/>
        <w:sz w:val="22"/>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nsid w:val="2762267A"/>
    <w:multiLevelType w:val="multilevel"/>
    <w:tmpl w:val="89506A0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nsid w:val="288128C4"/>
    <w:multiLevelType w:val="multilevel"/>
    <w:tmpl w:val="5C5CCD1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nsid w:val="2ACE523D"/>
    <w:multiLevelType w:val="hybridMultilevel"/>
    <w:tmpl w:val="81E0148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2F017B34"/>
    <w:multiLevelType w:val="hybridMultilevel"/>
    <w:tmpl w:val="ACE448E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05A3A1D"/>
    <w:multiLevelType w:val="hybridMultilevel"/>
    <w:tmpl w:val="A59CE6D8"/>
    <w:lvl w:ilvl="0" w:tplc="6C103D60">
      <w:start w:val="1"/>
      <w:numFmt w:val="decimal"/>
      <w:pStyle w:val="IATED-References"/>
      <w:lvlText w:val="[%1]"/>
      <w:lvlJc w:val="left"/>
      <w:pPr>
        <w:tabs>
          <w:tab w:val="num" w:pos="360"/>
        </w:tabs>
        <w:ind w:left="36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359259C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nsid w:val="36CA1E8C"/>
    <w:multiLevelType w:val="multilevel"/>
    <w:tmpl w:val="10D07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BCE1845"/>
    <w:multiLevelType w:val="hybridMultilevel"/>
    <w:tmpl w:val="80CA5E3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3BE4551C"/>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40A119C6"/>
    <w:multiLevelType w:val="multilevel"/>
    <w:tmpl w:val="E4B0AF4E"/>
    <w:lvl w:ilvl="0">
      <w:start w:val="1"/>
      <w:numFmt w:val="decimal"/>
      <w:lvlText w:val="%1.0"/>
      <w:lvlJc w:val="left"/>
      <w:pPr>
        <w:ind w:left="672" w:hanging="672"/>
      </w:pPr>
      <w:rPr>
        <w:rFonts w:ascii="Arial" w:hAnsi="Arial" w:cs="Arial" w:hint="default"/>
        <w:b/>
      </w:rPr>
    </w:lvl>
    <w:lvl w:ilvl="1">
      <w:start w:val="1"/>
      <w:numFmt w:val="decimal"/>
      <w:lvlText w:val="%1.%2"/>
      <w:lvlJc w:val="left"/>
      <w:pPr>
        <w:ind w:left="1380" w:hanging="672"/>
      </w:pPr>
      <w:rPr>
        <w:rFonts w:ascii="Arial" w:hAnsi="Arial" w:cs="Arial" w:hint="default"/>
        <w:b/>
      </w:rPr>
    </w:lvl>
    <w:lvl w:ilvl="2">
      <w:start w:val="1"/>
      <w:numFmt w:val="decimal"/>
      <w:lvlText w:val="%1.%2.%3"/>
      <w:lvlJc w:val="left"/>
      <w:pPr>
        <w:ind w:left="2136" w:hanging="720"/>
      </w:pPr>
      <w:rPr>
        <w:rFonts w:ascii="Arial" w:hAnsi="Arial" w:cs="Arial" w:hint="default"/>
        <w:b/>
      </w:rPr>
    </w:lvl>
    <w:lvl w:ilvl="3">
      <w:start w:val="1"/>
      <w:numFmt w:val="decimal"/>
      <w:lvlText w:val="%1.%2.%3.%4"/>
      <w:lvlJc w:val="left"/>
      <w:pPr>
        <w:ind w:left="2844" w:hanging="720"/>
      </w:pPr>
      <w:rPr>
        <w:rFonts w:ascii="Arial" w:hAnsi="Arial" w:cs="Arial" w:hint="default"/>
        <w:b/>
      </w:rPr>
    </w:lvl>
    <w:lvl w:ilvl="4">
      <w:start w:val="1"/>
      <w:numFmt w:val="decimal"/>
      <w:lvlText w:val="%1.%2.%3.%4.%5"/>
      <w:lvlJc w:val="left"/>
      <w:pPr>
        <w:ind w:left="3912" w:hanging="1080"/>
      </w:pPr>
      <w:rPr>
        <w:rFonts w:ascii="Arial" w:hAnsi="Arial" w:cs="Arial" w:hint="default"/>
        <w:b/>
      </w:rPr>
    </w:lvl>
    <w:lvl w:ilvl="5">
      <w:start w:val="1"/>
      <w:numFmt w:val="decimal"/>
      <w:lvlText w:val="%1.%2.%3.%4.%5.%6"/>
      <w:lvlJc w:val="left"/>
      <w:pPr>
        <w:ind w:left="4980" w:hanging="1440"/>
      </w:pPr>
      <w:rPr>
        <w:rFonts w:ascii="Arial" w:hAnsi="Arial" w:cs="Arial" w:hint="default"/>
        <w:b/>
      </w:rPr>
    </w:lvl>
    <w:lvl w:ilvl="6">
      <w:start w:val="1"/>
      <w:numFmt w:val="decimal"/>
      <w:lvlText w:val="%1.%2.%3.%4.%5.%6.%7"/>
      <w:lvlJc w:val="left"/>
      <w:pPr>
        <w:ind w:left="5688" w:hanging="1440"/>
      </w:pPr>
      <w:rPr>
        <w:rFonts w:ascii="Arial" w:hAnsi="Arial" w:cs="Arial" w:hint="default"/>
        <w:b/>
      </w:rPr>
    </w:lvl>
    <w:lvl w:ilvl="7">
      <w:start w:val="1"/>
      <w:numFmt w:val="decimal"/>
      <w:lvlText w:val="%1.%2.%3.%4.%5.%6.%7.%8"/>
      <w:lvlJc w:val="left"/>
      <w:pPr>
        <w:ind w:left="6756" w:hanging="1800"/>
      </w:pPr>
      <w:rPr>
        <w:rFonts w:ascii="Arial" w:hAnsi="Arial" w:cs="Arial" w:hint="default"/>
        <w:b/>
      </w:rPr>
    </w:lvl>
    <w:lvl w:ilvl="8">
      <w:start w:val="1"/>
      <w:numFmt w:val="decimal"/>
      <w:lvlText w:val="%1.%2.%3.%4.%5.%6.%7.%8.%9"/>
      <w:lvlJc w:val="left"/>
      <w:pPr>
        <w:ind w:left="7464" w:hanging="1800"/>
      </w:pPr>
      <w:rPr>
        <w:rFonts w:ascii="Arial" w:hAnsi="Arial" w:cs="Arial" w:hint="default"/>
        <w:b/>
      </w:rPr>
    </w:lvl>
  </w:abstractNum>
  <w:abstractNum w:abstractNumId="31">
    <w:nsid w:val="47EA2D20"/>
    <w:multiLevelType w:val="multilevel"/>
    <w:tmpl w:val="7A4A061E"/>
    <w:lvl w:ilvl="0">
      <w:start w:val="1"/>
      <w:numFmt w:val="none"/>
      <w:suff w:val="space"/>
      <w:lvlText w:val="Keywords - "/>
      <w:lvlJc w:val="left"/>
      <w:pPr>
        <w:ind w:left="567" w:firstLine="0"/>
      </w:pPr>
      <w:rPr>
        <w:rFonts w:ascii="Arial" w:hAnsi="Arial" w:hint="default"/>
        <w:b/>
        <w:i/>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2">
    <w:nsid w:val="49841C1C"/>
    <w:multiLevelType w:val="hybridMultilevel"/>
    <w:tmpl w:val="42D4254C"/>
    <w:lvl w:ilvl="0" w:tplc="43381630">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522178B8"/>
    <w:multiLevelType w:val="multilevel"/>
    <w:tmpl w:val="71A2BCCA"/>
    <w:lvl w:ilvl="0">
      <w:start w:val="1"/>
      <w:numFmt w:val="none"/>
      <w:suff w:val="space"/>
      <w:lvlText w:val="Abstracts - "/>
      <w:lvlJc w:val="left"/>
      <w:pPr>
        <w:ind w:left="0" w:firstLine="0"/>
      </w:pPr>
      <w:rPr>
        <w:rFonts w:ascii="Arial" w:hAnsi="Arial" w:hint="default"/>
        <w:b/>
        <w:i w:val="0"/>
        <w:sz w:val="22"/>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4">
    <w:nsid w:val="55AB5007"/>
    <w:multiLevelType w:val="hybridMultilevel"/>
    <w:tmpl w:val="0E82FE3C"/>
    <w:lvl w:ilvl="0" w:tplc="08090017">
      <w:start w:val="1"/>
      <w:numFmt w:val="lowerLetter"/>
      <w:lvlText w:val="%1)"/>
      <w:lvlJc w:val="left"/>
      <w:pPr>
        <w:tabs>
          <w:tab w:val="num" w:pos="780"/>
        </w:tabs>
        <w:ind w:left="7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5">
    <w:nsid w:val="56F07738"/>
    <w:multiLevelType w:val="hybridMultilevel"/>
    <w:tmpl w:val="38EADA44"/>
    <w:lvl w:ilvl="0" w:tplc="08090017">
      <w:start w:val="1"/>
      <w:numFmt w:val="lowerLetter"/>
      <w:lvlText w:val="%1)"/>
      <w:lvlJc w:val="left"/>
      <w:pPr>
        <w:ind w:left="787" w:hanging="360"/>
      </w:pPr>
    </w:lvl>
    <w:lvl w:ilvl="1" w:tplc="08090019" w:tentative="1">
      <w:start w:val="1"/>
      <w:numFmt w:val="lowerLetter"/>
      <w:lvlText w:val="%2."/>
      <w:lvlJc w:val="left"/>
      <w:pPr>
        <w:ind w:left="1507" w:hanging="360"/>
      </w:pPr>
    </w:lvl>
    <w:lvl w:ilvl="2" w:tplc="0809001B" w:tentative="1">
      <w:start w:val="1"/>
      <w:numFmt w:val="lowerRoman"/>
      <w:lvlText w:val="%3."/>
      <w:lvlJc w:val="right"/>
      <w:pPr>
        <w:ind w:left="2227" w:hanging="180"/>
      </w:pPr>
    </w:lvl>
    <w:lvl w:ilvl="3" w:tplc="0809000F" w:tentative="1">
      <w:start w:val="1"/>
      <w:numFmt w:val="decimal"/>
      <w:lvlText w:val="%4."/>
      <w:lvlJc w:val="left"/>
      <w:pPr>
        <w:ind w:left="2947" w:hanging="360"/>
      </w:pPr>
    </w:lvl>
    <w:lvl w:ilvl="4" w:tplc="08090019" w:tentative="1">
      <w:start w:val="1"/>
      <w:numFmt w:val="lowerLetter"/>
      <w:lvlText w:val="%5."/>
      <w:lvlJc w:val="left"/>
      <w:pPr>
        <w:ind w:left="3667" w:hanging="360"/>
      </w:pPr>
    </w:lvl>
    <w:lvl w:ilvl="5" w:tplc="0809001B" w:tentative="1">
      <w:start w:val="1"/>
      <w:numFmt w:val="lowerRoman"/>
      <w:lvlText w:val="%6."/>
      <w:lvlJc w:val="right"/>
      <w:pPr>
        <w:ind w:left="4387" w:hanging="180"/>
      </w:pPr>
    </w:lvl>
    <w:lvl w:ilvl="6" w:tplc="0809000F" w:tentative="1">
      <w:start w:val="1"/>
      <w:numFmt w:val="decimal"/>
      <w:lvlText w:val="%7."/>
      <w:lvlJc w:val="left"/>
      <w:pPr>
        <w:ind w:left="5107" w:hanging="360"/>
      </w:pPr>
    </w:lvl>
    <w:lvl w:ilvl="7" w:tplc="08090019" w:tentative="1">
      <w:start w:val="1"/>
      <w:numFmt w:val="lowerLetter"/>
      <w:lvlText w:val="%8."/>
      <w:lvlJc w:val="left"/>
      <w:pPr>
        <w:ind w:left="5827" w:hanging="360"/>
      </w:pPr>
    </w:lvl>
    <w:lvl w:ilvl="8" w:tplc="0809001B" w:tentative="1">
      <w:start w:val="1"/>
      <w:numFmt w:val="lowerRoman"/>
      <w:lvlText w:val="%9."/>
      <w:lvlJc w:val="right"/>
      <w:pPr>
        <w:ind w:left="6547" w:hanging="180"/>
      </w:pPr>
    </w:lvl>
  </w:abstractNum>
  <w:abstractNum w:abstractNumId="36">
    <w:nsid w:val="590E345F"/>
    <w:multiLevelType w:val="hybridMultilevel"/>
    <w:tmpl w:val="D41CD24A"/>
    <w:lvl w:ilvl="0" w:tplc="4542615E">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5AD574F6"/>
    <w:multiLevelType w:val="multilevel"/>
    <w:tmpl w:val="AC9C5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3E47E8A"/>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65902524"/>
    <w:multiLevelType w:val="multilevel"/>
    <w:tmpl w:val="402A187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0">
    <w:nsid w:val="675C7D47"/>
    <w:multiLevelType w:val="multilevel"/>
    <w:tmpl w:val="88EEAB6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nsid w:val="677E18D5"/>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69C500E3"/>
    <w:multiLevelType w:val="multilevel"/>
    <w:tmpl w:val="67FA5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5050F8D"/>
    <w:multiLevelType w:val="hybridMultilevel"/>
    <w:tmpl w:val="A94EC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6DE6650"/>
    <w:multiLevelType w:val="hybridMultilevel"/>
    <w:tmpl w:val="B8B467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7E637291"/>
    <w:multiLevelType w:val="multilevel"/>
    <w:tmpl w:val="E4B0AF4E"/>
    <w:lvl w:ilvl="0">
      <w:start w:val="1"/>
      <w:numFmt w:val="decimal"/>
      <w:lvlText w:val="%1.0"/>
      <w:lvlJc w:val="left"/>
      <w:pPr>
        <w:ind w:left="672" w:hanging="672"/>
      </w:pPr>
      <w:rPr>
        <w:rFonts w:ascii="Arial" w:hAnsi="Arial" w:cs="Arial" w:hint="default"/>
        <w:b/>
      </w:rPr>
    </w:lvl>
    <w:lvl w:ilvl="1">
      <w:start w:val="1"/>
      <w:numFmt w:val="decimal"/>
      <w:lvlText w:val="%1.%2"/>
      <w:lvlJc w:val="left"/>
      <w:pPr>
        <w:ind w:left="1380" w:hanging="672"/>
      </w:pPr>
      <w:rPr>
        <w:rFonts w:ascii="Arial" w:hAnsi="Arial" w:cs="Arial" w:hint="default"/>
        <w:b/>
      </w:rPr>
    </w:lvl>
    <w:lvl w:ilvl="2">
      <w:start w:val="1"/>
      <w:numFmt w:val="decimal"/>
      <w:lvlText w:val="%1.%2.%3"/>
      <w:lvlJc w:val="left"/>
      <w:pPr>
        <w:ind w:left="2136" w:hanging="720"/>
      </w:pPr>
      <w:rPr>
        <w:rFonts w:ascii="Arial" w:hAnsi="Arial" w:cs="Arial" w:hint="default"/>
        <w:b/>
      </w:rPr>
    </w:lvl>
    <w:lvl w:ilvl="3">
      <w:start w:val="1"/>
      <w:numFmt w:val="decimal"/>
      <w:lvlText w:val="%1.%2.%3.%4"/>
      <w:lvlJc w:val="left"/>
      <w:pPr>
        <w:ind w:left="2844" w:hanging="720"/>
      </w:pPr>
      <w:rPr>
        <w:rFonts w:ascii="Arial" w:hAnsi="Arial" w:cs="Arial" w:hint="default"/>
        <w:b/>
      </w:rPr>
    </w:lvl>
    <w:lvl w:ilvl="4">
      <w:start w:val="1"/>
      <w:numFmt w:val="decimal"/>
      <w:lvlText w:val="%1.%2.%3.%4.%5"/>
      <w:lvlJc w:val="left"/>
      <w:pPr>
        <w:ind w:left="3912" w:hanging="1080"/>
      </w:pPr>
      <w:rPr>
        <w:rFonts w:ascii="Arial" w:hAnsi="Arial" w:cs="Arial" w:hint="default"/>
        <w:b/>
      </w:rPr>
    </w:lvl>
    <w:lvl w:ilvl="5">
      <w:start w:val="1"/>
      <w:numFmt w:val="decimal"/>
      <w:lvlText w:val="%1.%2.%3.%4.%5.%6"/>
      <w:lvlJc w:val="left"/>
      <w:pPr>
        <w:ind w:left="4980" w:hanging="1440"/>
      </w:pPr>
      <w:rPr>
        <w:rFonts w:ascii="Arial" w:hAnsi="Arial" w:cs="Arial" w:hint="default"/>
        <w:b/>
      </w:rPr>
    </w:lvl>
    <w:lvl w:ilvl="6">
      <w:start w:val="1"/>
      <w:numFmt w:val="decimal"/>
      <w:lvlText w:val="%1.%2.%3.%4.%5.%6.%7"/>
      <w:lvlJc w:val="left"/>
      <w:pPr>
        <w:ind w:left="5688" w:hanging="1440"/>
      </w:pPr>
      <w:rPr>
        <w:rFonts w:ascii="Arial" w:hAnsi="Arial" w:cs="Arial" w:hint="default"/>
        <w:b/>
      </w:rPr>
    </w:lvl>
    <w:lvl w:ilvl="7">
      <w:start w:val="1"/>
      <w:numFmt w:val="decimal"/>
      <w:lvlText w:val="%1.%2.%3.%4.%5.%6.%7.%8"/>
      <w:lvlJc w:val="left"/>
      <w:pPr>
        <w:ind w:left="6756" w:hanging="1800"/>
      </w:pPr>
      <w:rPr>
        <w:rFonts w:ascii="Arial" w:hAnsi="Arial" w:cs="Arial" w:hint="default"/>
        <w:b/>
      </w:rPr>
    </w:lvl>
    <w:lvl w:ilvl="8">
      <w:start w:val="1"/>
      <w:numFmt w:val="decimal"/>
      <w:lvlText w:val="%1.%2.%3.%4.%5.%6.%7.%8.%9"/>
      <w:lvlJc w:val="left"/>
      <w:pPr>
        <w:ind w:left="7464" w:hanging="1800"/>
      </w:pPr>
      <w:rPr>
        <w:rFonts w:ascii="Arial" w:hAnsi="Arial" w:cs="Arial" w:hint="default"/>
        <w:b/>
      </w:rPr>
    </w:lvl>
  </w:abstractNum>
  <w:abstractNum w:abstractNumId="46">
    <w:nsid w:val="7F960400"/>
    <w:multiLevelType w:val="multilevel"/>
    <w:tmpl w:val="9C0E516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upperLetter"/>
      <w:lvlText w:val="%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9"/>
  </w:num>
  <w:num w:numId="2">
    <w:abstractNumId w:val="32"/>
  </w:num>
  <w:num w:numId="3">
    <w:abstractNumId w:val="36"/>
  </w:num>
  <w:num w:numId="4">
    <w:abstractNumId w:val="15"/>
  </w:num>
  <w:num w:numId="5">
    <w:abstractNumId w:val="25"/>
  </w:num>
  <w:num w:numId="6">
    <w:abstractNumId w:val="22"/>
  </w:num>
  <w:num w:numId="7">
    <w:abstractNumId w:val="16"/>
  </w:num>
  <w:num w:numId="8">
    <w:abstractNumId w:val="29"/>
  </w:num>
  <w:num w:numId="9">
    <w:abstractNumId w:val="38"/>
  </w:num>
  <w:num w:numId="10">
    <w:abstractNumId w:val="33"/>
  </w:num>
  <w:num w:numId="11">
    <w:abstractNumId w:val="18"/>
  </w:num>
  <w:num w:numId="12">
    <w:abstractNumId w:val="31"/>
  </w:num>
  <w:num w:numId="13">
    <w:abstractNumId w:val="12"/>
  </w:num>
  <w:num w:numId="14">
    <w:abstractNumId w:val="20"/>
  </w:num>
  <w:num w:numId="15">
    <w:abstractNumId w:val="11"/>
  </w:num>
  <w:num w:numId="16">
    <w:abstractNumId w:val="21"/>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40"/>
  </w:num>
  <w:num w:numId="20">
    <w:abstractNumId w:val="46"/>
  </w:num>
  <w:num w:numId="21">
    <w:abstractNumId w:val="41"/>
  </w:num>
  <w:num w:numId="22">
    <w:abstractNumId w:val="9"/>
  </w:num>
  <w:num w:numId="23">
    <w:abstractNumId w:val="4"/>
  </w:num>
  <w:num w:numId="24">
    <w:abstractNumId w:val="3"/>
  </w:num>
  <w:num w:numId="25">
    <w:abstractNumId w:val="2"/>
  </w:num>
  <w:num w:numId="26">
    <w:abstractNumId w:val="7"/>
  </w:num>
  <w:num w:numId="27">
    <w:abstractNumId w:val="6"/>
  </w:num>
  <w:num w:numId="28">
    <w:abstractNumId w:val="5"/>
  </w:num>
  <w:num w:numId="29">
    <w:abstractNumId w:val="0"/>
  </w:num>
  <w:num w:numId="30">
    <w:abstractNumId w:val="1"/>
  </w:num>
  <w:num w:numId="31">
    <w:abstractNumId w:val="10"/>
  </w:num>
  <w:num w:numId="32">
    <w:abstractNumId w:val="8"/>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num>
  <w:num w:numId="35">
    <w:abstractNumId w:val="44"/>
  </w:num>
  <w:num w:numId="36">
    <w:abstractNumId w:val="14"/>
  </w:num>
  <w:num w:numId="37">
    <w:abstractNumId w:val="37"/>
  </w:num>
  <w:num w:numId="38">
    <w:abstractNumId w:val="26"/>
  </w:num>
  <w:num w:numId="39">
    <w:abstractNumId w:val="34"/>
  </w:num>
  <w:num w:numId="40">
    <w:abstractNumId w:val="35"/>
  </w:num>
  <w:num w:numId="41">
    <w:abstractNumId w:val="28"/>
  </w:num>
  <w:num w:numId="42">
    <w:abstractNumId w:val="24"/>
  </w:num>
  <w:num w:numId="43">
    <w:abstractNumId w:val="30"/>
  </w:num>
  <w:num w:numId="44">
    <w:abstractNumId w:val="45"/>
  </w:num>
  <w:num w:numId="45">
    <w:abstractNumId w:val="43"/>
  </w:num>
  <w:num w:numId="46">
    <w:abstractNumId w:val="23"/>
  </w:num>
  <w:num w:numId="47">
    <w:abstractNumId w:val="27"/>
  </w:num>
  <w:num w:numId="48">
    <w:abstractNumId w:val="17"/>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SortMethod w:val="000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8BC"/>
    <w:rsid w:val="00036AB3"/>
    <w:rsid w:val="00042F07"/>
    <w:rsid w:val="00054DA1"/>
    <w:rsid w:val="000D02DE"/>
    <w:rsid w:val="00101089"/>
    <w:rsid w:val="00117BB0"/>
    <w:rsid w:val="001B7620"/>
    <w:rsid w:val="001C50E1"/>
    <w:rsid w:val="001E3481"/>
    <w:rsid w:val="00280F57"/>
    <w:rsid w:val="002E783E"/>
    <w:rsid w:val="002F0245"/>
    <w:rsid w:val="003575F0"/>
    <w:rsid w:val="00374368"/>
    <w:rsid w:val="003A4B43"/>
    <w:rsid w:val="004E781C"/>
    <w:rsid w:val="004F3949"/>
    <w:rsid w:val="005E1742"/>
    <w:rsid w:val="005E3853"/>
    <w:rsid w:val="006C5CAE"/>
    <w:rsid w:val="006E6635"/>
    <w:rsid w:val="007B60CD"/>
    <w:rsid w:val="008018BC"/>
    <w:rsid w:val="00844D3A"/>
    <w:rsid w:val="008B5A72"/>
    <w:rsid w:val="008F656F"/>
    <w:rsid w:val="0095251D"/>
    <w:rsid w:val="009572FC"/>
    <w:rsid w:val="009F7A8F"/>
    <w:rsid w:val="00AB375B"/>
    <w:rsid w:val="00B12BF8"/>
    <w:rsid w:val="00B55A17"/>
    <w:rsid w:val="00B92004"/>
    <w:rsid w:val="00C6439C"/>
    <w:rsid w:val="00CC34DB"/>
    <w:rsid w:val="00D2351C"/>
    <w:rsid w:val="00D57BC9"/>
    <w:rsid w:val="00DA38E4"/>
    <w:rsid w:val="00DF1746"/>
    <w:rsid w:val="00E013D9"/>
    <w:rsid w:val="00E516FA"/>
    <w:rsid w:val="00ED697A"/>
    <w:rsid w:val="00EF618A"/>
    <w:rsid w:val="00F14888"/>
    <w:rsid w:val="00F9497B"/>
    <w:rsid w:val="00F94BDD"/>
    <w:rsid w:val="00FA4736"/>
    <w:rsid w:val="00FD365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aliases w:val="IATED-Text"/>
    <w:qFormat/>
    <w:rsid w:val="005E1742"/>
    <w:pPr>
      <w:spacing w:before="120" w:after="120"/>
      <w:jc w:val="both"/>
    </w:pPr>
    <w:rPr>
      <w:rFonts w:ascii="Arial" w:hAnsi="Arial"/>
      <w:szCs w:val="24"/>
      <w:lang w:val="en-US" w:eastAsia="es-ES"/>
    </w:rPr>
  </w:style>
  <w:style w:type="paragraph" w:styleId="Heading1">
    <w:name w:val="heading 1"/>
    <w:aliases w:val="IATED-Section"/>
    <w:next w:val="Normal"/>
    <w:link w:val="Heading1Char"/>
    <w:uiPriority w:val="9"/>
    <w:qFormat/>
    <w:rsid w:val="005E1742"/>
    <w:pPr>
      <w:keepNext/>
      <w:numPr>
        <w:numId w:val="15"/>
      </w:numPr>
      <w:spacing w:before="360" w:after="60"/>
      <w:outlineLvl w:val="0"/>
    </w:pPr>
    <w:rPr>
      <w:rFonts w:ascii="Arial" w:hAnsi="Arial"/>
      <w:b/>
      <w:bCs/>
      <w:caps/>
      <w:kern w:val="32"/>
      <w:sz w:val="24"/>
      <w:szCs w:val="32"/>
      <w:lang w:val="en-US" w:eastAsia="es-ES"/>
    </w:rPr>
  </w:style>
  <w:style w:type="paragraph" w:styleId="Heading2">
    <w:name w:val="heading 2"/>
    <w:aliases w:val="IATED-Subsection"/>
    <w:next w:val="Normal"/>
    <w:link w:val="Heading2Char"/>
    <w:qFormat/>
    <w:rsid w:val="005E1742"/>
    <w:pPr>
      <w:keepNext/>
      <w:numPr>
        <w:ilvl w:val="1"/>
        <w:numId w:val="15"/>
      </w:numPr>
      <w:spacing w:before="240" w:after="60"/>
      <w:outlineLvl w:val="1"/>
    </w:pPr>
    <w:rPr>
      <w:rFonts w:ascii="Arial" w:hAnsi="Arial"/>
      <w:b/>
      <w:bCs/>
      <w:iCs/>
      <w:sz w:val="24"/>
      <w:szCs w:val="28"/>
      <w:lang w:val="en-US" w:eastAsia="es-ES"/>
    </w:rPr>
  </w:style>
  <w:style w:type="paragraph" w:styleId="Heading3">
    <w:name w:val="heading 3"/>
    <w:aliases w:val="IATED-Subsubsection"/>
    <w:basedOn w:val="Normal"/>
    <w:next w:val="Normal"/>
    <w:link w:val="Heading3Char"/>
    <w:qFormat/>
    <w:rsid w:val="005E1742"/>
    <w:pPr>
      <w:keepNext/>
      <w:numPr>
        <w:ilvl w:val="2"/>
        <w:numId w:val="15"/>
      </w:numPr>
      <w:spacing w:before="180" w:after="60"/>
      <w:outlineLvl w:val="2"/>
    </w:pPr>
    <w:rPr>
      <w:bCs/>
      <w:i/>
      <w:sz w:val="22"/>
      <w:szCs w:val="26"/>
    </w:rPr>
  </w:style>
  <w:style w:type="paragraph" w:styleId="Heading4">
    <w:name w:val="heading 4"/>
    <w:basedOn w:val="Normal"/>
    <w:next w:val="Normal"/>
    <w:link w:val="Heading4Char"/>
    <w:qFormat/>
    <w:rsid w:val="00996EF6"/>
    <w:pPr>
      <w:keepNext/>
      <w:numPr>
        <w:ilvl w:val="3"/>
        <w:numId w:val="15"/>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996EF6"/>
    <w:pPr>
      <w:numPr>
        <w:ilvl w:val="4"/>
        <w:numId w:val="15"/>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996EF6"/>
    <w:pPr>
      <w:numPr>
        <w:ilvl w:val="5"/>
        <w:numId w:val="15"/>
      </w:numPr>
      <w:spacing w:before="240" w:after="60"/>
      <w:outlineLvl w:val="5"/>
    </w:pPr>
    <w:rPr>
      <w:rFonts w:ascii="Cambria" w:hAnsi="Cambria"/>
      <w:b/>
      <w:bCs/>
      <w:sz w:val="22"/>
      <w:szCs w:val="22"/>
    </w:rPr>
  </w:style>
  <w:style w:type="paragraph" w:styleId="Heading7">
    <w:name w:val="heading 7"/>
    <w:basedOn w:val="Normal"/>
    <w:next w:val="Normal"/>
    <w:link w:val="Heading7Char"/>
    <w:qFormat/>
    <w:rsid w:val="00996EF6"/>
    <w:pPr>
      <w:numPr>
        <w:ilvl w:val="6"/>
        <w:numId w:val="15"/>
      </w:numPr>
      <w:spacing w:before="240" w:after="60"/>
      <w:outlineLvl w:val="6"/>
    </w:pPr>
    <w:rPr>
      <w:rFonts w:ascii="Cambria" w:hAnsi="Cambria"/>
    </w:rPr>
  </w:style>
  <w:style w:type="paragraph" w:styleId="Heading8">
    <w:name w:val="heading 8"/>
    <w:basedOn w:val="Normal"/>
    <w:next w:val="Normal"/>
    <w:link w:val="Heading8Char"/>
    <w:qFormat/>
    <w:rsid w:val="00996EF6"/>
    <w:pPr>
      <w:numPr>
        <w:ilvl w:val="7"/>
        <w:numId w:val="15"/>
      </w:numPr>
      <w:spacing w:before="240" w:after="60"/>
      <w:outlineLvl w:val="7"/>
    </w:pPr>
    <w:rPr>
      <w:rFonts w:ascii="Cambria" w:hAnsi="Cambria"/>
      <w:i/>
      <w:iCs/>
    </w:rPr>
  </w:style>
  <w:style w:type="paragraph" w:styleId="Heading9">
    <w:name w:val="heading 9"/>
    <w:basedOn w:val="Normal"/>
    <w:next w:val="Normal"/>
    <w:link w:val="Heading9Char"/>
    <w:qFormat/>
    <w:rsid w:val="00996EF6"/>
    <w:pPr>
      <w:numPr>
        <w:ilvl w:val="8"/>
        <w:numId w:val="15"/>
      </w:numPr>
      <w:spacing w:before="240" w:after="60"/>
      <w:outlineLvl w:val="8"/>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IATED-Title"/>
    <w:basedOn w:val="Normal"/>
    <w:qFormat/>
    <w:rsid w:val="00D57BC9"/>
    <w:pPr>
      <w:spacing w:before="480"/>
      <w:jc w:val="center"/>
    </w:pPr>
    <w:rPr>
      <w:b/>
      <w:bCs/>
      <w:sz w:val="24"/>
    </w:rPr>
  </w:style>
  <w:style w:type="paragraph" w:customStyle="1" w:styleId="IATED-PaperTitle">
    <w:name w:val="IATED-Paper Title"/>
    <w:next w:val="IATED-Authors"/>
    <w:qFormat/>
    <w:rsid w:val="005E1742"/>
    <w:pPr>
      <w:spacing w:before="240" w:after="240"/>
      <w:jc w:val="center"/>
    </w:pPr>
    <w:rPr>
      <w:rFonts w:ascii="Arial" w:hAnsi="Arial" w:cs="Arial"/>
      <w:b/>
      <w:bCs/>
      <w:caps/>
      <w:sz w:val="28"/>
      <w:szCs w:val="24"/>
      <w:lang w:val="en-US" w:eastAsia="es-ES"/>
    </w:rPr>
  </w:style>
  <w:style w:type="paragraph" w:customStyle="1" w:styleId="IATED-Authors">
    <w:name w:val="IATED-Authors"/>
    <w:next w:val="IATED-Affiliation"/>
    <w:qFormat/>
    <w:rsid w:val="005E1742"/>
    <w:pPr>
      <w:spacing w:after="120"/>
      <w:jc w:val="center"/>
    </w:pPr>
    <w:rPr>
      <w:rFonts w:ascii="Arial" w:hAnsi="Arial" w:cs="Arial"/>
      <w:b/>
      <w:bCs/>
      <w:sz w:val="24"/>
      <w:szCs w:val="24"/>
      <w:lang w:val="en-US" w:eastAsia="es-ES"/>
    </w:rPr>
  </w:style>
  <w:style w:type="paragraph" w:customStyle="1" w:styleId="IATED-Affiliation">
    <w:name w:val="IATED-Affiliation"/>
    <w:qFormat/>
    <w:rsid w:val="005E1742"/>
    <w:pPr>
      <w:jc w:val="center"/>
    </w:pPr>
    <w:rPr>
      <w:rFonts w:ascii="Arial" w:hAnsi="Arial" w:cs="Arial"/>
      <w:i/>
      <w:sz w:val="22"/>
      <w:szCs w:val="24"/>
      <w:lang w:val="en-US" w:eastAsia="es-ES"/>
    </w:rPr>
  </w:style>
  <w:style w:type="paragraph" w:styleId="FootnoteText">
    <w:name w:val="footnote text"/>
    <w:basedOn w:val="Normal"/>
    <w:link w:val="FootnoteTextChar"/>
    <w:rsid w:val="005E1742"/>
    <w:rPr>
      <w:sz w:val="16"/>
    </w:rPr>
  </w:style>
  <w:style w:type="paragraph" w:customStyle="1" w:styleId="IATED-email">
    <w:name w:val="IATED-email"/>
    <w:qFormat/>
    <w:rsid w:val="005E1742"/>
    <w:pPr>
      <w:spacing w:after="480"/>
      <w:jc w:val="center"/>
    </w:pPr>
    <w:rPr>
      <w:rFonts w:ascii="Arial" w:hAnsi="Arial" w:cs="Arial"/>
      <w:i/>
      <w:iCs/>
      <w:sz w:val="22"/>
      <w:szCs w:val="24"/>
      <w:lang w:val="en-US" w:eastAsia="es-ES"/>
    </w:rPr>
  </w:style>
  <w:style w:type="paragraph" w:customStyle="1" w:styleId="IATED-References">
    <w:name w:val="IATED-References"/>
    <w:basedOn w:val="Title"/>
    <w:autoRedefine/>
    <w:qFormat/>
    <w:rsid w:val="005E1742"/>
    <w:pPr>
      <w:numPr>
        <w:numId w:val="5"/>
      </w:numPr>
      <w:tabs>
        <w:tab w:val="clear" w:pos="360"/>
        <w:tab w:val="left" w:pos="567"/>
      </w:tabs>
      <w:spacing w:before="120"/>
      <w:ind w:left="567" w:hanging="567"/>
      <w:jc w:val="left"/>
    </w:pPr>
    <w:rPr>
      <w:rFonts w:cs="Arial"/>
      <w:b w:val="0"/>
      <w:bCs w:val="0"/>
      <w:sz w:val="20"/>
    </w:rPr>
  </w:style>
  <w:style w:type="character" w:customStyle="1" w:styleId="FootnoteTextChar">
    <w:name w:val="Footnote Text Char"/>
    <w:link w:val="FootnoteText"/>
    <w:rsid w:val="005E1742"/>
    <w:rPr>
      <w:rFonts w:ascii="Arial" w:hAnsi="Arial"/>
      <w:sz w:val="16"/>
      <w:szCs w:val="24"/>
    </w:rPr>
  </w:style>
  <w:style w:type="character" w:customStyle="1" w:styleId="Heading2Char">
    <w:name w:val="Heading 2 Char"/>
    <w:aliases w:val="IATED-Subsection Char"/>
    <w:link w:val="Heading2"/>
    <w:rsid w:val="005E1742"/>
    <w:rPr>
      <w:rFonts w:ascii="Arial" w:hAnsi="Arial"/>
      <w:b/>
      <w:bCs/>
      <w:iCs/>
      <w:sz w:val="24"/>
      <w:szCs w:val="28"/>
      <w:lang w:val="en-US" w:eastAsia="es-ES"/>
    </w:rPr>
  </w:style>
  <w:style w:type="character" w:customStyle="1" w:styleId="Heading3Char">
    <w:name w:val="Heading 3 Char"/>
    <w:aliases w:val="IATED-Subsubsection Char"/>
    <w:link w:val="Heading3"/>
    <w:rsid w:val="005E1742"/>
    <w:rPr>
      <w:rFonts w:ascii="Arial" w:hAnsi="Arial"/>
      <w:bCs/>
      <w:i/>
      <w:sz w:val="22"/>
      <w:szCs w:val="26"/>
      <w:lang w:val="en-US" w:eastAsia="es-ES"/>
    </w:rPr>
  </w:style>
  <w:style w:type="character" w:customStyle="1" w:styleId="Heading4Char">
    <w:name w:val="Heading 4 Char"/>
    <w:link w:val="Heading4"/>
    <w:rsid w:val="00996EF6"/>
    <w:rPr>
      <w:rFonts w:ascii="Cambria" w:hAnsi="Cambria"/>
      <w:b/>
      <w:bCs/>
      <w:sz w:val="28"/>
      <w:szCs w:val="28"/>
      <w:lang w:val="en-US" w:eastAsia="es-ES"/>
    </w:rPr>
  </w:style>
  <w:style w:type="character" w:customStyle="1" w:styleId="Heading5Char">
    <w:name w:val="Heading 5 Char"/>
    <w:link w:val="Heading5"/>
    <w:rsid w:val="00996EF6"/>
    <w:rPr>
      <w:rFonts w:ascii="Cambria" w:hAnsi="Cambria"/>
      <w:b/>
      <w:bCs/>
      <w:i/>
      <w:iCs/>
      <w:sz w:val="26"/>
      <w:szCs w:val="26"/>
      <w:lang w:val="en-US" w:eastAsia="es-ES"/>
    </w:rPr>
  </w:style>
  <w:style w:type="character" w:customStyle="1" w:styleId="Heading6Char">
    <w:name w:val="Heading 6 Char"/>
    <w:link w:val="Heading6"/>
    <w:rsid w:val="00996EF6"/>
    <w:rPr>
      <w:rFonts w:ascii="Cambria" w:hAnsi="Cambria"/>
      <w:b/>
      <w:bCs/>
      <w:sz w:val="22"/>
      <w:szCs w:val="22"/>
      <w:lang w:val="en-US" w:eastAsia="es-ES"/>
    </w:rPr>
  </w:style>
  <w:style w:type="character" w:customStyle="1" w:styleId="Heading7Char">
    <w:name w:val="Heading 7 Char"/>
    <w:link w:val="Heading7"/>
    <w:rsid w:val="00996EF6"/>
    <w:rPr>
      <w:rFonts w:ascii="Cambria" w:hAnsi="Cambria"/>
      <w:szCs w:val="24"/>
      <w:lang w:val="en-US" w:eastAsia="es-ES"/>
    </w:rPr>
  </w:style>
  <w:style w:type="character" w:customStyle="1" w:styleId="Heading8Char">
    <w:name w:val="Heading 8 Char"/>
    <w:link w:val="Heading8"/>
    <w:rsid w:val="00996EF6"/>
    <w:rPr>
      <w:rFonts w:ascii="Cambria" w:hAnsi="Cambria"/>
      <w:i/>
      <w:iCs/>
      <w:szCs w:val="24"/>
      <w:lang w:val="en-US" w:eastAsia="es-ES"/>
    </w:rPr>
  </w:style>
  <w:style w:type="character" w:customStyle="1" w:styleId="Heading9Char">
    <w:name w:val="Heading 9 Char"/>
    <w:link w:val="Heading9"/>
    <w:rsid w:val="00996EF6"/>
    <w:rPr>
      <w:rFonts w:ascii="Calibri" w:hAnsi="Calibri"/>
      <w:sz w:val="22"/>
      <w:szCs w:val="22"/>
      <w:lang w:val="en-US" w:eastAsia="es-ES"/>
    </w:rPr>
  </w:style>
  <w:style w:type="character" w:customStyle="1" w:styleId="Heading1Char">
    <w:name w:val="Heading 1 Char"/>
    <w:aliases w:val="IATED-Section Char"/>
    <w:link w:val="Heading1"/>
    <w:uiPriority w:val="9"/>
    <w:rsid w:val="005E1742"/>
    <w:rPr>
      <w:rFonts w:ascii="Arial" w:hAnsi="Arial"/>
      <w:b/>
      <w:bCs/>
      <w:caps/>
      <w:kern w:val="32"/>
      <w:sz w:val="24"/>
      <w:szCs w:val="32"/>
      <w:lang w:val="en-US" w:eastAsia="es-ES"/>
    </w:rPr>
  </w:style>
  <w:style w:type="paragraph" w:styleId="DocumentMap">
    <w:name w:val="Document Map"/>
    <w:basedOn w:val="Normal"/>
    <w:link w:val="DocumentMapChar"/>
    <w:rsid w:val="001D548D"/>
    <w:rPr>
      <w:rFonts w:ascii="Lucida Grande" w:hAnsi="Lucida Grande"/>
      <w:sz w:val="24"/>
    </w:rPr>
  </w:style>
  <w:style w:type="character" w:customStyle="1" w:styleId="DocumentMapChar">
    <w:name w:val="Document Map Char"/>
    <w:link w:val="DocumentMap"/>
    <w:rsid w:val="001D548D"/>
    <w:rPr>
      <w:rFonts w:ascii="Lucida Grande" w:hAnsi="Lucida Grande"/>
      <w:sz w:val="24"/>
      <w:szCs w:val="24"/>
      <w:lang w:val="es-ES" w:eastAsia="es-ES"/>
    </w:rPr>
  </w:style>
  <w:style w:type="character" w:styleId="FootnoteReference">
    <w:name w:val="footnote reference"/>
    <w:rsid w:val="005E1742"/>
    <w:rPr>
      <w:noProof w:val="0"/>
      <w:vertAlign w:val="superscript"/>
      <w:lang w:val="en-US"/>
    </w:rPr>
  </w:style>
  <w:style w:type="paragraph" w:styleId="BalloonText">
    <w:name w:val="Balloon Text"/>
    <w:basedOn w:val="Normal"/>
    <w:link w:val="BalloonTextChar"/>
    <w:rsid w:val="008F656F"/>
    <w:pPr>
      <w:spacing w:before="0" w:after="0"/>
    </w:pPr>
    <w:rPr>
      <w:rFonts w:ascii="Tahoma" w:hAnsi="Tahoma" w:cs="Tahoma"/>
      <w:sz w:val="16"/>
      <w:szCs w:val="16"/>
    </w:rPr>
  </w:style>
  <w:style w:type="character" w:customStyle="1" w:styleId="BalloonTextChar">
    <w:name w:val="Balloon Text Char"/>
    <w:link w:val="BalloonText"/>
    <w:rsid w:val="008F656F"/>
    <w:rPr>
      <w:rFonts w:ascii="Tahoma" w:hAnsi="Tahoma" w:cs="Tahoma"/>
      <w:sz w:val="16"/>
      <w:szCs w:val="16"/>
      <w:lang w:val="en-US" w:eastAsia="es-ES"/>
    </w:rPr>
  </w:style>
  <w:style w:type="table" w:styleId="TableGrid">
    <w:name w:val="Table Grid"/>
    <w:basedOn w:val="TableNormal"/>
    <w:rsid w:val="00B920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FD3656"/>
    <w:rPr>
      <w:rFonts w:ascii="Times New Roman" w:hAnsi="Times New Roman"/>
      <w:sz w:val="24"/>
    </w:rPr>
  </w:style>
  <w:style w:type="paragraph" w:styleId="Bibliography">
    <w:name w:val="Bibliography"/>
    <w:basedOn w:val="Normal"/>
    <w:next w:val="Normal"/>
    <w:rsid w:val="002F02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aliases w:val="IATED-Text"/>
    <w:qFormat/>
    <w:rsid w:val="005E1742"/>
    <w:pPr>
      <w:spacing w:before="120" w:after="120"/>
      <w:jc w:val="both"/>
    </w:pPr>
    <w:rPr>
      <w:rFonts w:ascii="Arial" w:hAnsi="Arial"/>
      <w:szCs w:val="24"/>
      <w:lang w:val="en-US" w:eastAsia="es-ES"/>
    </w:rPr>
  </w:style>
  <w:style w:type="paragraph" w:styleId="Heading1">
    <w:name w:val="heading 1"/>
    <w:aliases w:val="IATED-Section"/>
    <w:next w:val="Normal"/>
    <w:link w:val="Heading1Char"/>
    <w:uiPriority w:val="9"/>
    <w:qFormat/>
    <w:rsid w:val="005E1742"/>
    <w:pPr>
      <w:keepNext/>
      <w:numPr>
        <w:numId w:val="15"/>
      </w:numPr>
      <w:spacing w:before="360" w:after="60"/>
      <w:outlineLvl w:val="0"/>
    </w:pPr>
    <w:rPr>
      <w:rFonts w:ascii="Arial" w:hAnsi="Arial"/>
      <w:b/>
      <w:bCs/>
      <w:caps/>
      <w:kern w:val="32"/>
      <w:sz w:val="24"/>
      <w:szCs w:val="32"/>
      <w:lang w:val="en-US" w:eastAsia="es-ES"/>
    </w:rPr>
  </w:style>
  <w:style w:type="paragraph" w:styleId="Heading2">
    <w:name w:val="heading 2"/>
    <w:aliases w:val="IATED-Subsection"/>
    <w:next w:val="Normal"/>
    <w:link w:val="Heading2Char"/>
    <w:qFormat/>
    <w:rsid w:val="005E1742"/>
    <w:pPr>
      <w:keepNext/>
      <w:numPr>
        <w:ilvl w:val="1"/>
        <w:numId w:val="15"/>
      </w:numPr>
      <w:spacing w:before="240" w:after="60"/>
      <w:outlineLvl w:val="1"/>
    </w:pPr>
    <w:rPr>
      <w:rFonts w:ascii="Arial" w:hAnsi="Arial"/>
      <w:b/>
      <w:bCs/>
      <w:iCs/>
      <w:sz w:val="24"/>
      <w:szCs w:val="28"/>
      <w:lang w:val="en-US" w:eastAsia="es-ES"/>
    </w:rPr>
  </w:style>
  <w:style w:type="paragraph" w:styleId="Heading3">
    <w:name w:val="heading 3"/>
    <w:aliases w:val="IATED-Subsubsection"/>
    <w:basedOn w:val="Normal"/>
    <w:next w:val="Normal"/>
    <w:link w:val="Heading3Char"/>
    <w:qFormat/>
    <w:rsid w:val="005E1742"/>
    <w:pPr>
      <w:keepNext/>
      <w:numPr>
        <w:ilvl w:val="2"/>
        <w:numId w:val="15"/>
      </w:numPr>
      <w:spacing w:before="180" w:after="60"/>
      <w:outlineLvl w:val="2"/>
    </w:pPr>
    <w:rPr>
      <w:bCs/>
      <w:i/>
      <w:sz w:val="22"/>
      <w:szCs w:val="26"/>
    </w:rPr>
  </w:style>
  <w:style w:type="paragraph" w:styleId="Heading4">
    <w:name w:val="heading 4"/>
    <w:basedOn w:val="Normal"/>
    <w:next w:val="Normal"/>
    <w:link w:val="Heading4Char"/>
    <w:qFormat/>
    <w:rsid w:val="00996EF6"/>
    <w:pPr>
      <w:keepNext/>
      <w:numPr>
        <w:ilvl w:val="3"/>
        <w:numId w:val="15"/>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996EF6"/>
    <w:pPr>
      <w:numPr>
        <w:ilvl w:val="4"/>
        <w:numId w:val="15"/>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996EF6"/>
    <w:pPr>
      <w:numPr>
        <w:ilvl w:val="5"/>
        <w:numId w:val="15"/>
      </w:numPr>
      <w:spacing w:before="240" w:after="60"/>
      <w:outlineLvl w:val="5"/>
    </w:pPr>
    <w:rPr>
      <w:rFonts w:ascii="Cambria" w:hAnsi="Cambria"/>
      <w:b/>
      <w:bCs/>
      <w:sz w:val="22"/>
      <w:szCs w:val="22"/>
    </w:rPr>
  </w:style>
  <w:style w:type="paragraph" w:styleId="Heading7">
    <w:name w:val="heading 7"/>
    <w:basedOn w:val="Normal"/>
    <w:next w:val="Normal"/>
    <w:link w:val="Heading7Char"/>
    <w:qFormat/>
    <w:rsid w:val="00996EF6"/>
    <w:pPr>
      <w:numPr>
        <w:ilvl w:val="6"/>
        <w:numId w:val="15"/>
      </w:numPr>
      <w:spacing w:before="240" w:after="60"/>
      <w:outlineLvl w:val="6"/>
    </w:pPr>
    <w:rPr>
      <w:rFonts w:ascii="Cambria" w:hAnsi="Cambria"/>
    </w:rPr>
  </w:style>
  <w:style w:type="paragraph" w:styleId="Heading8">
    <w:name w:val="heading 8"/>
    <w:basedOn w:val="Normal"/>
    <w:next w:val="Normal"/>
    <w:link w:val="Heading8Char"/>
    <w:qFormat/>
    <w:rsid w:val="00996EF6"/>
    <w:pPr>
      <w:numPr>
        <w:ilvl w:val="7"/>
        <w:numId w:val="15"/>
      </w:numPr>
      <w:spacing w:before="240" w:after="60"/>
      <w:outlineLvl w:val="7"/>
    </w:pPr>
    <w:rPr>
      <w:rFonts w:ascii="Cambria" w:hAnsi="Cambria"/>
      <w:i/>
      <w:iCs/>
    </w:rPr>
  </w:style>
  <w:style w:type="paragraph" w:styleId="Heading9">
    <w:name w:val="heading 9"/>
    <w:basedOn w:val="Normal"/>
    <w:next w:val="Normal"/>
    <w:link w:val="Heading9Char"/>
    <w:qFormat/>
    <w:rsid w:val="00996EF6"/>
    <w:pPr>
      <w:numPr>
        <w:ilvl w:val="8"/>
        <w:numId w:val="15"/>
      </w:numPr>
      <w:spacing w:before="240" w:after="60"/>
      <w:outlineLvl w:val="8"/>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IATED-Title"/>
    <w:basedOn w:val="Normal"/>
    <w:qFormat/>
    <w:rsid w:val="00D57BC9"/>
    <w:pPr>
      <w:spacing w:before="480"/>
      <w:jc w:val="center"/>
    </w:pPr>
    <w:rPr>
      <w:b/>
      <w:bCs/>
      <w:sz w:val="24"/>
    </w:rPr>
  </w:style>
  <w:style w:type="paragraph" w:customStyle="1" w:styleId="IATED-PaperTitle">
    <w:name w:val="IATED-Paper Title"/>
    <w:next w:val="IATED-Authors"/>
    <w:qFormat/>
    <w:rsid w:val="005E1742"/>
    <w:pPr>
      <w:spacing w:before="240" w:after="240"/>
      <w:jc w:val="center"/>
    </w:pPr>
    <w:rPr>
      <w:rFonts w:ascii="Arial" w:hAnsi="Arial" w:cs="Arial"/>
      <w:b/>
      <w:bCs/>
      <w:caps/>
      <w:sz w:val="28"/>
      <w:szCs w:val="24"/>
      <w:lang w:val="en-US" w:eastAsia="es-ES"/>
    </w:rPr>
  </w:style>
  <w:style w:type="paragraph" w:customStyle="1" w:styleId="IATED-Authors">
    <w:name w:val="IATED-Authors"/>
    <w:next w:val="IATED-Affiliation"/>
    <w:qFormat/>
    <w:rsid w:val="005E1742"/>
    <w:pPr>
      <w:spacing w:after="120"/>
      <w:jc w:val="center"/>
    </w:pPr>
    <w:rPr>
      <w:rFonts w:ascii="Arial" w:hAnsi="Arial" w:cs="Arial"/>
      <w:b/>
      <w:bCs/>
      <w:sz w:val="24"/>
      <w:szCs w:val="24"/>
      <w:lang w:val="en-US" w:eastAsia="es-ES"/>
    </w:rPr>
  </w:style>
  <w:style w:type="paragraph" w:customStyle="1" w:styleId="IATED-Affiliation">
    <w:name w:val="IATED-Affiliation"/>
    <w:qFormat/>
    <w:rsid w:val="005E1742"/>
    <w:pPr>
      <w:jc w:val="center"/>
    </w:pPr>
    <w:rPr>
      <w:rFonts w:ascii="Arial" w:hAnsi="Arial" w:cs="Arial"/>
      <w:i/>
      <w:sz w:val="22"/>
      <w:szCs w:val="24"/>
      <w:lang w:val="en-US" w:eastAsia="es-ES"/>
    </w:rPr>
  </w:style>
  <w:style w:type="paragraph" w:styleId="FootnoteText">
    <w:name w:val="footnote text"/>
    <w:basedOn w:val="Normal"/>
    <w:link w:val="FootnoteTextChar"/>
    <w:rsid w:val="005E1742"/>
    <w:rPr>
      <w:sz w:val="16"/>
    </w:rPr>
  </w:style>
  <w:style w:type="paragraph" w:customStyle="1" w:styleId="IATED-email">
    <w:name w:val="IATED-email"/>
    <w:qFormat/>
    <w:rsid w:val="005E1742"/>
    <w:pPr>
      <w:spacing w:after="480"/>
      <w:jc w:val="center"/>
    </w:pPr>
    <w:rPr>
      <w:rFonts w:ascii="Arial" w:hAnsi="Arial" w:cs="Arial"/>
      <w:i/>
      <w:iCs/>
      <w:sz w:val="22"/>
      <w:szCs w:val="24"/>
      <w:lang w:val="en-US" w:eastAsia="es-ES"/>
    </w:rPr>
  </w:style>
  <w:style w:type="paragraph" w:customStyle="1" w:styleId="IATED-References">
    <w:name w:val="IATED-References"/>
    <w:basedOn w:val="Title"/>
    <w:autoRedefine/>
    <w:qFormat/>
    <w:rsid w:val="005E1742"/>
    <w:pPr>
      <w:numPr>
        <w:numId w:val="5"/>
      </w:numPr>
      <w:tabs>
        <w:tab w:val="clear" w:pos="360"/>
        <w:tab w:val="left" w:pos="567"/>
      </w:tabs>
      <w:spacing w:before="120"/>
      <w:ind w:left="567" w:hanging="567"/>
      <w:jc w:val="left"/>
    </w:pPr>
    <w:rPr>
      <w:rFonts w:cs="Arial"/>
      <w:b w:val="0"/>
      <w:bCs w:val="0"/>
      <w:sz w:val="20"/>
    </w:rPr>
  </w:style>
  <w:style w:type="character" w:customStyle="1" w:styleId="FootnoteTextChar">
    <w:name w:val="Footnote Text Char"/>
    <w:link w:val="FootnoteText"/>
    <w:rsid w:val="005E1742"/>
    <w:rPr>
      <w:rFonts w:ascii="Arial" w:hAnsi="Arial"/>
      <w:sz w:val="16"/>
      <w:szCs w:val="24"/>
    </w:rPr>
  </w:style>
  <w:style w:type="character" w:customStyle="1" w:styleId="Heading2Char">
    <w:name w:val="Heading 2 Char"/>
    <w:aliases w:val="IATED-Subsection Char"/>
    <w:link w:val="Heading2"/>
    <w:rsid w:val="005E1742"/>
    <w:rPr>
      <w:rFonts w:ascii="Arial" w:hAnsi="Arial"/>
      <w:b/>
      <w:bCs/>
      <w:iCs/>
      <w:sz w:val="24"/>
      <w:szCs w:val="28"/>
      <w:lang w:val="en-US" w:eastAsia="es-ES"/>
    </w:rPr>
  </w:style>
  <w:style w:type="character" w:customStyle="1" w:styleId="Heading3Char">
    <w:name w:val="Heading 3 Char"/>
    <w:aliases w:val="IATED-Subsubsection Char"/>
    <w:link w:val="Heading3"/>
    <w:rsid w:val="005E1742"/>
    <w:rPr>
      <w:rFonts w:ascii="Arial" w:hAnsi="Arial"/>
      <w:bCs/>
      <w:i/>
      <w:sz w:val="22"/>
      <w:szCs w:val="26"/>
      <w:lang w:val="en-US" w:eastAsia="es-ES"/>
    </w:rPr>
  </w:style>
  <w:style w:type="character" w:customStyle="1" w:styleId="Heading4Char">
    <w:name w:val="Heading 4 Char"/>
    <w:link w:val="Heading4"/>
    <w:rsid w:val="00996EF6"/>
    <w:rPr>
      <w:rFonts w:ascii="Cambria" w:hAnsi="Cambria"/>
      <w:b/>
      <w:bCs/>
      <w:sz w:val="28"/>
      <w:szCs w:val="28"/>
      <w:lang w:val="en-US" w:eastAsia="es-ES"/>
    </w:rPr>
  </w:style>
  <w:style w:type="character" w:customStyle="1" w:styleId="Heading5Char">
    <w:name w:val="Heading 5 Char"/>
    <w:link w:val="Heading5"/>
    <w:rsid w:val="00996EF6"/>
    <w:rPr>
      <w:rFonts w:ascii="Cambria" w:hAnsi="Cambria"/>
      <w:b/>
      <w:bCs/>
      <w:i/>
      <w:iCs/>
      <w:sz w:val="26"/>
      <w:szCs w:val="26"/>
      <w:lang w:val="en-US" w:eastAsia="es-ES"/>
    </w:rPr>
  </w:style>
  <w:style w:type="character" w:customStyle="1" w:styleId="Heading6Char">
    <w:name w:val="Heading 6 Char"/>
    <w:link w:val="Heading6"/>
    <w:rsid w:val="00996EF6"/>
    <w:rPr>
      <w:rFonts w:ascii="Cambria" w:hAnsi="Cambria"/>
      <w:b/>
      <w:bCs/>
      <w:sz w:val="22"/>
      <w:szCs w:val="22"/>
      <w:lang w:val="en-US" w:eastAsia="es-ES"/>
    </w:rPr>
  </w:style>
  <w:style w:type="character" w:customStyle="1" w:styleId="Heading7Char">
    <w:name w:val="Heading 7 Char"/>
    <w:link w:val="Heading7"/>
    <w:rsid w:val="00996EF6"/>
    <w:rPr>
      <w:rFonts w:ascii="Cambria" w:hAnsi="Cambria"/>
      <w:szCs w:val="24"/>
      <w:lang w:val="en-US" w:eastAsia="es-ES"/>
    </w:rPr>
  </w:style>
  <w:style w:type="character" w:customStyle="1" w:styleId="Heading8Char">
    <w:name w:val="Heading 8 Char"/>
    <w:link w:val="Heading8"/>
    <w:rsid w:val="00996EF6"/>
    <w:rPr>
      <w:rFonts w:ascii="Cambria" w:hAnsi="Cambria"/>
      <w:i/>
      <w:iCs/>
      <w:szCs w:val="24"/>
      <w:lang w:val="en-US" w:eastAsia="es-ES"/>
    </w:rPr>
  </w:style>
  <w:style w:type="character" w:customStyle="1" w:styleId="Heading9Char">
    <w:name w:val="Heading 9 Char"/>
    <w:link w:val="Heading9"/>
    <w:rsid w:val="00996EF6"/>
    <w:rPr>
      <w:rFonts w:ascii="Calibri" w:hAnsi="Calibri"/>
      <w:sz w:val="22"/>
      <w:szCs w:val="22"/>
      <w:lang w:val="en-US" w:eastAsia="es-ES"/>
    </w:rPr>
  </w:style>
  <w:style w:type="character" w:customStyle="1" w:styleId="Heading1Char">
    <w:name w:val="Heading 1 Char"/>
    <w:aliases w:val="IATED-Section Char"/>
    <w:link w:val="Heading1"/>
    <w:uiPriority w:val="9"/>
    <w:rsid w:val="005E1742"/>
    <w:rPr>
      <w:rFonts w:ascii="Arial" w:hAnsi="Arial"/>
      <w:b/>
      <w:bCs/>
      <w:caps/>
      <w:kern w:val="32"/>
      <w:sz w:val="24"/>
      <w:szCs w:val="32"/>
      <w:lang w:val="en-US" w:eastAsia="es-ES"/>
    </w:rPr>
  </w:style>
  <w:style w:type="paragraph" w:styleId="DocumentMap">
    <w:name w:val="Document Map"/>
    <w:basedOn w:val="Normal"/>
    <w:link w:val="DocumentMapChar"/>
    <w:rsid w:val="001D548D"/>
    <w:rPr>
      <w:rFonts w:ascii="Lucida Grande" w:hAnsi="Lucida Grande"/>
      <w:sz w:val="24"/>
    </w:rPr>
  </w:style>
  <w:style w:type="character" w:customStyle="1" w:styleId="DocumentMapChar">
    <w:name w:val="Document Map Char"/>
    <w:link w:val="DocumentMap"/>
    <w:rsid w:val="001D548D"/>
    <w:rPr>
      <w:rFonts w:ascii="Lucida Grande" w:hAnsi="Lucida Grande"/>
      <w:sz w:val="24"/>
      <w:szCs w:val="24"/>
      <w:lang w:val="es-ES" w:eastAsia="es-ES"/>
    </w:rPr>
  </w:style>
  <w:style w:type="character" w:styleId="FootnoteReference">
    <w:name w:val="footnote reference"/>
    <w:rsid w:val="005E1742"/>
    <w:rPr>
      <w:noProof w:val="0"/>
      <w:vertAlign w:val="superscript"/>
      <w:lang w:val="en-US"/>
    </w:rPr>
  </w:style>
  <w:style w:type="paragraph" w:styleId="BalloonText">
    <w:name w:val="Balloon Text"/>
    <w:basedOn w:val="Normal"/>
    <w:link w:val="BalloonTextChar"/>
    <w:rsid w:val="008F656F"/>
    <w:pPr>
      <w:spacing w:before="0" w:after="0"/>
    </w:pPr>
    <w:rPr>
      <w:rFonts w:ascii="Tahoma" w:hAnsi="Tahoma" w:cs="Tahoma"/>
      <w:sz w:val="16"/>
      <w:szCs w:val="16"/>
    </w:rPr>
  </w:style>
  <w:style w:type="character" w:customStyle="1" w:styleId="BalloonTextChar">
    <w:name w:val="Balloon Text Char"/>
    <w:link w:val="BalloonText"/>
    <w:rsid w:val="008F656F"/>
    <w:rPr>
      <w:rFonts w:ascii="Tahoma" w:hAnsi="Tahoma" w:cs="Tahoma"/>
      <w:sz w:val="16"/>
      <w:szCs w:val="16"/>
      <w:lang w:val="en-US" w:eastAsia="es-ES"/>
    </w:rPr>
  </w:style>
  <w:style w:type="table" w:styleId="TableGrid">
    <w:name w:val="Table Grid"/>
    <w:basedOn w:val="TableNormal"/>
    <w:rsid w:val="00B920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FD3656"/>
    <w:rPr>
      <w:rFonts w:ascii="Times New Roman" w:hAnsi="Times New Roman"/>
      <w:sz w:val="24"/>
    </w:rPr>
  </w:style>
  <w:style w:type="paragraph" w:styleId="Bibliography">
    <w:name w:val="Bibliography"/>
    <w:basedOn w:val="Normal"/>
    <w:next w:val="Normal"/>
    <w:rsid w:val="002F0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442116">
      <w:bodyDiv w:val="1"/>
      <w:marLeft w:val="0"/>
      <w:marRight w:val="0"/>
      <w:marTop w:val="0"/>
      <w:marBottom w:val="0"/>
      <w:divBdr>
        <w:top w:val="none" w:sz="0" w:space="0" w:color="auto"/>
        <w:left w:val="none" w:sz="0" w:space="0" w:color="auto"/>
        <w:bottom w:val="none" w:sz="0" w:space="0" w:color="auto"/>
        <w:right w:val="none" w:sz="0" w:space="0" w:color="auto"/>
      </w:divBdr>
    </w:div>
    <w:div w:id="1020938912">
      <w:bodyDiv w:val="1"/>
      <w:marLeft w:val="0"/>
      <w:marRight w:val="0"/>
      <w:marTop w:val="0"/>
      <w:marBottom w:val="0"/>
      <w:divBdr>
        <w:top w:val="none" w:sz="0" w:space="0" w:color="auto"/>
        <w:left w:val="none" w:sz="0" w:space="0" w:color="auto"/>
        <w:bottom w:val="none" w:sz="0" w:space="0" w:color="auto"/>
        <w:right w:val="none" w:sz="0" w:space="0" w:color="auto"/>
      </w:divBdr>
      <w:divsChild>
        <w:div w:id="327094779">
          <w:marLeft w:val="450"/>
          <w:marRight w:val="0"/>
          <w:marTop w:val="90"/>
          <w:marBottom w:val="90"/>
          <w:divBdr>
            <w:top w:val="none" w:sz="0" w:space="0" w:color="auto"/>
            <w:left w:val="none" w:sz="0" w:space="0" w:color="auto"/>
            <w:bottom w:val="none" w:sz="0" w:space="0" w:color="auto"/>
            <w:right w:val="none" w:sz="0" w:space="0" w:color="auto"/>
          </w:divBdr>
        </w:div>
        <w:div w:id="1581596091">
          <w:marLeft w:val="180"/>
          <w:marRight w:val="180"/>
          <w:marTop w:val="45"/>
          <w:marBottom w:val="180"/>
          <w:divBdr>
            <w:top w:val="none" w:sz="0" w:space="0" w:color="auto"/>
            <w:left w:val="none" w:sz="0" w:space="0" w:color="auto"/>
            <w:bottom w:val="none" w:sz="0" w:space="0" w:color="auto"/>
            <w:right w:val="none" w:sz="0" w:space="0" w:color="auto"/>
          </w:divBdr>
          <w:divsChild>
            <w:div w:id="117730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23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b:Source>
    <b:Tag>Ken01</b:Tag>
    <b:SourceType>DocumentFromInternetSite</b:SourceType>
    <b:Guid>{2107B5D0-0FB1-4CC5-AAC1-02C4FACE7E66}</b:Guid>
    <b:Author>
      <b:Author>
        <b:NameList>
          <b:Person>
            <b:Last>Kenyon</b:Last>
            <b:First>Hase</b:First>
          </b:Person>
        </b:NameList>
      </b:Author>
    </b:Author>
    <b:Year>2001</b:Year>
    <b:YearAccessed>2014</b:YearAccessed>
    <b:MonthAccessed>September</b:MonthAccessed>
    <b:DayAccessed>25</b:DayAccessed>
    <b:URL>http://www.psy.gla.ac.uk/~steve/pr/Heutagogy.html</b:URL>
    <b:Title>University of Glasgow/ Psychology</b:Title>
    <b:RefOrder>1</b:RefOrder>
  </b:Source>
  <b:Source>
    <b:Tag>Kno70</b:Tag>
    <b:SourceType>Book</b:SourceType>
    <b:Guid>{FB10B8F0-A135-43BC-8EE0-1697AEC12F1B}</b:Guid>
    <b:Title>The Modern Practice of Education.  Andragogy versus Pedagogy</b:Title>
    <b:Year>1970</b:Year>
    <b:Author>
      <b:Author>
        <b:NameList>
          <b:Person>
            <b:Last>Knowles</b:Last>
          </b:Person>
        </b:NameList>
      </b:Author>
    </b:Author>
    <b:City>New York</b:City>
    <b:Publisher>Association Press</b:Publisher>
    <b:RefOrder>2</b:RefOrder>
  </b:Source>
  <b:Source>
    <b:Tag>Bla12</b:Tag>
    <b:SourceType>JournalArticle</b:SourceType>
    <b:Guid>{627A0DB6-5B87-453B-AFE0-0D45A39AFCCD}</b:Guid>
    <b:Title>Heutagogy and Lifelong Learning: A Review of Heutagogical Practice and Self-Determined Learning</b:Title>
    <b:Year>2012</b:Year>
    <b:Author>
      <b:Author>
        <b:NameList>
          <b:Person>
            <b:Last>Blashcke</b:Last>
          </b:Person>
        </b:NameList>
      </b:Author>
    </b:Author>
    <b:JournalName>International Review or Research in Open and Distance Learning</b:JournalName>
    <b:Volume>3</b:Volume>
    <b:Issue>1</b:Issue>
    <b:RefOrder>3</b:RefOrder>
  </b:Source>
  <b:Source>
    <b:Tag>Nar10</b:Tag>
    <b:SourceType>ConferenceProceedings</b:SourceType>
    <b:Guid>{3A702A2C-19DD-4EDA-BC11-7C2B5F13B500}</b:Guid>
    <b:Author>
      <b:Author>
        <b:NameList>
          <b:Person>
            <b:Last>Narayan</b:Last>
            <b:First>Baglow</b:First>
          </b:Person>
        </b:NameList>
      </b:Author>
    </b:Author>
    <b:Title>New beginnings: Facilitating effective learning</b:Title>
    <b:Year>2010</b:Year>
    <b:City>Sydney</b:City>
    <b:Publisher>Proceedings ascilite</b:Publisher>
    <b:RefOrder>4</b:RefOrder>
  </b:Source>
</b:Sources>
</file>

<file path=customXml/itemProps1.xml><?xml version="1.0" encoding="utf-8"?>
<ds:datastoreItem xmlns:ds="http://schemas.openxmlformats.org/officeDocument/2006/customXml" ds:itemID="{BEB5A214-B39A-41B6-8AA3-0DB33715A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2570</Words>
  <Characters>14654</Characters>
  <Application>Microsoft Office Word</Application>
  <DocSecurity>0</DocSecurity>
  <Lines>122</Lines>
  <Paragraphs>34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IATED PAPER Template</vt:lpstr>
      <vt:lpstr>IATED PAPER Template</vt:lpstr>
    </vt:vector>
  </TitlesOfParts>
  <LinksUpToDate>false</LinksUpToDate>
  <CharactersWithSpaces>17190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IATED PAPER Template</dc:title>
  <dc:creator/>
  <cp:lastModifiedBy/>
  <cp:revision>1</cp:revision>
  <cp:lastPrinted>2004-03-29T18:30:00Z</cp:lastPrinted>
  <dcterms:created xsi:type="dcterms:W3CDTF">2014-12-12T15:20:00Z</dcterms:created>
  <dcterms:modified xsi:type="dcterms:W3CDTF">2014-12-12T15:20:00Z</dcterms:modified>
</cp:coreProperties>
</file>