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B011A" w:rsidRDefault="009D4ACA">
      <w:pPr>
        <w:spacing w:line="480" w:lineRule="auto"/>
        <w:jc w:val="center"/>
      </w:pPr>
      <w:bookmarkStart w:id="0" w:name="_GoBack"/>
      <w:bookmarkEnd w:id="0"/>
      <w:r w:rsidRPr="009D4ACA">
        <w:rPr>
          <w:b/>
        </w:rPr>
        <w:t>Hydration</w:t>
      </w:r>
      <w:r w:rsidR="00430FD5">
        <w:rPr>
          <w:b/>
        </w:rPr>
        <w:t xml:space="preserve"> </w:t>
      </w:r>
      <w:r w:rsidR="00D35A2D">
        <w:rPr>
          <w:b/>
        </w:rPr>
        <w:t>Strategies</w:t>
      </w:r>
      <w:r w:rsidR="00D35A2D" w:rsidRPr="009D4ACA">
        <w:rPr>
          <w:b/>
        </w:rPr>
        <w:t xml:space="preserve"> </w:t>
      </w:r>
      <w:r w:rsidR="00D35A2D">
        <w:rPr>
          <w:b/>
        </w:rPr>
        <w:t xml:space="preserve">of </w:t>
      </w:r>
      <w:r w:rsidR="00D35A2D" w:rsidRPr="009D4ACA">
        <w:rPr>
          <w:b/>
        </w:rPr>
        <w:t xml:space="preserve">Professional Elite Rugby League Referees </w:t>
      </w:r>
      <w:r w:rsidR="00D35A2D">
        <w:rPr>
          <w:b/>
        </w:rPr>
        <w:t xml:space="preserve">during </w:t>
      </w:r>
      <w:r w:rsidR="00C6072D">
        <w:rPr>
          <w:b/>
        </w:rPr>
        <w:t xml:space="preserve">Super League </w:t>
      </w:r>
      <w:r w:rsidR="00D35A2D">
        <w:rPr>
          <w:b/>
        </w:rPr>
        <w:t>Matches</w:t>
      </w:r>
    </w:p>
    <w:p w:rsidR="00AB011A" w:rsidRDefault="00AA2D27">
      <w:pPr>
        <w:spacing w:line="480" w:lineRule="auto"/>
        <w:jc w:val="center"/>
      </w:pPr>
      <w:r>
        <w:t xml:space="preserve">Running </w:t>
      </w:r>
      <w:r w:rsidR="007C2935">
        <w:t>Title</w:t>
      </w:r>
      <w:r>
        <w:t xml:space="preserve">: </w:t>
      </w:r>
      <w:r w:rsidR="00BC1E94">
        <w:t>H</w:t>
      </w:r>
      <w:r>
        <w:t xml:space="preserve">ydration </w:t>
      </w:r>
      <w:r w:rsidR="00D35A2D">
        <w:t>S</w:t>
      </w:r>
      <w:r w:rsidR="007C2935">
        <w:t>trategies of</w:t>
      </w:r>
      <w:r>
        <w:t xml:space="preserve"> </w:t>
      </w:r>
      <w:r w:rsidR="00D35A2D">
        <w:t>Rugby League R</w:t>
      </w:r>
      <w:r>
        <w:t>eferees</w:t>
      </w:r>
    </w:p>
    <w:p w:rsidR="00AB011A" w:rsidRDefault="00AB011A">
      <w:pPr>
        <w:spacing w:line="480" w:lineRule="auto"/>
        <w:jc w:val="center"/>
      </w:pPr>
    </w:p>
    <w:p w:rsidR="00AB011A" w:rsidRDefault="00C6072D" w:rsidP="00C6072D">
      <w:pPr>
        <w:spacing w:line="360" w:lineRule="auto"/>
        <w:jc w:val="center"/>
      </w:pPr>
      <w:r w:rsidRPr="005E7C92">
        <w:rPr>
          <w:szCs w:val="22"/>
        </w:rPr>
        <w:t>Ben L. Jones</w:t>
      </w:r>
      <w:r w:rsidR="00D02F35" w:rsidRPr="0051001B">
        <w:rPr>
          <w:szCs w:val="22"/>
          <w:vertAlign w:val="superscript"/>
        </w:rPr>
        <w:t>1</w:t>
      </w:r>
      <w:r w:rsidRPr="005E7C92">
        <w:rPr>
          <w:szCs w:val="22"/>
        </w:rPr>
        <w:t>, Kevin Till</w:t>
      </w:r>
      <w:r w:rsidR="00D02F35" w:rsidRPr="00BE521B">
        <w:rPr>
          <w:szCs w:val="22"/>
          <w:vertAlign w:val="superscript"/>
        </w:rPr>
        <w:t>1</w:t>
      </w:r>
      <w:r w:rsidRPr="005E7C92">
        <w:rPr>
          <w:szCs w:val="22"/>
        </w:rPr>
        <w:t xml:space="preserve">, </w:t>
      </w:r>
      <w:r>
        <w:t>Stacey Emmonds</w:t>
      </w:r>
      <w:r w:rsidR="00D02F35" w:rsidRPr="00BE521B">
        <w:rPr>
          <w:szCs w:val="22"/>
          <w:vertAlign w:val="superscript"/>
        </w:rPr>
        <w:t>1</w:t>
      </w:r>
      <w:r>
        <w:t xml:space="preserve">, </w:t>
      </w:r>
      <w:r w:rsidRPr="005E7C92">
        <w:rPr>
          <w:szCs w:val="22"/>
        </w:rPr>
        <w:t>Roderick F.G.J. King</w:t>
      </w:r>
      <w:r w:rsidR="00D02F35" w:rsidRPr="00BE521B">
        <w:rPr>
          <w:szCs w:val="22"/>
          <w:vertAlign w:val="superscript"/>
        </w:rPr>
        <w:t>1</w:t>
      </w:r>
      <w:r w:rsidRPr="005E7C92">
        <w:rPr>
          <w:szCs w:val="22"/>
        </w:rPr>
        <w:t>, Michael P. Gray</w:t>
      </w:r>
      <w:r w:rsidR="00D02F35" w:rsidRPr="00BE521B">
        <w:rPr>
          <w:szCs w:val="22"/>
          <w:vertAlign w:val="superscript"/>
        </w:rPr>
        <w:t>1</w:t>
      </w:r>
      <w:r w:rsidR="00D02F35">
        <w:rPr>
          <w:szCs w:val="22"/>
        </w:rPr>
        <w:t>, Clive B. Beggs</w:t>
      </w:r>
      <w:r w:rsidR="00D02F35" w:rsidRPr="0051001B">
        <w:rPr>
          <w:szCs w:val="22"/>
          <w:vertAlign w:val="superscript"/>
        </w:rPr>
        <w:t>2</w:t>
      </w:r>
      <w:r w:rsidRPr="005E7C92">
        <w:rPr>
          <w:szCs w:val="22"/>
        </w:rPr>
        <w:t xml:space="preserve"> and John P. </w:t>
      </w:r>
      <w:r w:rsidR="00AA2D27">
        <w:t>O’Hara</w:t>
      </w:r>
      <w:r w:rsidR="00D02F35" w:rsidRPr="0051001B">
        <w:rPr>
          <w:vertAlign w:val="superscript"/>
        </w:rPr>
        <w:t>1</w:t>
      </w:r>
    </w:p>
    <w:p w:rsidR="00AB011A" w:rsidRDefault="00AB011A">
      <w:pPr>
        <w:spacing w:line="480" w:lineRule="auto"/>
        <w:jc w:val="center"/>
      </w:pPr>
    </w:p>
    <w:p w:rsidR="00AB011A" w:rsidRDefault="00D02F35">
      <w:pPr>
        <w:spacing w:line="480" w:lineRule="auto"/>
        <w:jc w:val="center"/>
      </w:pPr>
      <w:r w:rsidRPr="0051001B">
        <w:rPr>
          <w:vertAlign w:val="superscript"/>
        </w:rPr>
        <w:t>1</w:t>
      </w:r>
      <w:r w:rsidR="00AA2D27">
        <w:t xml:space="preserve">Research Institute </w:t>
      </w:r>
      <w:r w:rsidR="00CB76C8">
        <w:t xml:space="preserve">for </w:t>
      </w:r>
      <w:r w:rsidR="00AA2D27">
        <w:t xml:space="preserve">Sport, Physical Activity and Leisure, Leeds </w:t>
      </w:r>
      <w:r>
        <w:t xml:space="preserve">Beckett </w:t>
      </w:r>
      <w:r w:rsidR="00AA2D27">
        <w:t>University, Leeds, West Yorkshire, United Kingdom</w:t>
      </w:r>
    </w:p>
    <w:p w:rsidR="00C6072D" w:rsidRPr="0051001B" w:rsidRDefault="00D02F35" w:rsidP="00C6072D">
      <w:pPr>
        <w:spacing w:line="360" w:lineRule="auto"/>
        <w:jc w:val="center"/>
        <w:rPr>
          <w:szCs w:val="22"/>
          <w:vertAlign w:val="superscript"/>
        </w:rPr>
      </w:pPr>
      <w:r w:rsidRPr="0051001B">
        <w:rPr>
          <w:szCs w:val="22"/>
          <w:vertAlign w:val="superscript"/>
        </w:rPr>
        <w:t>2</w:t>
      </w:r>
      <w:r w:rsidRPr="0051001B">
        <w:rPr>
          <w:szCs w:val="22"/>
          <w:shd w:val="clear" w:color="auto" w:fill="FFFFFF"/>
        </w:rPr>
        <w:t>Medical Biophysics Laboratory, University of Bradford, Bradford, UK.</w:t>
      </w:r>
    </w:p>
    <w:p w:rsidR="00D02F35" w:rsidRDefault="00D02F35" w:rsidP="00C6072D">
      <w:pPr>
        <w:spacing w:line="360" w:lineRule="auto"/>
        <w:jc w:val="center"/>
        <w:rPr>
          <w:szCs w:val="22"/>
        </w:rPr>
      </w:pPr>
    </w:p>
    <w:p w:rsidR="00C6072D" w:rsidRPr="005E7C92" w:rsidRDefault="00C6072D" w:rsidP="00C6072D">
      <w:pPr>
        <w:spacing w:line="360" w:lineRule="auto"/>
        <w:jc w:val="center"/>
        <w:rPr>
          <w:szCs w:val="22"/>
        </w:rPr>
      </w:pPr>
      <w:r>
        <w:rPr>
          <w:szCs w:val="22"/>
        </w:rPr>
        <w:t xml:space="preserve">Dr </w:t>
      </w:r>
      <w:r w:rsidRPr="005E7C92">
        <w:rPr>
          <w:szCs w:val="22"/>
        </w:rPr>
        <w:t xml:space="preserve">Ben Jones – </w:t>
      </w:r>
      <w:hyperlink r:id="rId9" w:history="1">
        <w:r w:rsidRPr="005E7C92">
          <w:rPr>
            <w:rStyle w:val="Hyperlink"/>
            <w:szCs w:val="22"/>
          </w:rPr>
          <w:t>B.Jones@</w:t>
        </w:r>
        <w:r w:rsidR="009428F3">
          <w:rPr>
            <w:rStyle w:val="Hyperlink"/>
            <w:szCs w:val="22"/>
          </w:rPr>
          <w:t>LeedsBeckett</w:t>
        </w:r>
        <w:r w:rsidRPr="005E7C92">
          <w:rPr>
            <w:rStyle w:val="Hyperlink"/>
            <w:szCs w:val="22"/>
          </w:rPr>
          <w:t>.ac.uk</w:t>
        </w:r>
      </w:hyperlink>
    </w:p>
    <w:p w:rsidR="00C6072D" w:rsidRPr="005E7C92" w:rsidRDefault="00C6072D" w:rsidP="00C6072D">
      <w:pPr>
        <w:spacing w:line="360" w:lineRule="auto"/>
        <w:jc w:val="center"/>
        <w:rPr>
          <w:szCs w:val="22"/>
        </w:rPr>
      </w:pPr>
      <w:r>
        <w:rPr>
          <w:szCs w:val="22"/>
        </w:rPr>
        <w:t xml:space="preserve">Dr </w:t>
      </w:r>
      <w:r w:rsidRPr="005E7C92">
        <w:rPr>
          <w:szCs w:val="22"/>
        </w:rPr>
        <w:t xml:space="preserve">Kevin Till – </w:t>
      </w:r>
      <w:hyperlink r:id="rId10" w:history="1">
        <w:r w:rsidRPr="005E7C92">
          <w:rPr>
            <w:rStyle w:val="Hyperlink"/>
            <w:szCs w:val="22"/>
          </w:rPr>
          <w:t>K.Till@</w:t>
        </w:r>
        <w:r w:rsidR="009428F3">
          <w:rPr>
            <w:rStyle w:val="Hyperlink"/>
            <w:szCs w:val="22"/>
          </w:rPr>
          <w:t>LeedsBeckett</w:t>
        </w:r>
        <w:r w:rsidRPr="005E7C92">
          <w:rPr>
            <w:rStyle w:val="Hyperlink"/>
            <w:szCs w:val="22"/>
          </w:rPr>
          <w:t>.ac.uk</w:t>
        </w:r>
      </w:hyperlink>
    </w:p>
    <w:p w:rsidR="00C6072D" w:rsidRDefault="00C6072D" w:rsidP="00C6072D">
      <w:pPr>
        <w:spacing w:line="360" w:lineRule="auto"/>
        <w:jc w:val="center"/>
        <w:rPr>
          <w:szCs w:val="22"/>
        </w:rPr>
      </w:pPr>
      <w:r>
        <w:rPr>
          <w:szCs w:val="22"/>
        </w:rPr>
        <w:t xml:space="preserve">Stacey Emmonds – </w:t>
      </w:r>
      <w:hyperlink r:id="rId11" w:history="1">
        <w:r w:rsidRPr="00847278">
          <w:rPr>
            <w:rStyle w:val="Hyperlink"/>
            <w:szCs w:val="22"/>
          </w:rPr>
          <w:t>S.Emmonds@</w:t>
        </w:r>
        <w:r w:rsidR="009428F3">
          <w:rPr>
            <w:rStyle w:val="Hyperlink"/>
            <w:szCs w:val="22"/>
          </w:rPr>
          <w:t>LeedsBeckett</w:t>
        </w:r>
        <w:r w:rsidRPr="00847278">
          <w:rPr>
            <w:rStyle w:val="Hyperlink"/>
            <w:szCs w:val="22"/>
          </w:rPr>
          <w:t>.ac.uk</w:t>
        </w:r>
      </w:hyperlink>
    </w:p>
    <w:p w:rsidR="00C6072D" w:rsidRPr="005E7C92" w:rsidRDefault="00C6072D" w:rsidP="00C6072D">
      <w:pPr>
        <w:spacing w:line="360" w:lineRule="auto"/>
        <w:jc w:val="center"/>
        <w:rPr>
          <w:szCs w:val="22"/>
        </w:rPr>
      </w:pPr>
      <w:r>
        <w:rPr>
          <w:szCs w:val="22"/>
        </w:rPr>
        <w:t xml:space="preserve">Prof. </w:t>
      </w:r>
      <w:r w:rsidRPr="005E7C92">
        <w:rPr>
          <w:szCs w:val="22"/>
        </w:rPr>
        <w:t xml:space="preserve">Roderick King – </w:t>
      </w:r>
      <w:hyperlink r:id="rId12" w:history="1">
        <w:r w:rsidRPr="005E7C92">
          <w:rPr>
            <w:rStyle w:val="Hyperlink"/>
            <w:szCs w:val="22"/>
          </w:rPr>
          <w:t>R.King@</w:t>
        </w:r>
        <w:r w:rsidR="009428F3">
          <w:rPr>
            <w:rStyle w:val="Hyperlink"/>
            <w:szCs w:val="22"/>
          </w:rPr>
          <w:t>LeedsBeckett</w:t>
        </w:r>
        <w:r w:rsidRPr="005E7C92">
          <w:rPr>
            <w:rStyle w:val="Hyperlink"/>
            <w:szCs w:val="22"/>
          </w:rPr>
          <w:t>.ac.uk</w:t>
        </w:r>
      </w:hyperlink>
    </w:p>
    <w:p w:rsidR="00C6072D" w:rsidRPr="005E7C92" w:rsidRDefault="00C6072D" w:rsidP="00C6072D">
      <w:pPr>
        <w:spacing w:line="360" w:lineRule="auto"/>
        <w:jc w:val="center"/>
        <w:rPr>
          <w:szCs w:val="22"/>
        </w:rPr>
      </w:pPr>
      <w:r w:rsidRPr="005E7C92">
        <w:rPr>
          <w:szCs w:val="22"/>
        </w:rPr>
        <w:t xml:space="preserve">Michael Gray – </w:t>
      </w:r>
      <w:hyperlink r:id="rId13" w:history="1">
        <w:r w:rsidRPr="005E7C92">
          <w:rPr>
            <w:rStyle w:val="Hyperlink"/>
            <w:szCs w:val="22"/>
          </w:rPr>
          <w:t>M.Gray@</w:t>
        </w:r>
        <w:r w:rsidR="009428F3">
          <w:rPr>
            <w:rStyle w:val="Hyperlink"/>
            <w:szCs w:val="22"/>
          </w:rPr>
          <w:t>LeedsBeckett</w:t>
        </w:r>
        <w:r w:rsidRPr="005E7C92">
          <w:rPr>
            <w:rStyle w:val="Hyperlink"/>
            <w:szCs w:val="22"/>
          </w:rPr>
          <w:t>.ac.uk</w:t>
        </w:r>
      </w:hyperlink>
    </w:p>
    <w:p w:rsidR="00D02F35" w:rsidRDefault="00D02F35" w:rsidP="00C6072D">
      <w:pPr>
        <w:spacing w:line="360" w:lineRule="auto"/>
        <w:jc w:val="center"/>
        <w:rPr>
          <w:szCs w:val="22"/>
        </w:rPr>
      </w:pPr>
      <w:r>
        <w:rPr>
          <w:szCs w:val="22"/>
        </w:rPr>
        <w:t xml:space="preserve">Prof. Clive Beggs - </w:t>
      </w:r>
      <w:hyperlink r:id="rId14" w:history="1">
        <w:r w:rsidRPr="00B26E19">
          <w:rPr>
            <w:rStyle w:val="Hyperlink"/>
            <w:szCs w:val="22"/>
          </w:rPr>
          <w:t>C.B.Beggs@bradford.ac.uk</w:t>
        </w:r>
      </w:hyperlink>
    </w:p>
    <w:p w:rsidR="00C6072D" w:rsidRPr="005E7C92" w:rsidRDefault="00C6072D" w:rsidP="00C6072D">
      <w:pPr>
        <w:spacing w:line="360" w:lineRule="auto"/>
        <w:jc w:val="center"/>
        <w:rPr>
          <w:szCs w:val="22"/>
        </w:rPr>
      </w:pPr>
      <w:r>
        <w:rPr>
          <w:szCs w:val="22"/>
        </w:rPr>
        <w:t xml:space="preserve">Dr </w:t>
      </w:r>
      <w:r w:rsidRPr="005E7C92">
        <w:rPr>
          <w:szCs w:val="22"/>
        </w:rPr>
        <w:t xml:space="preserve">John O’Hara – </w:t>
      </w:r>
      <w:hyperlink r:id="rId15" w:history="1">
        <w:r w:rsidRPr="005E7C92">
          <w:rPr>
            <w:rStyle w:val="Hyperlink"/>
            <w:szCs w:val="22"/>
          </w:rPr>
          <w:t>J.OHara@</w:t>
        </w:r>
        <w:r w:rsidR="009428F3">
          <w:rPr>
            <w:rStyle w:val="Hyperlink"/>
            <w:szCs w:val="22"/>
          </w:rPr>
          <w:t>LeedsBeckett</w:t>
        </w:r>
        <w:r w:rsidRPr="005E7C92">
          <w:rPr>
            <w:rStyle w:val="Hyperlink"/>
            <w:szCs w:val="22"/>
          </w:rPr>
          <w:t>.ac.uk</w:t>
        </w:r>
      </w:hyperlink>
    </w:p>
    <w:p w:rsidR="00AB011A" w:rsidRDefault="00AB011A">
      <w:pPr>
        <w:spacing w:line="480" w:lineRule="auto"/>
        <w:jc w:val="both"/>
      </w:pPr>
    </w:p>
    <w:p w:rsidR="00AB011A" w:rsidRDefault="00AA2D27">
      <w:pPr>
        <w:spacing w:line="480" w:lineRule="auto"/>
        <w:jc w:val="both"/>
      </w:pPr>
      <w:r>
        <w:rPr>
          <w:u w:val="single"/>
        </w:rPr>
        <w:t>Corresponding Author:</w:t>
      </w:r>
    </w:p>
    <w:p w:rsidR="00AB011A" w:rsidRDefault="00AA2D27">
      <w:pPr>
        <w:spacing w:line="480" w:lineRule="auto"/>
        <w:ind w:left="720"/>
        <w:jc w:val="both"/>
      </w:pPr>
      <w:r>
        <w:t>Dr. Benjamin Jones</w:t>
      </w:r>
    </w:p>
    <w:p w:rsidR="00AB011A" w:rsidRDefault="00AA2D27">
      <w:pPr>
        <w:spacing w:line="480" w:lineRule="auto"/>
        <w:ind w:left="720"/>
        <w:jc w:val="both"/>
      </w:pPr>
      <w:r>
        <w:t>Room 112, Fairfax Hall</w:t>
      </w:r>
    </w:p>
    <w:p w:rsidR="00AB011A" w:rsidRDefault="00AA2D27">
      <w:pPr>
        <w:spacing w:line="480" w:lineRule="auto"/>
        <w:ind w:left="720"/>
        <w:jc w:val="both"/>
      </w:pPr>
      <w:r>
        <w:t>Research Institute for Sport, Physical Activity and Leisure</w:t>
      </w:r>
    </w:p>
    <w:p w:rsidR="00AB011A" w:rsidRDefault="00AA2D27">
      <w:pPr>
        <w:spacing w:line="480" w:lineRule="auto"/>
        <w:ind w:left="720"/>
        <w:jc w:val="both"/>
      </w:pPr>
      <w:r>
        <w:t>Centre for Sports Performance</w:t>
      </w:r>
    </w:p>
    <w:p w:rsidR="00AB011A" w:rsidRDefault="00AA2D27">
      <w:pPr>
        <w:spacing w:line="480" w:lineRule="auto"/>
        <w:ind w:left="720"/>
        <w:jc w:val="both"/>
      </w:pPr>
      <w:r>
        <w:t xml:space="preserve">Headingley Campus, Leeds </w:t>
      </w:r>
      <w:r w:rsidR="009428F3">
        <w:t xml:space="preserve">Beckett </w:t>
      </w:r>
      <w:r>
        <w:t>University</w:t>
      </w:r>
    </w:p>
    <w:p w:rsidR="00AB011A" w:rsidRDefault="00AA2D27">
      <w:pPr>
        <w:spacing w:line="480" w:lineRule="auto"/>
        <w:ind w:left="720"/>
        <w:jc w:val="both"/>
      </w:pPr>
      <w:r>
        <w:t>W.Yorkshire, LS6 3QS</w:t>
      </w:r>
    </w:p>
    <w:p w:rsidR="00AB011A" w:rsidRDefault="00AA2D27">
      <w:pPr>
        <w:spacing w:line="480" w:lineRule="auto"/>
        <w:ind w:left="720"/>
        <w:jc w:val="both"/>
      </w:pPr>
      <w:r>
        <w:t>Phone: (044-11) 01132-832600 Ext: 24009</w:t>
      </w:r>
    </w:p>
    <w:p w:rsidR="00AB011A" w:rsidRDefault="00AA2D27">
      <w:pPr>
        <w:spacing w:line="480" w:lineRule="auto"/>
        <w:ind w:left="720"/>
        <w:jc w:val="both"/>
      </w:pPr>
      <w:r>
        <w:t>Email: B.Jones@Leeds</w:t>
      </w:r>
      <w:r w:rsidR="00D35A2D">
        <w:t>Beckett</w:t>
      </w:r>
      <w:r>
        <w:t>.ac.uk</w:t>
      </w:r>
    </w:p>
    <w:p w:rsidR="00C6072D" w:rsidRDefault="00D35A2D" w:rsidP="00C6072D">
      <w:pPr>
        <w:spacing w:line="480" w:lineRule="auto"/>
        <w:jc w:val="center"/>
      </w:pPr>
      <w:r w:rsidRPr="009D4ACA">
        <w:rPr>
          <w:b/>
        </w:rPr>
        <w:lastRenderedPageBreak/>
        <w:t>Hydration</w:t>
      </w:r>
      <w:r>
        <w:rPr>
          <w:b/>
        </w:rPr>
        <w:t xml:space="preserve"> Strategies</w:t>
      </w:r>
      <w:r w:rsidRPr="009D4ACA">
        <w:rPr>
          <w:b/>
        </w:rPr>
        <w:t xml:space="preserve"> </w:t>
      </w:r>
      <w:r>
        <w:rPr>
          <w:b/>
        </w:rPr>
        <w:t xml:space="preserve">of </w:t>
      </w:r>
      <w:r w:rsidRPr="009D4ACA">
        <w:rPr>
          <w:b/>
        </w:rPr>
        <w:t xml:space="preserve">Professional Elite Rugby League Referees </w:t>
      </w:r>
      <w:r>
        <w:rPr>
          <w:b/>
        </w:rPr>
        <w:t>during Super League Matches</w:t>
      </w:r>
    </w:p>
    <w:p w:rsidR="00AB011A" w:rsidRDefault="00AB011A">
      <w:pPr>
        <w:spacing w:line="480" w:lineRule="auto"/>
        <w:jc w:val="both"/>
      </w:pPr>
    </w:p>
    <w:p w:rsidR="00ED0A9F" w:rsidRDefault="00ED0A9F">
      <w:pPr>
        <w:spacing w:line="480" w:lineRule="auto"/>
        <w:jc w:val="both"/>
        <w:rPr>
          <w:b/>
        </w:rPr>
      </w:pPr>
    </w:p>
    <w:p w:rsidR="00ED0A9F" w:rsidRDefault="00ED0A9F">
      <w:pPr>
        <w:spacing w:line="480" w:lineRule="auto"/>
        <w:jc w:val="both"/>
        <w:rPr>
          <w:b/>
        </w:rPr>
      </w:pPr>
    </w:p>
    <w:p w:rsidR="00C6072D" w:rsidRDefault="00C6072D">
      <w:pPr>
        <w:rPr>
          <w:b/>
        </w:rPr>
      </w:pPr>
      <w:r>
        <w:rPr>
          <w:b/>
        </w:rPr>
        <w:br w:type="page"/>
      </w:r>
    </w:p>
    <w:p w:rsidR="00275A41" w:rsidRDefault="00C6072D" w:rsidP="00C6072D">
      <w:pPr>
        <w:spacing w:line="480" w:lineRule="auto"/>
        <w:jc w:val="center"/>
        <w:rPr>
          <w:b/>
        </w:rPr>
      </w:pPr>
      <w:r>
        <w:rPr>
          <w:b/>
        </w:rPr>
        <w:lastRenderedPageBreak/>
        <w:t>ABSTRACT</w:t>
      </w:r>
    </w:p>
    <w:p w:rsidR="0013000D" w:rsidRPr="00751781" w:rsidRDefault="00030E5C" w:rsidP="0013000D">
      <w:pPr>
        <w:spacing w:line="480" w:lineRule="auto"/>
        <w:ind w:firstLine="720"/>
        <w:jc w:val="both"/>
        <w:rPr>
          <w:szCs w:val="22"/>
        </w:rPr>
      </w:pPr>
      <w:r>
        <w:rPr>
          <w:szCs w:val="22"/>
        </w:rPr>
        <w:t>Due to the focus of research within athletic populations, little is known about the hydration strategies of rugby league referees</w:t>
      </w:r>
      <w:r w:rsidR="0013000D" w:rsidRPr="00751781">
        <w:rPr>
          <w:szCs w:val="22"/>
        </w:rPr>
        <w:t>. We observed all 8 full-time</w:t>
      </w:r>
      <w:r w:rsidR="0013000D">
        <w:rPr>
          <w:szCs w:val="22"/>
        </w:rPr>
        <w:t xml:space="preserve"> professional</w:t>
      </w:r>
      <w:r w:rsidR="0013000D" w:rsidRPr="00751781">
        <w:rPr>
          <w:szCs w:val="22"/>
        </w:rPr>
        <w:t xml:space="preserve"> referees, during 31 Super League </w:t>
      </w:r>
      <w:r w:rsidR="00C6072D">
        <w:rPr>
          <w:szCs w:val="22"/>
        </w:rPr>
        <w:t>matches</w:t>
      </w:r>
      <w:r>
        <w:rPr>
          <w:szCs w:val="22"/>
        </w:rPr>
        <w:t xml:space="preserve"> to investigate </w:t>
      </w:r>
      <w:r w:rsidR="00121869">
        <w:rPr>
          <w:szCs w:val="22"/>
        </w:rPr>
        <w:t>the drinking strategies and</w:t>
      </w:r>
      <w:r w:rsidR="00DE135B">
        <w:rPr>
          <w:szCs w:val="22"/>
        </w:rPr>
        <w:t xml:space="preserve"> magnitude of </w:t>
      </w:r>
      <w:r>
        <w:rPr>
          <w:szCs w:val="22"/>
        </w:rPr>
        <w:t>dehydration</w:t>
      </w:r>
      <w:r w:rsidR="00935CD5">
        <w:rPr>
          <w:szCs w:val="22"/>
        </w:rPr>
        <w:t xml:space="preserve"> (body mass loss)</w:t>
      </w:r>
      <w:r>
        <w:rPr>
          <w:szCs w:val="22"/>
        </w:rPr>
        <w:t xml:space="preserve"> </w:t>
      </w:r>
      <w:r w:rsidR="00121869">
        <w:rPr>
          <w:szCs w:val="22"/>
        </w:rPr>
        <w:t xml:space="preserve">experienced by referees </w:t>
      </w:r>
      <w:r>
        <w:rPr>
          <w:szCs w:val="22"/>
        </w:rPr>
        <w:t>during match play</w:t>
      </w:r>
      <w:r w:rsidR="0013000D" w:rsidRPr="00751781">
        <w:rPr>
          <w:szCs w:val="22"/>
        </w:rPr>
        <w:t>.</w:t>
      </w:r>
      <w:r w:rsidR="0013000D">
        <w:rPr>
          <w:szCs w:val="22"/>
        </w:rPr>
        <w:t xml:space="preserve"> </w:t>
      </w:r>
      <w:r w:rsidR="0013000D">
        <w:rPr>
          <w:color w:val="auto"/>
          <w:szCs w:val="22"/>
        </w:rPr>
        <w:t>R</w:t>
      </w:r>
      <w:r w:rsidR="0013000D" w:rsidRPr="00751781">
        <w:rPr>
          <w:color w:val="auto"/>
          <w:szCs w:val="22"/>
        </w:rPr>
        <w:t>efer</w:t>
      </w:r>
      <w:r w:rsidR="0013000D">
        <w:rPr>
          <w:color w:val="auto"/>
          <w:szCs w:val="22"/>
        </w:rPr>
        <w:t xml:space="preserve">ees arrived </w:t>
      </w:r>
      <w:r w:rsidR="00935CD5">
        <w:rPr>
          <w:color w:val="auto"/>
          <w:szCs w:val="22"/>
        </w:rPr>
        <w:t xml:space="preserve">and remained </w:t>
      </w:r>
      <w:r w:rsidR="0013000D">
        <w:rPr>
          <w:color w:val="auto"/>
          <w:szCs w:val="22"/>
        </w:rPr>
        <w:t>euhydrated (</w:t>
      </w:r>
      <w:r w:rsidR="00935CD5">
        <w:rPr>
          <w:color w:val="auto"/>
          <w:szCs w:val="22"/>
        </w:rPr>
        <w:t xml:space="preserve">urine osmolality; pre and post-match </w:t>
      </w:r>
      <w:r w:rsidR="0013000D">
        <w:rPr>
          <w:color w:val="auto"/>
          <w:szCs w:val="22"/>
        </w:rPr>
        <w:t>558 ± 310</w:t>
      </w:r>
      <w:r w:rsidR="00935CD5">
        <w:rPr>
          <w:color w:val="auto"/>
          <w:szCs w:val="22"/>
        </w:rPr>
        <w:t xml:space="preserve"> and</w:t>
      </w:r>
      <w:r w:rsidR="00935CD5" w:rsidRPr="009D3F54">
        <w:rPr>
          <w:color w:val="auto"/>
          <w:szCs w:val="22"/>
        </w:rPr>
        <w:t xml:space="preserve"> </w:t>
      </w:r>
      <w:r w:rsidR="00935CD5" w:rsidRPr="009D3F54">
        <w:rPr>
          <w:rFonts w:eastAsia="Calibri"/>
          <w:szCs w:val="22"/>
        </w:rPr>
        <w:t>466 ± 283</w:t>
      </w:r>
      <w:r w:rsidR="0013000D">
        <w:rPr>
          <w:color w:val="auto"/>
          <w:szCs w:val="22"/>
        </w:rPr>
        <w:t xml:space="preserve"> </w:t>
      </w:r>
      <w:r w:rsidR="0013000D" w:rsidRPr="00751781">
        <w:rPr>
          <w:color w:val="auto"/>
          <w:szCs w:val="22"/>
        </w:rPr>
        <w:t>mOsmol</w:t>
      </w:r>
      <w:r w:rsidR="00C6072D">
        <w:rPr>
          <w:color w:val="auto"/>
          <w:szCs w:val="22"/>
        </w:rPr>
        <w:t>·</w:t>
      </w:r>
      <w:r w:rsidR="0013000D" w:rsidRPr="00751781">
        <w:rPr>
          <w:color w:val="auto"/>
          <w:szCs w:val="22"/>
        </w:rPr>
        <w:t>kg</w:t>
      </w:r>
      <w:r w:rsidR="0013000D" w:rsidRPr="00751781">
        <w:rPr>
          <w:color w:val="auto"/>
          <w:szCs w:val="22"/>
          <w:vertAlign w:val="superscript"/>
        </w:rPr>
        <w:t>-1</w:t>
      </w:r>
      <w:r w:rsidR="0013000D" w:rsidRPr="00751781">
        <w:rPr>
          <w:color w:val="auto"/>
          <w:szCs w:val="22"/>
        </w:rPr>
        <w:t>)</w:t>
      </w:r>
      <w:r w:rsidR="00935CD5">
        <w:rPr>
          <w:color w:val="auto"/>
          <w:szCs w:val="22"/>
        </w:rPr>
        <w:t>. M</w:t>
      </w:r>
      <w:r w:rsidR="0013000D" w:rsidRPr="00751781">
        <w:rPr>
          <w:szCs w:val="22"/>
        </w:rPr>
        <w:t xml:space="preserve">ean body mass change </w:t>
      </w:r>
      <w:r w:rsidR="00935CD5">
        <w:rPr>
          <w:szCs w:val="22"/>
        </w:rPr>
        <w:t xml:space="preserve">was </w:t>
      </w:r>
      <w:r w:rsidR="0013000D">
        <w:rPr>
          <w:szCs w:val="22"/>
        </w:rPr>
        <w:t xml:space="preserve">-0.7 </w:t>
      </w:r>
      <w:r w:rsidR="0013000D" w:rsidRPr="00751781">
        <w:rPr>
          <w:szCs w:val="22"/>
        </w:rPr>
        <w:t>±</w:t>
      </w:r>
      <w:r w:rsidR="0013000D">
        <w:rPr>
          <w:szCs w:val="22"/>
        </w:rPr>
        <w:t xml:space="preserve"> </w:t>
      </w:r>
      <w:r w:rsidR="0013000D" w:rsidRPr="00751781">
        <w:rPr>
          <w:szCs w:val="22"/>
        </w:rPr>
        <w:t>0.8%</w:t>
      </w:r>
      <w:r w:rsidR="00935CD5">
        <w:rPr>
          <w:szCs w:val="22"/>
        </w:rPr>
        <w:t>, f</w:t>
      </w:r>
      <w:r w:rsidR="0013000D" w:rsidRPr="00030E5C">
        <w:rPr>
          <w:szCs w:val="22"/>
        </w:rPr>
        <w:t xml:space="preserve">luid loss was 890 ± 435 g and </w:t>
      </w:r>
      <w:r w:rsidR="00DE135B">
        <w:rPr>
          <w:szCs w:val="22"/>
        </w:rPr>
        <w:t>f</w:t>
      </w:r>
      <w:r w:rsidRPr="00030E5C">
        <w:rPr>
          <w:szCs w:val="22"/>
        </w:rPr>
        <w:t xml:space="preserve">luid intake was </w:t>
      </w:r>
      <w:r w:rsidRPr="00030E5C">
        <w:rPr>
          <w:rFonts w:eastAsia="Calibri"/>
        </w:rPr>
        <w:t>444 ± 167</w:t>
      </w:r>
      <w:r w:rsidRPr="00030E5C">
        <w:rPr>
          <w:szCs w:val="22"/>
        </w:rPr>
        <w:t xml:space="preserve">, </w:t>
      </w:r>
      <w:r w:rsidRPr="00030E5C">
        <w:rPr>
          <w:rFonts w:eastAsia="Calibri"/>
        </w:rPr>
        <w:t>438 ± 190, 254 ± 108 and 471 ± 221 g</w:t>
      </w:r>
      <w:r w:rsidRPr="00030E5C">
        <w:rPr>
          <w:szCs w:val="22"/>
        </w:rPr>
        <w:t xml:space="preserve"> during</w:t>
      </w:r>
      <w:r>
        <w:rPr>
          <w:szCs w:val="22"/>
        </w:rPr>
        <w:t xml:space="preserve"> </w:t>
      </w:r>
      <w:r w:rsidRPr="00030E5C">
        <w:rPr>
          <w:szCs w:val="22"/>
        </w:rPr>
        <w:t>pre</w:t>
      </w:r>
      <w:r w:rsidR="001E3CE3">
        <w:rPr>
          <w:szCs w:val="22"/>
        </w:rPr>
        <w:t>-</w:t>
      </w:r>
      <w:r w:rsidRPr="00030E5C">
        <w:rPr>
          <w:szCs w:val="22"/>
        </w:rPr>
        <w:t>match</w:t>
      </w:r>
      <w:r>
        <w:rPr>
          <w:szCs w:val="22"/>
        </w:rPr>
        <w:t>,</w:t>
      </w:r>
      <w:r w:rsidRPr="00030E5C">
        <w:rPr>
          <w:szCs w:val="22"/>
        </w:rPr>
        <w:t xml:space="preserve"> first</w:t>
      </w:r>
      <w:r w:rsidR="00C6072D">
        <w:rPr>
          <w:szCs w:val="22"/>
        </w:rPr>
        <w:t>-</w:t>
      </w:r>
      <w:r w:rsidRPr="00030E5C">
        <w:rPr>
          <w:szCs w:val="22"/>
        </w:rPr>
        <w:t>half, half-time and second</w:t>
      </w:r>
      <w:r w:rsidR="00C6072D">
        <w:rPr>
          <w:szCs w:val="22"/>
        </w:rPr>
        <w:t>-</w:t>
      </w:r>
      <w:r w:rsidRPr="00030E5C">
        <w:rPr>
          <w:szCs w:val="22"/>
        </w:rPr>
        <w:t>half</w:t>
      </w:r>
      <w:r>
        <w:rPr>
          <w:szCs w:val="22"/>
        </w:rPr>
        <w:t xml:space="preserve">. </w:t>
      </w:r>
      <w:r w:rsidR="00727493">
        <w:rPr>
          <w:szCs w:val="22"/>
        </w:rPr>
        <w:t xml:space="preserve">This study suggests elite referees adopt appropriate hydration strategies </w:t>
      </w:r>
      <w:r w:rsidR="0013000D" w:rsidRPr="00751781">
        <w:rPr>
          <w:szCs w:val="22"/>
        </w:rPr>
        <w:t>during match</w:t>
      </w:r>
      <w:r w:rsidR="0013000D">
        <w:rPr>
          <w:szCs w:val="22"/>
        </w:rPr>
        <w:t>-</w:t>
      </w:r>
      <w:r w:rsidR="0013000D" w:rsidRPr="00751781">
        <w:rPr>
          <w:szCs w:val="22"/>
        </w:rPr>
        <w:t>play to pr</w:t>
      </w:r>
      <w:r w:rsidR="0013000D">
        <w:rPr>
          <w:szCs w:val="22"/>
        </w:rPr>
        <w:t xml:space="preserve">event large reductions in </w:t>
      </w:r>
      <w:r w:rsidR="006E759D">
        <w:rPr>
          <w:szCs w:val="22"/>
        </w:rPr>
        <w:t>body mass</w:t>
      </w:r>
      <w:r w:rsidR="00C6072D">
        <w:rPr>
          <w:szCs w:val="22"/>
        </w:rPr>
        <w:t>, although</w:t>
      </w:r>
      <w:r w:rsidR="00DE135B">
        <w:rPr>
          <w:szCs w:val="22"/>
        </w:rPr>
        <w:t xml:space="preserve"> individual variability was observed.</w:t>
      </w:r>
      <w:r w:rsidR="0013000D" w:rsidRPr="00751781">
        <w:rPr>
          <w:szCs w:val="22"/>
        </w:rPr>
        <w:t xml:space="preserve"> </w:t>
      </w:r>
      <w:r w:rsidR="00DE135B">
        <w:rPr>
          <w:szCs w:val="22"/>
        </w:rPr>
        <w:t>F</w:t>
      </w:r>
      <w:r w:rsidR="0013000D" w:rsidRPr="00751781">
        <w:rPr>
          <w:szCs w:val="22"/>
        </w:rPr>
        <w:t>ut</w:t>
      </w:r>
      <w:r w:rsidR="00C6072D">
        <w:rPr>
          <w:szCs w:val="22"/>
        </w:rPr>
        <w:t>ure</w:t>
      </w:r>
      <w:r w:rsidR="0013000D" w:rsidRPr="00751781">
        <w:rPr>
          <w:szCs w:val="22"/>
        </w:rPr>
        <w:t xml:space="preserve"> research</w:t>
      </w:r>
      <w:r w:rsidR="00C6072D">
        <w:rPr>
          <w:szCs w:val="22"/>
        </w:rPr>
        <w:t xml:space="preserve"> should</w:t>
      </w:r>
      <w:r w:rsidR="0013000D" w:rsidRPr="00751781">
        <w:rPr>
          <w:szCs w:val="22"/>
        </w:rPr>
        <w:t xml:space="preserve"> investigate dehydration in referees</w:t>
      </w:r>
      <w:r w:rsidR="00C6072D">
        <w:rPr>
          <w:szCs w:val="22"/>
        </w:rPr>
        <w:t xml:space="preserve"> from</w:t>
      </w:r>
      <w:r w:rsidR="0013000D" w:rsidRPr="00751781">
        <w:rPr>
          <w:szCs w:val="22"/>
        </w:rPr>
        <w:t xml:space="preserve"> other sports and the effects on </w:t>
      </w:r>
      <w:r w:rsidR="0013000D">
        <w:rPr>
          <w:szCs w:val="22"/>
        </w:rPr>
        <w:t>refereeing</w:t>
      </w:r>
      <w:r w:rsidR="0013000D" w:rsidRPr="00751781">
        <w:rPr>
          <w:szCs w:val="22"/>
        </w:rPr>
        <w:t xml:space="preserve"> performance.</w:t>
      </w:r>
    </w:p>
    <w:p w:rsidR="003476BB" w:rsidRPr="00751781" w:rsidRDefault="003476BB" w:rsidP="003476BB">
      <w:pPr>
        <w:spacing w:line="480" w:lineRule="auto"/>
        <w:jc w:val="both"/>
        <w:rPr>
          <w:lang w:val="en-US"/>
        </w:rPr>
      </w:pPr>
    </w:p>
    <w:p w:rsidR="00275A41" w:rsidRDefault="00275A41">
      <w:pPr>
        <w:spacing w:line="480" w:lineRule="auto"/>
        <w:jc w:val="both"/>
        <w:rPr>
          <w:b/>
        </w:rPr>
      </w:pPr>
    </w:p>
    <w:p w:rsidR="00751781" w:rsidRDefault="00751781">
      <w:pPr>
        <w:spacing w:line="480" w:lineRule="auto"/>
        <w:jc w:val="both"/>
        <w:rPr>
          <w:b/>
        </w:rPr>
      </w:pPr>
    </w:p>
    <w:p w:rsidR="00751781" w:rsidRDefault="00751781">
      <w:pPr>
        <w:spacing w:line="480" w:lineRule="auto"/>
        <w:jc w:val="both"/>
        <w:rPr>
          <w:b/>
        </w:rPr>
      </w:pPr>
    </w:p>
    <w:p w:rsidR="00751781" w:rsidRDefault="00751781">
      <w:pPr>
        <w:spacing w:line="480" w:lineRule="auto"/>
        <w:jc w:val="both"/>
        <w:rPr>
          <w:b/>
        </w:rPr>
      </w:pPr>
    </w:p>
    <w:p w:rsidR="00751781" w:rsidRDefault="00751781">
      <w:pPr>
        <w:spacing w:line="480" w:lineRule="auto"/>
        <w:jc w:val="both"/>
        <w:rPr>
          <w:b/>
        </w:rPr>
      </w:pPr>
    </w:p>
    <w:p w:rsidR="00144005" w:rsidRDefault="00144005">
      <w:pPr>
        <w:rPr>
          <w:b/>
        </w:rPr>
      </w:pPr>
      <w:r>
        <w:rPr>
          <w:b/>
        </w:rPr>
        <w:br w:type="page"/>
      </w:r>
    </w:p>
    <w:p w:rsidR="00AB011A" w:rsidRDefault="008E752D" w:rsidP="008E752D">
      <w:pPr>
        <w:spacing w:line="480" w:lineRule="auto"/>
        <w:jc w:val="center"/>
      </w:pPr>
      <w:r>
        <w:rPr>
          <w:b/>
        </w:rPr>
        <w:lastRenderedPageBreak/>
        <w:t>INTRODUCTION</w:t>
      </w:r>
    </w:p>
    <w:p w:rsidR="003E2BA4" w:rsidRPr="007E7B14" w:rsidRDefault="00217309">
      <w:pPr>
        <w:spacing w:line="480" w:lineRule="auto"/>
        <w:ind w:firstLine="720"/>
        <w:jc w:val="both"/>
        <w:rPr>
          <w:szCs w:val="22"/>
          <w:shd w:val="clear" w:color="auto" w:fill="FFFFFF"/>
        </w:rPr>
      </w:pPr>
      <w:r w:rsidRPr="00217309">
        <w:rPr>
          <w:szCs w:val="22"/>
        </w:rPr>
        <w:t>Rugby league (RL) is a hig</w:t>
      </w:r>
      <w:r w:rsidR="001F2154">
        <w:rPr>
          <w:szCs w:val="22"/>
        </w:rPr>
        <w:t>h-intensity intermittent sport</w:t>
      </w:r>
      <w:r w:rsidR="00F965B7">
        <w:rPr>
          <w:szCs w:val="22"/>
        </w:rPr>
        <w:t xml:space="preserve"> </w:t>
      </w:r>
      <w:r w:rsidR="0089067C">
        <w:rPr>
          <w:szCs w:val="22"/>
        </w:rPr>
        <w:t>[</w:t>
      </w:r>
      <w:r w:rsidR="00D31D9E">
        <w:rPr>
          <w:szCs w:val="22"/>
        </w:rPr>
        <w:t>1</w:t>
      </w:r>
      <w:r w:rsidR="0089067C">
        <w:rPr>
          <w:szCs w:val="22"/>
        </w:rPr>
        <w:t>]</w:t>
      </w:r>
      <w:r w:rsidRPr="00217309">
        <w:rPr>
          <w:szCs w:val="22"/>
        </w:rPr>
        <w:t>, officiated by referee</w:t>
      </w:r>
      <w:r w:rsidR="00A90FA4">
        <w:rPr>
          <w:szCs w:val="22"/>
        </w:rPr>
        <w:t>s</w:t>
      </w:r>
      <w:r w:rsidRPr="00217309">
        <w:rPr>
          <w:szCs w:val="22"/>
        </w:rPr>
        <w:t xml:space="preserve"> who are employed by the Rugby Football League (RFL). The role of the referee is</w:t>
      </w:r>
      <w:r w:rsidR="009D4ACA" w:rsidRPr="009D4ACA">
        <w:rPr>
          <w:szCs w:val="22"/>
        </w:rPr>
        <w:t xml:space="preserve"> pivotal to RL matches, as they are required to make decisions while undertaking high intensity exercise to keep up with the game</w:t>
      </w:r>
      <w:r w:rsidR="00F965B7">
        <w:rPr>
          <w:szCs w:val="22"/>
        </w:rPr>
        <w:t xml:space="preserve"> </w:t>
      </w:r>
      <w:r w:rsidR="0089067C">
        <w:rPr>
          <w:szCs w:val="22"/>
        </w:rPr>
        <w:t>[</w:t>
      </w:r>
      <w:r w:rsidR="00D31D9E">
        <w:rPr>
          <w:szCs w:val="22"/>
        </w:rPr>
        <w:t>2</w:t>
      </w:r>
      <w:r w:rsidR="0089067C">
        <w:rPr>
          <w:szCs w:val="22"/>
        </w:rPr>
        <w:t>]</w:t>
      </w:r>
      <w:r w:rsidR="009D4ACA" w:rsidRPr="009D4ACA">
        <w:rPr>
          <w:szCs w:val="22"/>
        </w:rPr>
        <w:t xml:space="preserve">. </w:t>
      </w:r>
      <w:r w:rsidR="00381003">
        <w:rPr>
          <w:szCs w:val="22"/>
          <w:shd w:val="clear" w:color="auto" w:fill="FFFFFF"/>
        </w:rPr>
        <w:t>R</w:t>
      </w:r>
      <w:r w:rsidR="00381003" w:rsidRPr="009D4ACA">
        <w:rPr>
          <w:szCs w:val="22"/>
          <w:shd w:val="clear" w:color="auto" w:fill="FFFFFF"/>
        </w:rPr>
        <w:t xml:space="preserve">egardless of </w:t>
      </w:r>
      <w:r w:rsidR="00381003">
        <w:rPr>
          <w:szCs w:val="22"/>
          <w:shd w:val="clear" w:color="auto" w:fill="FFFFFF"/>
        </w:rPr>
        <w:t xml:space="preserve">the </w:t>
      </w:r>
      <w:r w:rsidR="00381003" w:rsidRPr="009D4ACA">
        <w:rPr>
          <w:szCs w:val="22"/>
          <w:shd w:val="clear" w:color="auto" w:fill="FFFFFF"/>
        </w:rPr>
        <w:t>sport</w:t>
      </w:r>
      <w:r w:rsidR="00381003">
        <w:rPr>
          <w:szCs w:val="22"/>
          <w:shd w:val="clear" w:color="auto" w:fill="FFFFFF"/>
        </w:rPr>
        <w:t>, r</w:t>
      </w:r>
      <w:r w:rsidR="00381003" w:rsidRPr="009D4ACA">
        <w:rPr>
          <w:szCs w:val="22"/>
          <w:shd w:val="clear" w:color="auto" w:fill="FFFFFF"/>
        </w:rPr>
        <w:t xml:space="preserve">esearch </w:t>
      </w:r>
      <w:r w:rsidR="00381003">
        <w:rPr>
          <w:szCs w:val="22"/>
          <w:shd w:val="clear" w:color="auto" w:fill="FFFFFF"/>
        </w:rPr>
        <w:t>investigating referees is sparse in comparison to athletes.</w:t>
      </w:r>
      <w:r w:rsidR="00AA247E">
        <w:rPr>
          <w:szCs w:val="22"/>
          <w:shd w:val="clear" w:color="auto" w:fill="FFFFFF"/>
        </w:rPr>
        <w:t xml:space="preserve"> </w:t>
      </w:r>
      <w:r w:rsidR="00381003">
        <w:rPr>
          <w:szCs w:val="22"/>
          <w:shd w:val="clear" w:color="auto" w:fill="FFFFFF"/>
        </w:rPr>
        <w:t>E</w:t>
      </w:r>
      <w:r w:rsidR="009D4ACA" w:rsidRPr="009D4ACA">
        <w:rPr>
          <w:szCs w:val="22"/>
          <w:shd w:val="clear" w:color="auto" w:fill="FFFFFF"/>
        </w:rPr>
        <w:t>ven well-established phenomen</w:t>
      </w:r>
      <w:r w:rsidR="001347AA">
        <w:rPr>
          <w:szCs w:val="22"/>
          <w:shd w:val="clear" w:color="auto" w:fill="FFFFFF"/>
        </w:rPr>
        <w:t>a</w:t>
      </w:r>
      <w:r w:rsidR="009D4ACA" w:rsidRPr="009D4ACA">
        <w:rPr>
          <w:szCs w:val="22"/>
          <w:shd w:val="clear" w:color="auto" w:fill="FFFFFF"/>
        </w:rPr>
        <w:t xml:space="preserve"> and </w:t>
      </w:r>
      <w:r w:rsidR="009D4ACA" w:rsidRPr="009D4ACA">
        <w:rPr>
          <w:i/>
          <w:szCs w:val="22"/>
          <w:shd w:val="clear" w:color="auto" w:fill="FFFFFF"/>
        </w:rPr>
        <w:t>‘knowledge’</w:t>
      </w:r>
      <w:r w:rsidR="009D4ACA" w:rsidRPr="009D4ACA">
        <w:rPr>
          <w:szCs w:val="22"/>
          <w:shd w:val="clear" w:color="auto" w:fill="FFFFFF"/>
        </w:rPr>
        <w:t xml:space="preserve"> </w:t>
      </w:r>
      <w:r w:rsidR="00381003">
        <w:rPr>
          <w:szCs w:val="22"/>
          <w:shd w:val="clear" w:color="auto" w:fill="FFFFFF"/>
        </w:rPr>
        <w:t>formulated from studies based on athletic populations</w:t>
      </w:r>
      <w:r w:rsidR="00AA247E">
        <w:rPr>
          <w:szCs w:val="22"/>
          <w:shd w:val="clear" w:color="auto" w:fill="FFFFFF"/>
        </w:rPr>
        <w:t xml:space="preserve"> do</w:t>
      </w:r>
      <w:r w:rsidR="009D4ACA" w:rsidRPr="009D4ACA">
        <w:rPr>
          <w:szCs w:val="22"/>
          <w:shd w:val="clear" w:color="auto" w:fill="FFFFFF"/>
        </w:rPr>
        <w:t xml:space="preserve"> not exist</w:t>
      </w:r>
      <w:r w:rsidR="00AA247E">
        <w:rPr>
          <w:szCs w:val="22"/>
          <w:shd w:val="clear" w:color="auto" w:fill="FFFFFF"/>
        </w:rPr>
        <w:t xml:space="preserve"> for referees</w:t>
      </w:r>
      <w:r w:rsidR="009D4ACA" w:rsidRPr="009D4ACA">
        <w:rPr>
          <w:szCs w:val="22"/>
          <w:shd w:val="clear" w:color="auto" w:fill="FFFFFF"/>
        </w:rPr>
        <w:t xml:space="preserve">. </w:t>
      </w:r>
      <w:r w:rsidR="00381003">
        <w:rPr>
          <w:szCs w:val="22"/>
          <w:shd w:val="clear" w:color="auto" w:fill="FFFFFF"/>
        </w:rPr>
        <w:t>A specific example of this is the hydration status and strategies of elite referees</w:t>
      </w:r>
      <w:r w:rsidR="008457F6">
        <w:rPr>
          <w:szCs w:val="22"/>
          <w:shd w:val="clear" w:color="auto" w:fill="FFFFFF"/>
        </w:rPr>
        <w:t xml:space="preserve"> during match play</w:t>
      </w:r>
      <w:r w:rsidR="00381003">
        <w:rPr>
          <w:szCs w:val="22"/>
          <w:shd w:val="clear" w:color="auto" w:fill="FFFFFF"/>
        </w:rPr>
        <w:t xml:space="preserve">. </w:t>
      </w:r>
      <w:r w:rsidR="009D4ACA" w:rsidRPr="009D4ACA">
        <w:rPr>
          <w:szCs w:val="22"/>
          <w:shd w:val="clear" w:color="auto" w:fill="FFFFFF"/>
        </w:rPr>
        <w:t xml:space="preserve">As such, practitioners working with referees have little relevant evidence to apply to their practice. </w:t>
      </w:r>
    </w:p>
    <w:p w:rsidR="0010451D" w:rsidRDefault="009D4ACA" w:rsidP="0010451D">
      <w:pPr>
        <w:spacing w:line="480" w:lineRule="auto"/>
        <w:ind w:firstLine="720"/>
        <w:jc w:val="both"/>
      </w:pPr>
      <w:r w:rsidRPr="009D4ACA">
        <w:rPr>
          <w:szCs w:val="22"/>
          <w:shd w:val="clear" w:color="auto" w:fill="FFFFFF"/>
        </w:rPr>
        <w:t xml:space="preserve">Hydration or fluid balance is an area that has been widely investigated both within field </w:t>
      </w:r>
      <w:r w:rsidR="0089067C">
        <w:rPr>
          <w:szCs w:val="22"/>
          <w:shd w:val="clear" w:color="auto" w:fill="FFFFFF"/>
        </w:rPr>
        <w:t>[</w:t>
      </w:r>
      <w:r w:rsidR="007B7E14">
        <w:rPr>
          <w:szCs w:val="22"/>
          <w:shd w:val="clear" w:color="auto" w:fill="FFFFFF"/>
        </w:rPr>
        <w:t>3-</w:t>
      </w:r>
      <w:r w:rsidR="00D77C1C">
        <w:rPr>
          <w:szCs w:val="22"/>
          <w:shd w:val="clear" w:color="auto" w:fill="FFFFFF"/>
        </w:rPr>
        <w:t>5</w:t>
      </w:r>
      <w:r w:rsidR="0089067C">
        <w:rPr>
          <w:szCs w:val="22"/>
          <w:shd w:val="clear" w:color="auto" w:fill="FFFFFF"/>
        </w:rPr>
        <w:t>]</w:t>
      </w:r>
      <w:r w:rsidRPr="009D4ACA">
        <w:rPr>
          <w:szCs w:val="22"/>
          <w:shd w:val="clear" w:color="auto" w:fill="FFFFFF"/>
        </w:rPr>
        <w:t xml:space="preserve"> and laboratory </w:t>
      </w:r>
      <w:r w:rsidR="0089067C">
        <w:rPr>
          <w:szCs w:val="22"/>
          <w:shd w:val="clear" w:color="auto" w:fill="FFFFFF"/>
        </w:rPr>
        <w:t>[</w:t>
      </w:r>
      <w:r w:rsidR="00D77C1C">
        <w:rPr>
          <w:szCs w:val="22"/>
          <w:shd w:val="clear" w:color="auto" w:fill="FFFFFF"/>
        </w:rPr>
        <w:t>6</w:t>
      </w:r>
      <w:r w:rsidR="00FE188E">
        <w:rPr>
          <w:szCs w:val="22"/>
          <w:shd w:val="clear" w:color="auto" w:fill="FFFFFF"/>
        </w:rPr>
        <w:t>, 7</w:t>
      </w:r>
      <w:r w:rsidR="0089067C">
        <w:rPr>
          <w:szCs w:val="22"/>
          <w:shd w:val="clear" w:color="auto" w:fill="FFFFFF"/>
        </w:rPr>
        <w:t>]</w:t>
      </w:r>
      <w:r w:rsidRPr="009D4ACA">
        <w:rPr>
          <w:szCs w:val="22"/>
          <w:shd w:val="clear" w:color="auto" w:fill="FFFFFF"/>
        </w:rPr>
        <w:t xml:space="preserve"> </w:t>
      </w:r>
      <w:r w:rsidR="00A90FA4">
        <w:rPr>
          <w:szCs w:val="22"/>
          <w:shd w:val="clear" w:color="auto" w:fill="FFFFFF"/>
        </w:rPr>
        <w:t xml:space="preserve">settings </w:t>
      </w:r>
      <w:r w:rsidRPr="009D4ACA">
        <w:rPr>
          <w:szCs w:val="22"/>
          <w:shd w:val="clear" w:color="auto" w:fill="FFFFFF"/>
        </w:rPr>
        <w:t>for many years</w:t>
      </w:r>
      <w:r w:rsidR="007E7B14">
        <w:rPr>
          <w:szCs w:val="22"/>
          <w:shd w:val="clear" w:color="auto" w:fill="FFFFFF"/>
        </w:rPr>
        <w:t>.</w:t>
      </w:r>
      <w:r w:rsidRPr="009D4ACA">
        <w:rPr>
          <w:szCs w:val="22"/>
          <w:shd w:val="clear" w:color="auto" w:fill="FFFFFF"/>
        </w:rPr>
        <w:t xml:space="preserve"> The effects </w:t>
      </w:r>
      <w:r w:rsidR="007E7B14">
        <w:rPr>
          <w:szCs w:val="22"/>
          <w:shd w:val="clear" w:color="auto" w:fill="FFFFFF"/>
        </w:rPr>
        <w:t xml:space="preserve">of hydration status </w:t>
      </w:r>
      <w:r w:rsidRPr="009D4ACA">
        <w:rPr>
          <w:szCs w:val="22"/>
          <w:shd w:val="clear" w:color="auto" w:fill="FFFFFF"/>
        </w:rPr>
        <w:t xml:space="preserve">on </w:t>
      </w:r>
      <w:r w:rsidR="008E752D">
        <w:rPr>
          <w:szCs w:val="22"/>
          <w:shd w:val="clear" w:color="auto" w:fill="FFFFFF"/>
        </w:rPr>
        <w:t xml:space="preserve">exercise </w:t>
      </w:r>
      <w:r w:rsidRPr="009D4ACA">
        <w:rPr>
          <w:szCs w:val="22"/>
          <w:shd w:val="clear" w:color="auto" w:fill="FFFFFF"/>
        </w:rPr>
        <w:t>performance ha</w:t>
      </w:r>
      <w:r w:rsidR="00D05314">
        <w:rPr>
          <w:szCs w:val="22"/>
          <w:shd w:val="clear" w:color="auto" w:fill="FFFFFF"/>
        </w:rPr>
        <w:t>ve</w:t>
      </w:r>
      <w:r w:rsidRPr="009D4ACA">
        <w:rPr>
          <w:szCs w:val="22"/>
          <w:shd w:val="clear" w:color="auto" w:fill="FFFFFF"/>
        </w:rPr>
        <w:t xml:space="preserve"> also been widely debated</w:t>
      </w:r>
      <w:r w:rsidR="00FE188E">
        <w:rPr>
          <w:szCs w:val="22"/>
          <w:shd w:val="clear" w:color="auto" w:fill="FFFFFF"/>
        </w:rPr>
        <w:t xml:space="preserve"> </w:t>
      </w:r>
      <w:r w:rsidR="0089067C">
        <w:rPr>
          <w:szCs w:val="22"/>
          <w:shd w:val="clear" w:color="auto" w:fill="FFFFFF"/>
        </w:rPr>
        <w:t>[</w:t>
      </w:r>
      <w:r w:rsidR="00D77C1C">
        <w:rPr>
          <w:szCs w:val="22"/>
          <w:shd w:val="clear" w:color="auto" w:fill="FFFFFF"/>
        </w:rPr>
        <w:t>8</w:t>
      </w:r>
      <w:r w:rsidR="0089067C">
        <w:rPr>
          <w:szCs w:val="22"/>
          <w:shd w:val="clear" w:color="auto" w:fill="FFFFFF"/>
        </w:rPr>
        <w:t>]</w:t>
      </w:r>
      <w:r w:rsidR="008457F6">
        <w:rPr>
          <w:szCs w:val="22"/>
          <w:shd w:val="clear" w:color="auto" w:fill="FFFFFF"/>
        </w:rPr>
        <w:t xml:space="preserve">. Various body mass (BM) loss </w:t>
      </w:r>
      <w:r w:rsidR="00121869">
        <w:rPr>
          <w:szCs w:val="22"/>
          <w:shd w:val="clear" w:color="auto" w:fill="FFFFFF"/>
        </w:rPr>
        <w:t>thresholds</w:t>
      </w:r>
      <w:r w:rsidR="008457F6">
        <w:rPr>
          <w:szCs w:val="22"/>
          <w:shd w:val="clear" w:color="auto" w:fill="FFFFFF"/>
        </w:rPr>
        <w:t xml:space="preserve"> have been proposed to impair </w:t>
      </w:r>
      <w:r w:rsidR="008457F6" w:rsidRPr="009D4ACA">
        <w:rPr>
          <w:szCs w:val="22"/>
          <w:shd w:val="clear" w:color="auto" w:fill="FFFFFF"/>
        </w:rPr>
        <w:t>both physiological and cognitive performance during exercise</w:t>
      </w:r>
      <w:r w:rsidR="008457F6">
        <w:rPr>
          <w:szCs w:val="22"/>
          <w:shd w:val="clear" w:color="auto" w:fill="FFFFFF"/>
        </w:rPr>
        <w:t>. A</w:t>
      </w:r>
      <w:r w:rsidR="00121869">
        <w:rPr>
          <w:szCs w:val="22"/>
          <w:shd w:val="clear" w:color="auto" w:fill="FFFFFF"/>
        </w:rPr>
        <w:t xml:space="preserve"> </w:t>
      </w:r>
      <w:r w:rsidR="00406382">
        <w:rPr>
          <w:szCs w:val="22"/>
          <w:shd w:val="clear" w:color="auto" w:fill="FFFFFF"/>
        </w:rPr>
        <w:t>BM</w:t>
      </w:r>
      <w:r w:rsidR="00381003">
        <w:rPr>
          <w:szCs w:val="22"/>
          <w:shd w:val="clear" w:color="auto" w:fill="FFFFFF"/>
        </w:rPr>
        <w:t xml:space="preserve"> </w:t>
      </w:r>
      <w:r w:rsidRPr="009D4ACA">
        <w:rPr>
          <w:szCs w:val="22"/>
          <w:shd w:val="clear" w:color="auto" w:fill="FFFFFF"/>
        </w:rPr>
        <w:t xml:space="preserve">loss greater than 2 </w:t>
      </w:r>
      <w:r w:rsidR="0089067C">
        <w:rPr>
          <w:szCs w:val="22"/>
          <w:shd w:val="clear" w:color="auto" w:fill="FFFFFF"/>
        </w:rPr>
        <w:t>[</w:t>
      </w:r>
      <w:r w:rsidR="00D77C1C">
        <w:rPr>
          <w:szCs w:val="22"/>
          <w:shd w:val="clear" w:color="auto" w:fill="FFFFFF"/>
        </w:rPr>
        <w:t>6, 9, 10</w:t>
      </w:r>
      <w:r w:rsidR="0089067C">
        <w:rPr>
          <w:szCs w:val="22"/>
          <w:shd w:val="clear" w:color="auto" w:fill="FFFFFF"/>
        </w:rPr>
        <w:t>]</w:t>
      </w:r>
      <w:r w:rsidR="008457F6">
        <w:rPr>
          <w:szCs w:val="22"/>
          <w:shd w:val="clear" w:color="auto" w:fill="FFFFFF"/>
        </w:rPr>
        <w:t xml:space="preserve"> or </w:t>
      </w:r>
      <w:r w:rsidR="00770A99">
        <w:rPr>
          <w:szCs w:val="22"/>
          <w:shd w:val="clear" w:color="auto" w:fill="FFFFFF"/>
        </w:rPr>
        <w:t>4</w:t>
      </w:r>
      <w:r w:rsidR="008457F6">
        <w:rPr>
          <w:szCs w:val="22"/>
          <w:shd w:val="clear" w:color="auto" w:fill="FFFFFF"/>
        </w:rPr>
        <w:t xml:space="preserve">% </w:t>
      </w:r>
      <w:r w:rsidR="0089067C">
        <w:rPr>
          <w:szCs w:val="22"/>
          <w:shd w:val="clear" w:color="auto" w:fill="FFFFFF"/>
        </w:rPr>
        <w:t>[</w:t>
      </w:r>
      <w:r w:rsidR="00D77C1C">
        <w:rPr>
          <w:szCs w:val="22"/>
          <w:shd w:val="clear" w:color="auto" w:fill="FFFFFF"/>
        </w:rPr>
        <w:t>11</w:t>
      </w:r>
      <w:r w:rsidR="0089067C">
        <w:rPr>
          <w:szCs w:val="22"/>
          <w:shd w:val="clear" w:color="auto" w:fill="FFFFFF"/>
        </w:rPr>
        <w:t>]</w:t>
      </w:r>
      <w:r w:rsidR="00D05314">
        <w:rPr>
          <w:szCs w:val="22"/>
          <w:shd w:val="clear" w:color="auto" w:fill="FFFFFF"/>
        </w:rPr>
        <w:t xml:space="preserve"> </w:t>
      </w:r>
      <w:r w:rsidR="00770A99">
        <w:rPr>
          <w:szCs w:val="22"/>
          <w:shd w:val="clear" w:color="auto" w:fill="FFFFFF"/>
        </w:rPr>
        <w:t xml:space="preserve">has </w:t>
      </w:r>
      <w:r w:rsidR="00121869">
        <w:rPr>
          <w:szCs w:val="22"/>
          <w:shd w:val="clear" w:color="auto" w:fill="FFFFFF"/>
        </w:rPr>
        <w:t xml:space="preserve">been </w:t>
      </w:r>
      <w:r w:rsidR="00770A99">
        <w:rPr>
          <w:szCs w:val="22"/>
          <w:shd w:val="clear" w:color="auto" w:fill="FFFFFF"/>
        </w:rPr>
        <w:t>suggested to negatively affect exercise performance</w:t>
      </w:r>
      <w:r w:rsidR="00217309" w:rsidRPr="00217309">
        <w:rPr>
          <w:szCs w:val="22"/>
          <w:shd w:val="clear" w:color="auto" w:fill="FFFFFF"/>
        </w:rPr>
        <w:t xml:space="preserve">. During </w:t>
      </w:r>
      <w:r w:rsidR="00381003">
        <w:rPr>
          <w:szCs w:val="22"/>
          <w:shd w:val="clear" w:color="auto" w:fill="FFFFFF"/>
        </w:rPr>
        <w:t>RL</w:t>
      </w:r>
      <w:r w:rsidR="00217309" w:rsidRPr="00217309">
        <w:rPr>
          <w:szCs w:val="22"/>
          <w:shd w:val="clear" w:color="auto" w:fill="FFFFFF"/>
        </w:rPr>
        <w:t xml:space="preserve"> matches, players have been reported to have a</w:t>
      </w:r>
      <w:r w:rsidR="00542557">
        <w:rPr>
          <w:szCs w:val="22"/>
          <w:shd w:val="clear" w:color="auto" w:fill="FFFFFF"/>
        </w:rPr>
        <w:t>n average</w:t>
      </w:r>
      <w:r w:rsidR="00217309" w:rsidRPr="00217309">
        <w:rPr>
          <w:szCs w:val="22"/>
          <w:shd w:val="clear" w:color="auto" w:fill="FFFFFF"/>
        </w:rPr>
        <w:t xml:space="preserve"> </w:t>
      </w:r>
      <w:r w:rsidR="00406382">
        <w:rPr>
          <w:szCs w:val="22"/>
          <w:shd w:val="clear" w:color="auto" w:fill="FFFFFF"/>
        </w:rPr>
        <w:t>BM</w:t>
      </w:r>
      <w:r w:rsidR="00217309" w:rsidRPr="00217309">
        <w:rPr>
          <w:szCs w:val="22"/>
          <w:shd w:val="clear" w:color="auto" w:fill="FFFFFF"/>
        </w:rPr>
        <w:t xml:space="preserve"> loss of </w:t>
      </w:r>
      <w:r w:rsidR="00217309" w:rsidRPr="00217309">
        <w:rPr>
          <w:szCs w:val="22"/>
        </w:rPr>
        <w:t>1.3 ± 0.7 kg (equating to 1.31</w:t>
      </w:r>
      <w:r w:rsidR="00217309" w:rsidRPr="00217309">
        <w:rPr>
          <w:color w:val="auto"/>
          <w:szCs w:val="22"/>
        </w:rPr>
        <w:t>%</w:t>
      </w:r>
      <w:r w:rsidR="007E7B14">
        <w:rPr>
          <w:color w:val="auto"/>
          <w:szCs w:val="22"/>
        </w:rPr>
        <w:t xml:space="preserve"> dehydrat</w:t>
      </w:r>
      <w:r w:rsidR="008E752D">
        <w:rPr>
          <w:color w:val="auto"/>
          <w:szCs w:val="22"/>
        </w:rPr>
        <w:t>ion</w:t>
      </w:r>
      <w:r w:rsidR="00217309" w:rsidRPr="00217309">
        <w:rPr>
          <w:color w:val="auto"/>
          <w:szCs w:val="22"/>
        </w:rPr>
        <w:t xml:space="preserve">) and fluid loss of 2.0 ± 0.7 L </w:t>
      </w:r>
      <w:r w:rsidR="0089067C">
        <w:rPr>
          <w:color w:val="auto"/>
          <w:szCs w:val="22"/>
        </w:rPr>
        <w:t>[</w:t>
      </w:r>
      <w:r w:rsidR="00966E3F">
        <w:rPr>
          <w:color w:val="auto"/>
          <w:szCs w:val="22"/>
        </w:rPr>
        <w:t>5</w:t>
      </w:r>
      <w:r w:rsidR="0089067C">
        <w:rPr>
          <w:color w:val="auto"/>
          <w:szCs w:val="22"/>
        </w:rPr>
        <w:t>]</w:t>
      </w:r>
      <w:r w:rsidR="00217309" w:rsidRPr="00217309">
        <w:rPr>
          <w:color w:val="auto"/>
          <w:szCs w:val="22"/>
        </w:rPr>
        <w:t xml:space="preserve">. Given that referees cover more distance than players during </w:t>
      </w:r>
      <w:r w:rsidR="001347AA">
        <w:rPr>
          <w:color w:val="auto"/>
          <w:szCs w:val="22"/>
        </w:rPr>
        <w:t>RL</w:t>
      </w:r>
      <w:r w:rsidR="007E7B14">
        <w:rPr>
          <w:color w:val="auto"/>
          <w:szCs w:val="22"/>
        </w:rPr>
        <w:t xml:space="preserve"> </w:t>
      </w:r>
      <w:r w:rsidR="00217309" w:rsidRPr="00217309">
        <w:rPr>
          <w:color w:val="auto"/>
          <w:szCs w:val="22"/>
        </w:rPr>
        <w:t>matches</w:t>
      </w:r>
      <w:r w:rsidR="00BC2EC6">
        <w:rPr>
          <w:color w:val="auto"/>
          <w:szCs w:val="22"/>
        </w:rPr>
        <w:t xml:space="preserve"> </w:t>
      </w:r>
      <w:r w:rsidR="0089067C">
        <w:rPr>
          <w:color w:val="auto"/>
          <w:szCs w:val="22"/>
        </w:rPr>
        <w:t>[</w:t>
      </w:r>
      <w:r w:rsidR="00966E3F">
        <w:rPr>
          <w:color w:val="auto"/>
          <w:szCs w:val="22"/>
        </w:rPr>
        <w:t>2, 12</w:t>
      </w:r>
      <w:r w:rsidR="0089067C">
        <w:rPr>
          <w:color w:val="auto"/>
          <w:szCs w:val="22"/>
        </w:rPr>
        <w:t>]</w:t>
      </w:r>
      <w:r w:rsidR="00217309" w:rsidRPr="00217309">
        <w:rPr>
          <w:color w:val="auto"/>
          <w:szCs w:val="22"/>
        </w:rPr>
        <w:t xml:space="preserve">, it is not clear if referees </w:t>
      </w:r>
      <w:r w:rsidR="00381003">
        <w:rPr>
          <w:color w:val="auto"/>
          <w:szCs w:val="22"/>
        </w:rPr>
        <w:t>experience dehydration, sufficient</w:t>
      </w:r>
      <w:r w:rsidR="00217309" w:rsidRPr="00217309">
        <w:rPr>
          <w:color w:val="auto"/>
          <w:szCs w:val="22"/>
        </w:rPr>
        <w:t xml:space="preserve"> to cause sub-optimal performance.</w:t>
      </w:r>
      <w:r w:rsidR="007E7B14">
        <w:rPr>
          <w:color w:val="auto"/>
          <w:szCs w:val="22"/>
        </w:rPr>
        <w:t xml:space="preserve"> Dehydration has also been attributed to pacing, with research showing that during team sport</w:t>
      </w:r>
      <w:r w:rsidR="00213484">
        <w:rPr>
          <w:color w:val="auto"/>
          <w:szCs w:val="22"/>
        </w:rPr>
        <w:t xml:space="preserve"> activity</w:t>
      </w:r>
      <w:r w:rsidR="001347AA">
        <w:rPr>
          <w:color w:val="auto"/>
          <w:szCs w:val="22"/>
        </w:rPr>
        <w:t>,</w:t>
      </w:r>
      <w:r w:rsidR="007058F8">
        <w:rPr>
          <w:color w:val="auto"/>
          <w:szCs w:val="22"/>
        </w:rPr>
        <w:t xml:space="preserve"> </w:t>
      </w:r>
      <w:r w:rsidR="007E7B14">
        <w:rPr>
          <w:color w:val="auto"/>
          <w:szCs w:val="22"/>
        </w:rPr>
        <w:t xml:space="preserve">the magnitude of dehydration is </w:t>
      </w:r>
      <w:r w:rsidR="00213484">
        <w:rPr>
          <w:color w:val="auto"/>
          <w:szCs w:val="22"/>
        </w:rPr>
        <w:t xml:space="preserve">unlikely </w:t>
      </w:r>
      <w:r w:rsidR="00AD69FD">
        <w:rPr>
          <w:color w:val="auto"/>
          <w:szCs w:val="22"/>
        </w:rPr>
        <w:t>to</w:t>
      </w:r>
      <w:r w:rsidR="00213484">
        <w:rPr>
          <w:color w:val="auto"/>
          <w:szCs w:val="22"/>
        </w:rPr>
        <w:t xml:space="preserve"> exceed </w:t>
      </w:r>
      <w:r w:rsidR="005678BD">
        <w:rPr>
          <w:color w:val="auto"/>
          <w:szCs w:val="22"/>
        </w:rPr>
        <w:t xml:space="preserve">a </w:t>
      </w:r>
      <w:r w:rsidR="00213484">
        <w:rPr>
          <w:color w:val="auto"/>
          <w:szCs w:val="22"/>
        </w:rPr>
        <w:t>2%</w:t>
      </w:r>
      <w:r w:rsidR="005678BD">
        <w:rPr>
          <w:color w:val="auto"/>
          <w:szCs w:val="22"/>
        </w:rPr>
        <w:t xml:space="preserve"> reduction in </w:t>
      </w:r>
      <w:r w:rsidR="00406382">
        <w:rPr>
          <w:color w:val="auto"/>
          <w:szCs w:val="22"/>
        </w:rPr>
        <w:t>BM</w:t>
      </w:r>
      <w:r w:rsidR="00213484">
        <w:rPr>
          <w:color w:val="auto"/>
          <w:szCs w:val="22"/>
        </w:rPr>
        <w:t>, as e</w:t>
      </w:r>
      <w:r w:rsidR="007E7B14">
        <w:rPr>
          <w:color w:val="auto"/>
          <w:szCs w:val="22"/>
        </w:rPr>
        <w:t>lite players will adopt an adequate pacing strategy</w:t>
      </w:r>
      <w:r w:rsidR="00BC2EC6">
        <w:rPr>
          <w:color w:val="auto"/>
          <w:szCs w:val="22"/>
        </w:rPr>
        <w:t xml:space="preserve"> </w:t>
      </w:r>
      <w:r w:rsidR="0089067C">
        <w:rPr>
          <w:color w:val="auto"/>
          <w:szCs w:val="22"/>
        </w:rPr>
        <w:t>[</w:t>
      </w:r>
      <w:r w:rsidR="00966E3F">
        <w:rPr>
          <w:color w:val="auto"/>
          <w:szCs w:val="22"/>
        </w:rPr>
        <w:t>13</w:t>
      </w:r>
      <w:r w:rsidR="0089067C">
        <w:rPr>
          <w:color w:val="auto"/>
          <w:szCs w:val="22"/>
        </w:rPr>
        <w:t>]</w:t>
      </w:r>
      <w:r w:rsidR="007E7B14">
        <w:rPr>
          <w:color w:val="auto"/>
          <w:szCs w:val="22"/>
        </w:rPr>
        <w:t xml:space="preserve">. Given that </w:t>
      </w:r>
      <w:r w:rsidR="00A247EA">
        <w:rPr>
          <w:color w:val="auto"/>
          <w:szCs w:val="22"/>
        </w:rPr>
        <w:t xml:space="preserve">the movement patterns of </w:t>
      </w:r>
      <w:r w:rsidR="007E7B14">
        <w:rPr>
          <w:color w:val="auto"/>
          <w:szCs w:val="22"/>
        </w:rPr>
        <w:t>referees</w:t>
      </w:r>
      <w:r w:rsidR="00A247EA">
        <w:rPr>
          <w:color w:val="auto"/>
          <w:szCs w:val="22"/>
        </w:rPr>
        <w:t xml:space="preserve"> have been shown to be inter-related with that of players</w:t>
      </w:r>
      <w:r w:rsidR="00BC2EC6">
        <w:rPr>
          <w:color w:val="auto"/>
          <w:szCs w:val="22"/>
        </w:rPr>
        <w:t xml:space="preserve"> </w:t>
      </w:r>
      <w:r w:rsidR="0089067C">
        <w:rPr>
          <w:color w:val="auto"/>
          <w:szCs w:val="22"/>
        </w:rPr>
        <w:t>[</w:t>
      </w:r>
      <w:r w:rsidR="00FE188E">
        <w:rPr>
          <w:color w:val="auto"/>
          <w:szCs w:val="22"/>
        </w:rPr>
        <w:t>1</w:t>
      </w:r>
      <w:r w:rsidR="00966E3F">
        <w:rPr>
          <w:color w:val="auto"/>
          <w:szCs w:val="22"/>
        </w:rPr>
        <w:t>2</w:t>
      </w:r>
      <w:r w:rsidR="0089067C">
        <w:rPr>
          <w:color w:val="auto"/>
          <w:szCs w:val="22"/>
        </w:rPr>
        <w:t>]</w:t>
      </w:r>
      <w:r w:rsidR="007E7B14">
        <w:rPr>
          <w:color w:val="auto"/>
          <w:szCs w:val="22"/>
        </w:rPr>
        <w:t>, it is unclear if pacing to prevent dehydration is possible.</w:t>
      </w:r>
      <w:r w:rsidR="0088710D">
        <w:rPr>
          <w:color w:val="auto"/>
          <w:szCs w:val="22"/>
        </w:rPr>
        <w:t xml:space="preserve"> The magnitud</w:t>
      </w:r>
      <w:r w:rsidR="008457F6">
        <w:rPr>
          <w:color w:val="auto"/>
          <w:szCs w:val="22"/>
        </w:rPr>
        <w:t>e of dehydration experienced during a match thus</w:t>
      </w:r>
      <w:r w:rsidR="0088710D">
        <w:rPr>
          <w:color w:val="auto"/>
          <w:szCs w:val="22"/>
        </w:rPr>
        <w:t xml:space="preserve"> requires quantification.</w:t>
      </w:r>
      <w:r w:rsidR="007E7B14">
        <w:rPr>
          <w:color w:val="auto"/>
          <w:szCs w:val="22"/>
        </w:rPr>
        <w:t xml:space="preserve"> It </w:t>
      </w:r>
      <w:r w:rsidR="008457F6">
        <w:rPr>
          <w:color w:val="auto"/>
          <w:szCs w:val="22"/>
        </w:rPr>
        <w:t>is</w:t>
      </w:r>
      <w:r w:rsidR="007E7B14">
        <w:rPr>
          <w:color w:val="auto"/>
          <w:szCs w:val="22"/>
        </w:rPr>
        <w:t xml:space="preserve"> proposed that elite referees have habitually adopted a suitable drinking strategy during match play, which may provide a useful reference for practitioner</w:t>
      </w:r>
      <w:r w:rsidR="00A90FA4">
        <w:rPr>
          <w:color w:val="auto"/>
          <w:szCs w:val="22"/>
        </w:rPr>
        <w:t>s</w:t>
      </w:r>
      <w:r w:rsidR="007E7B14">
        <w:rPr>
          <w:color w:val="auto"/>
          <w:szCs w:val="22"/>
        </w:rPr>
        <w:t xml:space="preserve"> working with sub-elite or in</w:t>
      </w:r>
      <w:r w:rsidR="00AD69FD">
        <w:rPr>
          <w:color w:val="auto"/>
          <w:szCs w:val="22"/>
        </w:rPr>
        <w:t>-</w:t>
      </w:r>
      <w:r w:rsidR="007E7B14">
        <w:rPr>
          <w:color w:val="auto"/>
          <w:szCs w:val="22"/>
        </w:rPr>
        <w:t>experienced referees.</w:t>
      </w:r>
      <w:r w:rsidR="0010451D">
        <w:rPr>
          <w:color w:val="auto"/>
          <w:szCs w:val="22"/>
        </w:rPr>
        <w:t xml:space="preserve"> </w:t>
      </w:r>
      <w:r w:rsidR="00A90FA4">
        <w:rPr>
          <w:color w:val="auto"/>
          <w:szCs w:val="22"/>
        </w:rPr>
        <w:t>However, t</w:t>
      </w:r>
      <w:r w:rsidR="0010451D">
        <w:rPr>
          <w:color w:val="auto"/>
          <w:szCs w:val="22"/>
        </w:rPr>
        <w:t xml:space="preserve">o date, nothing </w:t>
      </w:r>
      <w:r w:rsidR="0010451D">
        <w:t xml:space="preserve">is known about the hydration strategies of elite </w:t>
      </w:r>
      <w:r w:rsidR="006E759D">
        <w:t>RL</w:t>
      </w:r>
      <w:r w:rsidR="0010451D">
        <w:t xml:space="preserve"> referees.</w:t>
      </w:r>
    </w:p>
    <w:p w:rsidR="00AB011A" w:rsidRPr="007E7B14" w:rsidRDefault="009D4ACA" w:rsidP="00275A41">
      <w:pPr>
        <w:spacing w:line="480" w:lineRule="auto"/>
        <w:ind w:firstLine="720"/>
        <w:jc w:val="both"/>
        <w:rPr>
          <w:szCs w:val="22"/>
        </w:rPr>
      </w:pPr>
      <w:r w:rsidRPr="009D4ACA">
        <w:rPr>
          <w:szCs w:val="22"/>
          <w:shd w:val="clear" w:color="auto" w:fill="FFFFFF"/>
        </w:rPr>
        <w:lastRenderedPageBreak/>
        <w:t xml:space="preserve">The aim of this study is to provide evidence for practitioners working with referees, by investigating </w:t>
      </w:r>
      <w:r w:rsidR="0088710D">
        <w:rPr>
          <w:szCs w:val="22"/>
          <w:shd w:val="clear" w:color="auto" w:fill="FFFFFF"/>
        </w:rPr>
        <w:t>the magnitude of dehydration experienced by</w:t>
      </w:r>
      <w:r w:rsidRPr="009D4ACA">
        <w:rPr>
          <w:szCs w:val="22"/>
          <w:shd w:val="clear" w:color="auto" w:fill="FFFFFF"/>
        </w:rPr>
        <w:t xml:space="preserve"> </w:t>
      </w:r>
      <w:r w:rsidR="00AD69FD">
        <w:rPr>
          <w:szCs w:val="22"/>
          <w:shd w:val="clear" w:color="auto" w:fill="FFFFFF"/>
        </w:rPr>
        <w:t>RL</w:t>
      </w:r>
      <w:r w:rsidRPr="009D4ACA">
        <w:rPr>
          <w:szCs w:val="22"/>
          <w:shd w:val="clear" w:color="auto" w:fill="FFFFFF"/>
        </w:rPr>
        <w:t xml:space="preserve"> referees during match play</w:t>
      </w:r>
      <w:r w:rsidR="007E7B14">
        <w:rPr>
          <w:szCs w:val="22"/>
          <w:shd w:val="clear" w:color="auto" w:fill="FFFFFF"/>
        </w:rPr>
        <w:t xml:space="preserve"> or if fluid intake is sufficient to offset fluid losses</w:t>
      </w:r>
      <w:r w:rsidRPr="009D4ACA">
        <w:rPr>
          <w:szCs w:val="22"/>
          <w:shd w:val="clear" w:color="auto" w:fill="FFFFFF"/>
        </w:rPr>
        <w:t xml:space="preserve">. This will be achieved by determining </w:t>
      </w:r>
      <w:r w:rsidR="00406382">
        <w:rPr>
          <w:szCs w:val="22"/>
          <w:shd w:val="clear" w:color="auto" w:fill="FFFFFF"/>
        </w:rPr>
        <w:t>BM</w:t>
      </w:r>
      <w:r w:rsidRPr="009D4ACA">
        <w:rPr>
          <w:szCs w:val="22"/>
          <w:shd w:val="clear" w:color="auto" w:fill="FFFFFF"/>
        </w:rPr>
        <w:t xml:space="preserve"> change, </w:t>
      </w:r>
      <w:r w:rsidR="008457F6">
        <w:rPr>
          <w:szCs w:val="22"/>
          <w:shd w:val="clear" w:color="auto" w:fill="FFFFFF"/>
        </w:rPr>
        <w:t>measuring</w:t>
      </w:r>
      <w:r w:rsidR="008457F6" w:rsidRPr="009D4ACA">
        <w:rPr>
          <w:szCs w:val="22"/>
          <w:shd w:val="clear" w:color="auto" w:fill="FFFFFF"/>
        </w:rPr>
        <w:t xml:space="preserve"> </w:t>
      </w:r>
      <w:r w:rsidRPr="009D4ACA">
        <w:rPr>
          <w:szCs w:val="22"/>
          <w:shd w:val="clear" w:color="auto" w:fill="FFFFFF"/>
        </w:rPr>
        <w:t>fluid intake</w:t>
      </w:r>
      <w:r w:rsidR="008457F6">
        <w:rPr>
          <w:szCs w:val="22"/>
          <w:shd w:val="clear" w:color="auto" w:fill="FFFFFF"/>
        </w:rPr>
        <w:t>,</w:t>
      </w:r>
      <w:r w:rsidR="0088710D">
        <w:rPr>
          <w:szCs w:val="22"/>
          <w:shd w:val="clear" w:color="auto" w:fill="FFFFFF"/>
        </w:rPr>
        <w:t xml:space="preserve"> urine output and </w:t>
      </w:r>
      <w:r w:rsidRPr="009D4ACA">
        <w:rPr>
          <w:szCs w:val="22"/>
          <w:shd w:val="clear" w:color="auto" w:fill="FFFFFF"/>
        </w:rPr>
        <w:t>calculating</w:t>
      </w:r>
      <w:r w:rsidR="008457F6">
        <w:rPr>
          <w:szCs w:val="22"/>
          <w:shd w:val="clear" w:color="auto" w:fill="FFFFFF"/>
        </w:rPr>
        <w:t xml:space="preserve"> net non-renal</w:t>
      </w:r>
      <w:r w:rsidRPr="009D4ACA">
        <w:rPr>
          <w:szCs w:val="22"/>
          <w:shd w:val="clear" w:color="auto" w:fill="FFFFFF"/>
        </w:rPr>
        <w:t xml:space="preserve"> fluid loss </w:t>
      </w:r>
      <w:r w:rsidR="007E7B14">
        <w:rPr>
          <w:szCs w:val="22"/>
          <w:shd w:val="clear" w:color="auto" w:fill="FFFFFF"/>
        </w:rPr>
        <w:t>in elite referees</w:t>
      </w:r>
      <w:r w:rsidR="008E752D">
        <w:rPr>
          <w:szCs w:val="22"/>
          <w:shd w:val="clear" w:color="auto" w:fill="FFFFFF"/>
        </w:rPr>
        <w:t xml:space="preserve"> during Super L</w:t>
      </w:r>
      <w:r w:rsidRPr="009D4ACA">
        <w:rPr>
          <w:szCs w:val="22"/>
          <w:shd w:val="clear" w:color="auto" w:fill="FFFFFF"/>
        </w:rPr>
        <w:t>eague matches. This study will not only provide reference data for referees within other sports, but also ensure the safety of the employed full-time referees during their occupational activity</w:t>
      </w:r>
      <w:r w:rsidR="0010451D">
        <w:rPr>
          <w:szCs w:val="22"/>
          <w:shd w:val="clear" w:color="auto" w:fill="FFFFFF"/>
        </w:rPr>
        <w:t>.</w:t>
      </w:r>
      <w:r w:rsidRPr="009D4ACA">
        <w:rPr>
          <w:szCs w:val="22"/>
        </w:rPr>
        <w:t xml:space="preserve"> </w:t>
      </w:r>
    </w:p>
    <w:p w:rsidR="00AB011A" w:rsidRPr="007E7B14" w:rsidRDefault="00AB011A">
      <w:pPr>
        <w:spacing w:line="480" w:lineRule="auto"/>
        <w:jc w:val="both"/>
        <w:rPr>
          <w:szCs w:val="22"/>
        </w:rPr>
      </w:pPr>
    </w:p>
    <w:p w:rsidR="00AB011A" w:rsidRPr="007E7B14" w:rsidRDefault="001347AA" w:rsidP="001347AA">
      <w:pPr>
        <w:spacing w:line="480" w:lineRule="auto"/>
        <w:jc w:val="center"/>
        <w:rPr>
          <w:szCs w:val="22"/>
        </w:rPr>
      </w:pPr>
      <w:r w:rsidRPr="009D4ACA">
        <w:rPr>
          <w:b/>
          <w:szCs w:val="22"/>
        </w:rPr>
        <w:t>METHODS</w:t>
      </w:r>
    </w:p>
    <w:p w:rsidR="00AB011A" w:rsidRPr="001347AA" w:rsidRDefault="00AA2D27">
      <w:pPr>
        <w:spacing w:line="480" w:lineRule="auto"/>
        <w:jc w:val="both"/>
        <w:rPr>
          <w:i/>
        </w:rPr>
      </w:pPr>
      <w:r w:rsidRPr="001347AA">
        <w:rPr>
          <w:i/>
        </w:rPr>
        <w:t>Participants</w:t>
      </w:r>
    </w:p>
    <w:p w:rsidR="00AB011A" w:rsidRDefault="001347AA">
      <w:pPr>
        <w:spacing w:line="480" w:lineRule="auto"/>
        <w:ind w:firstLine="720"/>
        <w:jc w:val="both"/>
      </w:pPr>
      <w:r>
        <w:t>Eight</w:t>
      </w:r>
      <w:r w:rsidR="00275A41">
        <w:t xml:space="preserve"> </w:t>
      </w:r>
      <w:r w:rsidR="00AA2D27">
        <w:t xml:space="preserve">professional RL referees (age = 34 ± </w:t>
      </w:r>
      <w:r w:rsidR="005678BD">
        <w:t>7</w:t>
      </w:r>
      <w:r w:rsidR="00AA2D27">
        <w:t xml:space="preserve"> years, height = 175.8 ± 4.7</w:t>
      </w:r>
      <w:r w:rsidR="00144005">
        <w:t xml:space="preserve"> </w:t>
      </w:r>
      <w:r w:rsidR="00AA2D27">
        <w:t xml:space="preserve">cm, </w:t>
      </w:r>
      <w:r w:rsidR="00406382">
        <w:t>BM</w:t>
      </w:r>
      <w:r w:rsidR="00AA2D27">
        <w:t xml:space="preserve"> = 74.4 ± 14.5 kg,</w:t>
      </w:r>
      <w:r w:rsidR="00C844C4">
        <w:t xml:space="preserve"> </w:t>
      </w:r>
      <w:r w:rsidR="00C844C4" w:rsidRPr="00936A3C">
        <w:rPr>
          <w:position w:val="-10"/>
        </w:rPr>
        <w:object w:dxaOrig="5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9.5pt" o:ole="" fillcolor="window">
            <v:imagedata r:id="rId16" o:title=""/>
          </v:shape>
          <o:OLEObject Type="Embed" ProgID="Equation.3" ShapeID="_x0000_i1025" DrawAspect="Content" ObjectID="_1483177578" r:id="rId17"/>
        </w:object>
      </w:r>
      <w:r w:rsidR="00AA2D27">
        <w:t>max = 57.1 ± 5.6 ml</w:t>
      </w:r>
      <w:r w:rsidR="008E752D">
        <w:t>·</w:t>
      </w:r>
      <w:r w:rsidR="00AA2D27">
        <w:t>kg</w:t>
      </w:r>
      <w:r w:rsidR="00AA2D27">
        <w:rPr>
          <w:vertAlign w:val="superscript"/>
        </w:rPr>
        <w:t>-1</w:t>
      </w:r>
      <w:r w:rsidR="008E752D">
        <w:t>·</w:t>
      </w:r>
      <w:r w:rsidR="00AA2D27">
        <w:t>min</w:t>
      </w:r>
      <w:r w:rsidR="00AA2D27">
        <w:rPr>
          <w:vertAlign w:val="superscript"/>
        </w:rPr>
        <w:t>-1</w:t>
      </w:r>
      <w:r w:rsidR="009D4ACA" w:rsidRPr="009D4ACA">
        <w:t>,</w:t>
      </w:r>
      <w:r w:rsidR="0010451D">
        <w:rPr>
          <w:vertAlign w:val="superscript"/>
        </w:rPr>
        <w:t xml:space="preserve"> </w:t>
      </w:r>
      <w:r w:rsidR="009D4ACA" w:rsidRPr="009D4ACA">
        <w:t>year</w:t>
      </w:r>
      <w:r w:rsidR="0010451D">
        <w:t>s full-time</w:t>
      </w:r>
      <w:r w:rsidR="009D4ACA" w:rsidRPr="009D4ACA">
        <w:t xml:space="preserve"> </w:t>
      </w:r>
      <w:r w:rsidR="009D4ACA" w:rsidRPr="009D4ACA">
        <w:rPr>
          <w:szCs w:val="22"/>
        </w:rPr>
        <w:t>refereeing</w:t>
      </w:r>
      <w:r w:rsidR="00FF22AF">
        <w:rPr>
          <w:szCs w:val="22"/>
        </w:rPr>
        <w:t xml:space="preserve"> =</w:t>
      </w:r>
      <w:r w:rsidR="009D4ACA" w:rsidRPr="009D4ACA">
        <w:rPr>
          <w:szCs w:val="22"/>
        </w:rPr>
        <w:t xml:space="preserve"> </w:t>
      </w:r>
      <w:r w:rsidR="009D4ACA" w:rsidRPr="009D4ACA">
        <w:rPr>
          <w:rFonts w:eastAsia="Times New Roman"/>
          <w:szCs w:val="22"/>
        </w:rPr>
        <w:t>7 ± 4 years</w:t>
      </w:r>
      <w:r w:rsidR="009D4ACA" w:rsidRPr="009D4ACA">
        <w:rPr>
          <w:szCs w:val="22"/>
        </w:rPr>
        <w:t>) volunteered</w:t>
      </w:r>
      <w:r w:rsidR="00AA2D27">
        <w:t xml:space="preserve"> to participate in the study. The sample is representative of all full-time RL referees. All protocols received institutional ethics approval and complied with the Declaration of Helsinki on human resear</w:t>
      </w:r>
      <w:r w:rsidR="003E624F">
        <w:t>ch and international standards</w:t>
      </w:r>
      <w:r w:rsidR="00AA2D27">
        <w:t xml:space="preserve">. Written informed consent was provided </w:t>
      </w:r>
      <w:r w:rsidR="0010451D">
        <w:t xml:space="preserve">and signed, </w:t>
      </w:r>
      <w:r w:rsidR="00AA2D27">
        <w:t xml:space="preserve">along with permission from the </w:t>
      </w:r>
      <w:r w:rsidR="009C19B3">
        <w:t>RFL</w:t>
      </w:r>
      <w:r w:rsidR="00AA2D27">
        <w:t>.</w:t>
      </w:r>
    </w:p>
    <w:p w:rsidR="00AB011A" w:rsidRPr="00CB4D18" w:rsidRDefault="00AB011A">
      <w:pPr>
        <w:spacing w:line="480" w:lineRule="auto"/>
        <w:ind w:firstLine="720"/>
        <w:jc w:val="both"/>
        <w:rPr>
          <w:lang w:val="en-US"/>
        </w:rPr>
      </w:pPr>
    </w:p>
    <w:p w:rsidR="00216349" w:rsidRPr="005E7C92" w:rsidRDefault="00216349" w:rsidP="00216349">
      <w:pPr>
        <w:spacing w:line="480" w:lineRule="auto"/>
        <w:rPr>
          <w:i/>
          <w:szCs w:val="22"/>
        </w:rPr>
      </w:pPr>
      <w:r w:rsidRPr="005E7C92">
        <w:rPr>
          <w:i/>
          <w:szCs w:val="22"/>
        </w:rPr>
        <w:t>Design of Study</w:t>
      </w:r>
    </w:p>
    <w:p w:rsidR="00AB011A" w:rsidRDefault="00AA2D27" w:rsidP="00A247EA">
      <w:pPr>
        <w:spacing w:line="480" w:lineRule="auto"/>
        <w:ind w:firstLine="720"/>
        <w:jc w:val="both"/>
      </w:pPr>
      <w:r>
        <w:t xml:space="preserve">The study was designed </w:t>
      </w:r>
      <w:r w:rsidR="00570DF9">
        <w:t xml:space="preserve">to </w:t>
      </w:r>
      <w:r w:rsidR="0010451D">
        <w:t>investigate the arrival</w:t>
      </w:r>
      <w:r>
        <w:t xml:space="preserve"> hydratio</w:t>
      </w:r>
      <w:r w:rsidR="00216349">
        <w:t xml:space="preserve">n status, pre- and post-match </w:t>
      </w:r>
      <w:r w:rsidR="00406382">
        <w:t>BM</w:t>
      </w:r>
      <w:r>
        <w:t>, fluid intake</w:t>
      </w:r>
      <w:r w:rsidR="00F965B7">
        <w:t xml:space="preserve"> and</w:t>
      </w:r>
      <w:r>
        <w:t xml:space="preserve"> urine output </w:t>
      </w:r>
      <w:r w:rsidR="0010451D">
        <w:t>of elite referee</w:t>
      </w:r>
      <w:r w:rsidR="00216349">
        <w:t>s</w:t>
      </w:r>
      <w:r w:rsidR="0010451D">
        <w:t xml:space="preserve"> </w:t>
      </w:r>
      <w:r>
        <w:t xml:space="preserve">during Super League </w:t>
      </w:r>
      <w:r w:rsidR="000C0792">
        <w:t>m</w:t>
      </w:r>
      <w:r>
        <w:t xml:space="preserve">atch </w:t>
      </w:r>
      <w:r w:rsidR="000C0792">
        <w:t>p</w:t>
      </w:r>
      <w:r>
        <w:t xml:space="preserve">lay. All procedures were designed to cause minimal disruption to referees’ habitual routines. Although no pre-observation controls were employed, data collected on arrival explored the habitual arrival status of professional RL referees. Likewise, data collected for the duration of match play determined habitual fluid balance, while post-match data quantified habitual fluid balance in professional RL referees. A total of 31 Super League </w:t>
      </w:r>
      <w:r w:rsidR="00D05314">
        <w:t xml:space="preserve">matches </w:t>
      </w:r>
      <w:r>
        <w:t xml:space="preserve">were observed (ranging from 1 to </w:t>
      </w:r>
      <w:r>
        <w:lastRenderedPageBreak/>
        <w:t>6 observations per referee). Dehydration was calculated according to the dif</w:t>
      </w:r>
      <w:r w:rsidR="00216349">
        <w:t xml:space="preserve">ference in pre and post-match </w:t>
      </w:r>
      <w:r w:rsidR="00406382">
        <w:t>BM</w:t>
      </w:r>
      <w:r>
        <w:t xml:space="preserve"> and</w:t>
      </w:r>
      <w:r w:rsidR="008457F6">
        <w:t xml:space="preserve"> net</w:t>
      </w:r>
      <w:r>
        <w:t xml:space="preserve"> </w:t>
      </w:r>
      <w:r w:rsidR="009C19B3">
        <w:t xml:space="preserve">non-renal </w:t>
      </w:r>
      <w:r w:rsidR="00216349">
        <w:t>fluid loss</w:t>
      </w:r>
      <w:r w:rsidR="008457F6">
        <w:t xml:space="preserve"> (referred to as fluid loss henceforth)</w:t>
      </w:r>
      <w:r>
        <w:t xml:space="preserve"> was calculated by correcting for fluid intake and urine output between </w:t>
      </w:r>
      <w:r w:rsidR="00406382">
        <w:t>BM</w:t>
      </w:r>
      <w:r>
        <w:t xml:space="preserve"> assessments</w:t>
      </w:r>
      <w:r w:rsidR="008457F6">
        <w:t>. Fluid loss was calculated rather than sweat loss</w:t>
      </w:r>
      <w:r w:rsidR="001F2154">
        <w:t xml:space="preserve"> </w:t>
      </w:r>
      <w:r w:rsidR="0089067C">
        <w:t>[</w:t>
      </w:r>
      <w:r w:rsidR="00FE188E">
        <w:t>1</w:t>
      </w:r>
      <w:r w:rsidR="00966E3F">
        <w:t>4</w:t>
      </w:r>
      <w:r w:rsidR="0089067C">
        <w:t>]</w:t>
      </w:r>
      <w:r w:rsidR="00CB4D18">
        <w:t>.</w:t>
      </w:r>
    </w:p>
    <w:p w:rsidR="00495B68" w:rsidRDefault="00495B68">
      <w:pPr>
        <w:spacing w:line="480" w:lineRule="auto"/>
        <w:jc w:val="both"/>
        <w:rPr>
          <w:b/>
        </w:rPr>
      </w:pPr>
    </w:p>
    <w:p w:rsidR="00AB011A" w:rsidRPr="008E752D" w:rsidRDefault="00AA2D27">
      <w:pPr>
        <w:spacing w:line="480" w:lineRule="auto"/>
        <w:jc w:val="both"/>
        <w:rPr>
          <w:i/>
        </w:rPr>
      </w:pPr>
      <w:r w:rsidRPr="008E752D">
        <w:rPr>
          <w:i/>
        </w:rPr>
        <w:t>Procedures</w:t>
      </w:r>
    </w:p>
    <w:p w:rsidR="00AB011A" w:rsidRDefault="0010451D">
      <w:pPr>
        <w:spacing w:line="480" w:lineRule="auto"/>
        <w:ind w:firstLine="720"/>
        <w:jc w:val="both"/>
      </w:pPr>
      <w:r>
        <w:t>P</w:t>
      </w:r>
      <w:r w:rsidR="00AA2D27">
        <w:t>rior to kick-off</w:t>
      </w:r>
      <w:r w:rsidR="00570DF9">
        <w:t>,</w:t>
      </w:r>
      <w:r w:rsidR="00AA2D27">
        <w:t xml:space="preserve"> referees provided a urine sample into a universal container, which was analysed for osmolality</w:t>
      </w:r>
      <w:r w:rsidR="008122B2">
        <w:t xml:space="preserve"> (UOsmol)</w:t>
      </w:r>
      <w:r w:rsidR="00AA2D27">
        <w:t xml:space="preserve">. </w:t>
      </w:r>
      <w:r w:rsidR="00406382">
        <w:t>BM</w:t>
      </w:r>
      <w:r w:rsidR="00AA2D27">
        <w:t>, wearing underwear</w:t>
      </w:r>
      <w:r w:rsidR="005A31F1">
        <w:t>,</w:t>
      </w:r>
      <w:r w:rsidR="00AA2D27">
        <w:t xml:space="preserve"> was determined to the nearest 100 g using calibrated digital scales (Seca, 700 1321008, Germany).</w:t>
      </w:r>
      <w:r w:rsidR="009F6CC2">
        <w:t xml:space="preserve"> No food was consumed post </w:t>
      </w:r>
      <w:r w:rsidR="00406382">
        <w:t>BM</w:t>
      </w:r>
      <w:r w:rsidR="009F6CC2">
        <w:t xml:space="preserve"> assessment.</w:t>
      </w:r>
      <w:r w:rsidR="00AA2D27">
        <w:t xml:space="preserve"> </w:t>
      </w:r>
    </w:p>
    <w:p w:rsidR="00AB011A" w:rsidRDefault="00AA2D27">
      <w:pPr>
        <w:spacing w:line="480" w:lineRule="auto"/>
        <w:ind w:firstLine="720"/>
        <w:jc w:val="both"/>
      </w:pPr>
      <w:r>
        <w:t xml:space="preserve">Referees were provided with pre-weighed individually labelled (pre-match, first-half, half-time and second-half) drinks bottles containing water for </w:t>
      </w:r>
      <w:r>
        <w:rPr>
          <w:i/>
        </w:rPr>
        <w:t>ad libitum</w:t>
      </w:r>
      <w:r>
        <w:t xml:space="preserve"> consumption and advised not to spit out any fluid or use for anything other than fluid intake.</w:t>
      </w:r>
      <w:r w:rsidR="0010451D">
        <w:t xml:space="preserve"> Video footage of matches </w:t>
      </w:r>
      <w:r w:rsidR="00216349">
        <w:t>was</w:t>
      </w:r>
      <w:r w:rsidR="0010451D">
        <w:t xml:space="preserve"> observed to ensure this was adhered to</w:t>
      </w:r>
      <w:r w:rsidR="005678BD">
        <w:t>, which was the case for all referees</w:t>
      </w:r>
      <w:r w:rsidR="0010451D">
        <w:t>.</w:t>
      </w:r>
      <w:r>
        <w:t xml:space="preserve"> Individually labelled plastic containers (pre-match, half-time and post-match) were provided to collect urine out</w:t>
      </w:r>
      <w:r w:rsidR="00216349">
        <w:t xml:space="preserve">put between pre and post-match </w:t>
      </w:r>
      <w:r w:rsidR="00406382">
        <w:t>BM</w:t>
      </w:r>
      <w:r>
        <w:t xml:space="preserve"> assessment, allowing</w:t>
      </w:r>
      <w:r w:rsidR="009C19B3">
        <w:t xml:space="preserve"> </w:t>
      </w:r>
      <w:r w:rsidR="00216349">
        <w:t>fluid loss</w:t>
      </w:r>
      <w:r>
        <w:t xml:space="preserve"> calculations and assessments of </w:t>
      </w:r>
      <w:r w:rsidR="00FB0FA6">
        <w:t>UOsmol</w:t>
      </w:r>
      <w:r>
        <w:t xml:space="preserve">. </w:t>
      </w:r>
    </w:p>
    <w:p w:rsidR="00AB011A" w:rsidRDefault="00AA2D27">
      <w:pPr>
        <w:spacing w:line="480" w:lineRule="auto"/>
        <w:ind w:firstLine="720"/>
        <w:jc w:val="both"/>
      </w:pPr>
      <w:r>
        <w:t xml:space="preserve">Post-match </w:t>
      </w:r>
      <w:r w:rsidR="000C0792">
        <w:t>r</w:t>
      </w:r>
      <w:r>
        <w:t>eferees provided a urine sample into the respective plastic container to ensure an empty bladder prior to post</w:t>
      </w:r>
      <w:r w:rsidR="00F17D6B">
        <w:t>-</w:t>
      </w:r>
      <w:r w:rsidR="00F17D6B" w:rsidRPr="008439D5">
        <w:rPr>
          <w:color w:val="auto"/>
        </w:rPr>
        <w:t>match</w:t>
      </w:r>
      <w:r w:rsidRPr="008439D5">
        <w:rPr>
          <w:color w:val="auto"/>
        </w:rPr>
        <w:t xml:space="preserve"> </w:t>
      </w:r>
      <w:r w:rsidR="00406382">
        <w:rPr>
          <w:color w:val="auto"/>
        </w:rPr>
        <w:t>BM</w:t>
      </w:r>
      <w:r w:rsidRPr="008439D5">
        <w:rPr>
          <w:color w:val="auto"/>
        </w:rPr>
        <w:t xml:space="preserve"> determination, conducted in the same way as pre-match. All post-match measurements were completed prior </w:t>
      </w:r>
      <w:r>
        <w:t>to fluid intake after the full-time whistle.</w:t>
      </w:r>
    </w:p>
    <w:p w:rsidR="00AB011A" w:rsidRDefault="00AA2D27">
      <w:pPr>
        <w:spacing w:line="480" w:lineRule="auto"/>
        <w:ind w:firstLine="720"/>
        <w:jc w:val="both"/>
      </w:pPr>
      <w:r>
        <w:t xml:space="preserve">All fluid containers were then re-weighed using bench top scales (resolution 0.001 kg; CS-2000, Ohaus, USA). Differences in mass from pre to post-match play determined fluid intake and urine output. Only </w:t>
      </w:r>
      <w:r w:rsidR="00406382">
        <w:t>BM</w:t>
      </w:r>
      <w:r w:rsidR="001F2154">
        <w:t xml:space="preserve"> change</w:t>
      </w:r>
      <w:r>
        <w:t xml:space="preserve">, as opposed to pre and post-match </w:t>
      </w:r>
      <w:r w:rsidR="00406382">
        <w:t>BM</w:t>
      </w:r>
      <w:r>
        <w:t xml:space="preserve"> will be presented to ensure anonymity of the referees. </w:t>
      </w:r>
      <w:r w:rsidR="008122B2">
        <w:t>Ambient t</w:t>
      </w:r>
      <w:r>
        <w:t xml:space="preserve">emperature and </w:t>
      </w:r>
      <w:r w:rsidR="008122B2">
        <w:t xml:space="preserve">relative humidity (RH) were </w:t>
      </w:r>
      <w:r>
        <w:lastRenderedPageBreak/>
        <w:t>measured using</w:t>
      </w:r>
      <w:r w:rsidR="000C0792">
        <w:t xml:space="preserve"> a digital weather station </w:t>
      </w:r>
      <w:r w:rsidR="000C0792">
        <w:rPr>
          <w:szCs w:val="22"/>
        </w:rPr>
        <w:t>(Oregon Scientific, UK)</w:t>
      </w:r>
      <w:r w:rsidR="000C0792">
        <w:t xml:space="preserve">, </w:t>
      </w:r>
      <w:r>
        <w:t>60 min prior to kick-off and post-match, with the mean reported.</w:t>
      </w:r>
    </w:p>
    <w:p w:rsidR="00AB011A" w:rsidRDefault="00AB011A">
      <w:pPr>
        <w:spacing w:line="480" w:lineRule="auto"/>
        <w:jc w:val="both"/>
      </w:pPr>
    </w:p>
    <w:p w:rsidR="00AB011A" w:rsidRPr="00A14C17" w:rsidRDefault="00AA2D27">
      <w:pPr>
        <w:spacing w:line="480" w:lineRule="auto"/>
        <w:jc w:val="both"/>
        <w:rPr>
          <w:i/>
        </w:rPr>
      </w:pPr>
      <w:r w:rsidRPr="00A14C17">
        <w:rPr>
          <w:i/>
        </w:rPr>
        <w:t>Sample Analysis</w:t>
      </w:r>
    </w:p>
    <w:p w:rsidR="00430FD5" w:rsidRDefault="00AA2D27" w:rsidP="00770A99">
      <w:pPr>
        <w:autoSpaceDE w:val="0"/>
        <w:autoSpaceDN w:val="0"/>
        <w:adjustRightInd w:val="0"/>
        <w:spacing w:line="480" w:lineRule="auto"/>
        <w:ind w:firstLine="720"/>
        <w:jc w:val="both"/>
        <w:rPr>
          <w:szCs w:val="22"/>
        </w:rPr>
      </w:pPr>
      <w:r w:rsidRPr="00DE6432">
        <w:rPr>
          <w:szCs w:val="22"/>
        </w:rPr>
        <w:t xml:space="preserve">Urine samples were analysed for osmolality using a calibrated freezing point osmometer (Genotec Osmomat 030-D, 040906, Germany). </w:t>
      </w:r>
      <w:r w:rsidR="00FB0FA6" w:rsidRPr="00DE6432">
        <w:rPr>
          <w:szCs w:val="22"/>
        </w:rPr>
        <w:t>UOsmol</w:t>
      </w:r>
      <w:r w:rsidRPr="00DE6432">
        <w:rPr>
          <w:szCs w:val="22"/>
        </w:rPr>
        <w:t xml:space="preserve"> was categorised into euhydration (≤700</w:t>
      </w:r>
      <w:r w:rsidR="00C812C2" w:rsidRPr="00DE6432">
        <w:rPr>
          <w:szCs w:val="22"/>
        </w:rPr>
        <w:t xml:space="preserve"> mOsm</w:t>
      </w:r>
      <w:r w:rsidR="00F55A31">
        <w:rPr>
          <w:szCs w:val="22"/>
        </w:rPr>
        <w:t>·</w:t>
      </w:r>
      <w:r w:rsidR="00C812C2" w:rsidRPr="00DE6432">
        <w:rPr>
          <w:szCs w:val="22"/>
        </w:rPr>
        <w:t>kg</w:t>
      </w:r>
      <w:r w:rsidR="00C812C2" w:rsidRPr="00DE6432">
        <w:rPr>
          <w:szCs w:val="22"/>
          <w:vertAlign w:val="superscript"/>
        </w:rPr>
        <w:t>-1</w:t>
      </w:r>
      <w:r w:rsidRPr="00DE6432">
        <w:rPr>
          <w:szCs w:val="22"/>
        </w:rPr>
        <w:t>), moderate hypohydrat</w:t>
      </w:r>
      <w:r w:rsidR="00CB4D18" w:rsidRPr="00DE6432">
        <w:rPr>
          <w:szCs w:val="22"/>
        </w:rPr>
        <w:t>ion (701</w:t>
      </w:r>
      <w:r w:rsidR="00542557">
        <w:rPr>
          <w:szCs w:val="22"/>
        </w:rPr>
        <w:t xml:space="preserve"> </w:t>
      </w:r>
      <w:r w:rsidR="00CB4D18" w:rsidRPr="00DE6432">
        <w:rPr>
          <w:szCs w:val="22"/>
        </w:rPr>
        <w:t>–</w:t>
      </w:r>
      <w:r w:rsidR="00542557">
        <w:rPr>
          <w:szCs w:val="22"/>
        </w:rPr>
        <w:t xml:space="preserve"> </w:t>
      </w:r>
      <w:r w:rsidRPr="00DE6432">
        <w:rPr>
          <w:szCs w:val="22"/>
        </w:rPr>
        <w:t xml:space="preserve">899 </w:t>
      </w:r>
      <w:r w:rsidR="00C812C2" w:rsidRPr="00DE6432">
        <w:rPr>
          <w:szCs w:val="22"/>
        </w:rPr>
        <w:t>mOsm</w:t>
      </w:r>
      <w:r w:rsidR="00F55A31">
        <w:rPr>
          <w:szCs w:val="22"/>
        </w:rPr>
        <w:t>·</w:t>
      </w:r>
      <w:r w:rsidR="00C812C2" w:rsidRPr="00DE6432">
        <w:rPr>
          <w:szCs w:val="22"/>
        </w:rPr>
        <w:t>kg</w:t>
      </w:r>
      <w:r w:rsidR="00C812C2" w:rsidRPr="00DE6432">
        <w:rPr>
          <w:szCs w:val="22"/>
          <w:vertAlign w:val="superscript"/>
        </w:rPr>
        <w:t>-1</w:t>
      </w:r>
      <w:r w:rsidR="00C812C2" w:rsidRPr="00DE6432">
        <w:rPr>
          <w:szCs w:val="22"/>
        </w:rPr>
        <w:t>) and hypohydration (≥900 mOsm</w:t>
      </w:r>
      <w:r w:rsidR="00F55A31">
        <w:rPr>
          <w:szCs w:val="22"/>
        </w:rPr>
        <w:t>·</w:t>
      </w:r>
      <w:r w:rsidRPr="00F02E0B">
        <w:rPr>
          <w:szCs w:val="22"/>
        </w:rPr>
        <w:t>kg</w:t>
      </w:r>
      <w:r w:rsidR="00C812C2" w:rsidRPr="00F02E0B">
        <w:rPr>
          <w:szCs w:val="22"/>
          <w:vertAlign w:val="superscript"/>
        </w:rPr>
        <w:t>-1</w:t>
      </w:r>
      <w:r w:rsidRPr="00F02E0B">
        <w:rPr>
          <w:szCs w:val="22"/>
        </w:rPr>
        <w:t>)</w:t>
      </w:r>
      <w:r w:rsidR="001F2154">
        <w:rPr>
          <w:szCs w:val="22"/>
        </w:rPr>
        <w:t xml:space="preserve"> </w:t>
      </w:r>
      <w:r w:rsidR="0089067C">
        <w:rPr>
          <w:szCs w:val="22"/>
        </w:rPr>
        <w:t>[</w:t>
      </w:r>
      <w:r w:rsidR="00FE188E">
        <w:rPr>
          <w:szCs w:val="22"/>
        </w:rPr>
        <w:t>1</w:t>
      </w:r>
      <w:r w:rsidR="00BB5134">
        <w:rPr>
          <w:szCs w:val="22"/>
        </w:rPr>
        <w:t>5</w:t>
      </w:r>
      <w:r w:rsidR="0089067C">
        <w:rPr>
          <w:szCs w:val="22"/>
        </w:rPr>
        <w:t>]</w:t>
      </w:r>
      <w:r w:rsidRPr="00F02E0B">
        <w:rPr>
          <w:szCs w:val="22"/>
        </w:rPr>
        <w:t>.</w:t>
      </w:r>
      <w:r w:rsidR="00DE6432" w:rsidRPr="00F94E00">
        <w:rPr>
          <w:szCs w:val="22"/>
        </w:rPr>
        <w:t xml:space="preserve"> </w:t>
      </w:r>
      <w:r w:rsidR="00406382">
        <w:rPr>
          <w:szCs w:val="22"/>
        </w:rPr>
        <w:t>BM</w:t>
      </w:r>
      <w:r w:rsidR="00216349">
        <w:rPr>
          <w:szCs w:val="22"/>
        </w:rPr>
        <w:t xml:space="preserve"> change</w:t>
      </w:r>
      <w:r w:rsidR="00DE6432" w:rsidRPr="00F94E00">
        <w:rPr>
          <w:szCs w:val="22"/>
        </w:rPr>
        <w:t xml:space="preserve"> was </w:t>
      </w:r>
      <w:r w:rsidR="00542557">
        <w:rPr>
          <w:szCs w:val="22"/>
        </w:rPr>
        <w:t xml:space="preserve">categorised into hyperhydration (gain in </w:t>
      </w:r>
      <w:r w:rsidR="00406382">
        <w:rPr>
          <w:szCs w:val="22"/>
        </w:rPr>
        <w:t>BM</w:t>
      </w:r>
      <w:r w:rsidR="00542557">
        <w:rPr>
          <w:szCs w:val="22"/>
        </w:rPr>
        <w:t xml:space="preserve">) </w:t>
      </w:r>
      <w:r w:rsidR="009D4ACA" w:rsidRPr="009D4ACA">
        <w:rPr>
          <w:szCs w:val="22"/>
        </w:rPr>
        <w:t>euhydrated (</w:t>
      </w:r>
      <w:r w:rsidR="00542557">
        <w:rPr>
          <w:szCs w:val="22"/>
        </w:rPr>
        <w:t xml:space="preserve">no change in </w:t>
      </w:r>
      <w:r w:rsidR="00406382">
        <w:rPr>
          <w:color w:val="auto"/>
        </w:rPr>
        <w:t>BM</w:t>
      </w:r>
      <w:r w:rsidR="009D4ACA" w:rsidRPr="009D4ACA">
        <w:rPr>
          <w:szCs w:val="22"/>
        </w:rPr>
        <w:t xml:space="preserve">), moderately </w:t>
      </w:r>
      <w:r w:rsidR="005678BD">
        <w:rPr>
          <w:szCs w:val="22"/>
        </w:rPr>
        <w:t>de</w:t>
      </w:r>
      <w:r w:rsidR="005678BD" w:rsidRPr="009D4ACA">
        <w:rPr>
          <w:szCs w:val="22"/>
        </w:rPr>
        <w:t xml:space="preserve">hydrated </w:t>
      </w:r>
      <w:r w:rsidR="009D4ACA" w:rsidRPr="009D4ACA">
        <w:rPr>
          <w:szCs w:val="22"/>
        </w:rPr>
        <w:t>(</w:t>
      </w:r>
      <w:r w:rsidR="00406382">
        <w:rPr>
          <w:color w:val="auto"/>
        </w:rPr>
        <w:t>BM</w:t>
      </w:r>
      <w:r w:rsidR="00542557">
        <w:rPr>
          <w:color w:val="auto"/>
        </w:rPr>
        <w:t xml:space="preserve"> loss</w:t>
      </w:r>
      <w:r w:rsidR="000509FD">
        <w:rPr>
          <w:color w:val="auto"/>
        </w:rPr>
        <w:t xml:space="preserve"> </w:t>
      </w:r>
      <w:r w:rsidR="00542557">
        <w:rPr>
          <w:szCs w:val="22"/>
        </w:rPr>
        <w:t>0.1</w:t>
      </w:r>
      <w:r w:rsidR="009D4ACA" w:rsidRPr="009D4ACA">
        <w:rPr>
          <w:szCs w:val="22"/>
        </w:rPr>
        <w:t xml:space="preserve"> – </w:t>
      </w:r>
      <w:r w:rsidR="00542557">
        <w:rPr>
          <w:szCs w:val="22"/>
        </w:rPr>
        <w:t>3</w:t>
      </w:r>
      <w:r w:rsidR="009D4ACA" w:rsidRPr="009D4ACA">
        <w:rPr>
          <w:szCs w:val="22"/>
        </w:rPr>
        <w:t>.0%)</w:t>
      </w:r>
      <w:r w:rsidR="00542557">
        <w:rPr>
          <w:szCs w:val="22"/>
        </w:rPr>
        <w:t xml:space="preserve">, important </w:t>
      </w:r>
      <w:r w:rsidR="005678BD">
        <w:rPr>
          <w:szCs w:val="22"/>
        </w:rPr>
        <w:t>de</w:t>
      </w:r>
      <w:r w:rsidR="00542557">
        <w:rPr>
          <w:szCs w:val="22"/>
        </w:rPr>
        <w:t>hydration (</w:t>
      </w:r>
      <w:r w:rsidR="00406382">
        <w:rPr>
          <w:szCs w:val="22"/>
        </w:rPr>
        <w:t>BM</w:t>
      </w:r>
      <w:r w:rsidR="00542557">
        <w:rPr>
          <w:szCs w:val="22"/>
        </w:rPr>
        <w:t xml:space="preserve"> loss 3.1 – 5.0%)</w:t>
      </w:r>
      <w:r w:rsidR="009D4ACA" w:rsidRPr="009D4ACA">
        <w:rPr>
          <w:szCs w:val="22"/>
        </w:rPr>
        <w:t xml:space="preserve"> and severe </w:t>
      </w:r>
      <w:r w:rsidR="005678BD">
        <w:rPr>
          <w:szCs w:val="22"/>
        </w:rPr>
        <w:t>de</w:t>
      </w:r>
      <w:r w:rsidR="005678BD" w:rsidRPr="009D4ACA">
        <w:rPr>
          <w:szCs w:val="22"/>
        </w:rPr>
        <w:t>hydrat</w:t>
      </w:r>
      <w:r w:rsidR="005678BD">
        <w:rPr>
          <w:szCs w:val="22"/>
        </w:rPr>
        <w:t>ion</w:t>
      </w:r>
      <w:r w:rsidR="005678BD" w:rsidRPr="009D4ACA">
        <w:rPr>
          <w:szCs w:val="22"/>
        </w:rPr>
        <w:t xml:space="preserve"> </w:t>
      </w:r>
      <w:r w:rsidR="009D4ACA" w:rsidRPr="009D4ACA">
        <w:rPr>
          <w:szCs w:val="22"/>
        </w:rPr>
        <w:t>(</w:t>
      </w:r>
      <w:r w:rsidR="00406382">
        <w:rPr>
          <w:szCs w:val="22"/>
        </w:rPr>
        <w:t>BM</w:t>
      </w:r>
      <w:r w:rsidR="00542557">
        <w:rPr>
          <w:szCs w:val="22"/>
        </w:rPr>
        <w:t xml:space="preserve"> loss &gt;5.</w:t>
      </w:r>
      <w:r w:rsidR="004A4B97">
        <w:rPr>
          <w:szCs w:val="22"/>
        </w:rPr>
        <w:t>1</w:t>
      </w:r>
      <w:r w:rsidR="00542557">
        <w:rPr>
          <w:szCs w:val="22"/>
        </w:rPr>
        <w:t>%</w:t>
      </w:r>
      <w:r w:rsidR="009D4ACA" w:rsidRPr="009D4ACA">
        <w:rPr>
          <w:szCs w:val="22"/>
        </w:rPr>
        <w:t>)</w:t>
      </w:r>
      <w:r w:rsidR="00542557">
        <w:rPr>
          <w:szCs w:val="22"/>
        </w:rPr>
        <w:t xml:space="preserve"> </w:t>
      </w:r>
      <w:r w:rsidR="0089067C">
        <w:rPr>
          <w:szCs w:val="22"/>
        </w:rPr>
        <w:t>[</w:t>
      </w:r>
      <w:r w:rsidR="00BB5134">
        <w:rPr>
          <w:szCs w:val="22"/>
        </w:rPr>
        <w:t>16</w:t>
      </w:r>
      <w:r w:rsidR="0089067C">
        <w:rPr>
          <w:szCs w:val="22"/>
        </w:rPr>
        <w:t>]</w:t>
      </w:r>
      <w:r w:rsidR="009D4ACA" w:rsidRPr="009D4ACA">
        <w:rPr>
          <w:szCs w:val="22"/>
        </w:rPr>
        <w:t>.</w:t>
      </w:r>
    </w:p>
    <w:p w:rsidR="00943F30" w:rsidRDefault="00943F30" w:rsidP="00A14C17">
      <w:pPr>
        <w:pStyle w:val="Heading3"/>
        <w:spacing w:line="480" w:lineRule="auto"/>
        <w:ind w:left="720" w:hanging="720"/>
        <w:jc w:val="both"/>
        <w:rPr>
          <w:rFonts w:ascii="Arial" w:hAnsi="Arial" w:cs="Arial"/>
          <w:b w:val="0"/>
          <w:i/>
          <w:color w:val="000000" w:themeColor="text1"/>
          <w:sz w:val="22"/>
          <w:szCs w:val="22"/>
        </w:rPr>
      </w:pPr>
      <w:bookmarkStart w:id="1" w:name="h.g4bsfbz0ugjh" w:colFirst="0" w:colLast="0"/>
      <w:bookmarkStart w:id="2" w:name="_Toc331847346"/>
      <w:bookmarkStart w:id="3" w:name="_Toc341514840"/>
      <w:bookmarkStart w:id="4" w:name="_Toc352832112"/>
      <w:bookmarkEnd w:id="1"/>
    </w:p>
    <w:p w:rsidR="00A14C17" w:rsidRPr="005E7C92" w:rsidRDefault="00A14C17" w:rsidP="00A14C17">
      <w:pPr>
        <w:pStyle w:val="Heading3"/>
        <w:spacing w:line="480" w:lineRule="auto"/>
        <w:ind w:left="720" w:hanging="720"/>
        <w:jc w:val="both"/>
        <w:rPr>
          <w:rFonts w:ascii="Arial" w:hAnsi="Arial" w:cs="Arial"/>
          <w:b w:val="0"/>
          <w:i/>
          <w:sz w:val="22"/>
          <w:szCs w:val="22"/>
        </w:rPr>
      </w:pPr>
      <w:r w:rsidRPr="005E7C92">
        <w:rPr>
          <w:rFonts w:ascii="Arial" w:hAnsi="Arial" w:cs="Arial"/>
          <w:b w:val="0"/>
          <w:i/>
          <w:color w:val="000000" w:themeColor="text1"/>
          <w:sz w:val="22"/>
          <w:szCs w:val="22"/>
        </w:rPr>
        <w:t>Analysis</w:t>
      </w:r>
      <w:bookmarkEnd w:id="2"/>
      <w:bookmarkEnd w:id="3"/>
      <w:bookmarkEnd w:id="4"/>
      <w:r w:rsidRPr="005E7C92">
        <w:rPr>
          <w:rFonts w:ascii="Arial" w:hAnsi="Arial" w:cs="Arial"/>
          <w:b w:val="0"/>
          <w:i/>
          <w:color w:val="000000" w:themeColor="text1"/>
          <w:sz w:val="22"/>
          <w:szCs w:val="22"/>
        </w:rPr>
        <w:t xml:space="preserve"> of Data</w:t>
      </w:r>
    </w:p>
    <w:p w:rsidR="00AB011A" w:rsidRDefault="00AA2D27">
      <w:pPr>
        <w:spacing w:line="480" w:lineRule="auto"/>
        <w:jc w:val="both"/>
      </w:pPr>
      <w:r>
        <w:tab/>
        <w:t xml:space="preserve">Data are presented as mean ± </w:t>
      </w:r>
      <w:r>
        <w:rPr>
          <w:i/>
        </w:rPr>
        <w:t>SD</w:t>
      </w:r>
      <w:r>
        <w:t>s.</w:t>
      </w:r>
      <w:r w:rsidR="009D5208">
        <w:t xml:space="preserve"> </w:t>
      </w:r>
      <w:r w:rsidR="000E08CD" w:rsidRPr="00BC799A">
        <w:rPr>
          <w:szCs w:val="22"/>
        </w:rPr>
        <w:t xml:space="preserve">All statistical analyses were computed using SPSS version 20 (IBM, Armonk, NY, USA). </w:t>
      </w:r>
      <w:r>
        <w:t xml:space="preserve">A repeated measure analysis of variance (ANOVA) was used to examine the differences between time points for </w:t>
      </w:r>
      <w:r w:rsidR="00FB0FA6">
        <w:t>UOsmol</w:t>
      </w:r>
      <w:r>
        <w:t xml:space="preserve"> (i.e., arrival, pre-match, half-time and post-match) and fluid intake (i.e., pre-match, first-half, half-time and </w:t>
      </w:r>
      <w:r w:rsidRPr="00AA2D27">
        <w:t xml:space="preserve">second-half). </w:t>
      </w:r>
      <w:r w:rsidR="00BF0C02">
        <w:t>Post-ho</w:t>
      </w:r>
      <w:r w:rsidR="00BF0C02" w:rsidRPr="00015CF2">
        <w:rPr>
          <w:szCs w:val="22"/>
        </w:rPr>
        <w:t xml:space="preserve">c analysis was performed using </w:t>
      </w:r>
      <w:r w:rsidR="00015CF2" w:rsidRPr="0051001B">
        <w:rPr>
          <w:bCs/>
          <w:szCs w:val="22"/>
        </w:rPr>
        <w:t xml:space="preserve">Benjamini and Hochberg false-discovery rate analysis </w:t>
      </w:r>
      <w:r w:rsidR="0089067C">
        <w:t>[</w:t>
      </w:r>
      <w:r w:rsidR="00FE188E">
        <w:t>1</w:t>
      </w:r>
      <w:r w:rsidR="00BB5134">
        <w:t>7</w:t>
      </w:r>
      <w:r w:rsidR="0089067C">
        <w:t>]</w:t>
      </w:r>
      <w:r w:rsidR="00F05DCD">
        <w:t>.</w:t>
      </w:r>
      <w:r w:rsidRPr="00AA2D27">
        <w:t xml:space="preserve"> Pearson’s correlations were performed</w:t>
      </w:r>
      <w:r w:rsidR="00D02F35">
        <w:t xml:space="preserve"> using mean participant data points. R</w:t>
      </w:r>
      <w:r w:rsidRPr="00AA2D27">
        <w:t xml:space="preserve">elationships between </w:t>
      </w:r>
      <w:r w:rsidR="00943F30">
        <w:t xml:space="preserve">environmental </w:t>
      </w:r>
      <w:r w:rsidR="00015CF2">
        <w:t>temperature and</w:t>
      </w:r>
      <w:r w:rsidR="00943F30">
        <w:t xml:space="preserve"> relative humidity </w:t>
      </w:r>
      <w:r w:rsidR="00015CF2" w:rsidRPr="0051001B">
        <w:rPr>
          <w:i/>
        </w:rPr>
        <w:t>vs.</w:t>
      </w:r>
      <w:r w:rsidR="00943F30">
        <w:t xml:space="preserve"> percentage BM change, fluid loss, fluid intake and UOsmol</w:t>
      </w:r>
      <w:r w:rsidR="00015CF2">
        <w:t xml:space="preserve"> and r</w:t>
      </w:r>
      <w:r w:rsidR="00943F30">
        <w:t xml:space="preserve">elationships between UOsmol </w:t>
      </w:r>
      <w:r w:rsidR="00015CF2" w:rsidRPr="0051001B">
        <w:rPr>
          <w:i/>
        </w:rPr>
        <w:t>vs.</w:t>
      </w:r>
      <w:r w:rsidR="00943F30">
        <w:t xml:space="preserve"> fluid intake, and UOsmol between time-points</w:t>
      </w:r>
      <w:r w:rsidR="00015CF2">
        <w:t xml:space="preserve"> were observed</w:t>
      </w:r>
      <w:r w:rsidR="00943F30">
        <w:t>.</w:t>
      </w:r>
    </w:p>
    <w:p w:rsidR="00AB011A" w:rsidRDefault="00AB011A">
      <w:pPr>
        <w:spacing w:line="480" w:lineRule="auto"/>
        <w:jc w:val="center"/>
      </w:pPr>
    </w:p>
    <w:p w:rsidR="00AB011A" w:rsidRPr="00A14C17" w:rsidRDefault="00A14C17" w:rsidP="00A14C17">
      <w:pPr>
        <w:spacing w:line="480" w:lineRule="auto"/>
        <w:jc w:val="center"/>
        <w:rPr>
          <w:b/>
        </w:rPr>
      </w:pPr>
      <w:r w:rsidRPr="00A14C17">
        <w:rPr>
          <w:b/>
        </w:rPr>
        <w:t>RESULTS</w:t>
      </w:r>
    </w:p>
    <w:p w:rsidR="00AB011A" w:rsidRPr="000E08CD" w:rsidRDefault="00AA2D27">
      <w:pPr>
        <w:spacing w:line="480" w:lineRule="auto"/>
        <w:ind w:firstLine="720"/>
        <w:jc w:val="both"/>
        <w:rPr>
          <w:color w:val="auto"/>
        </w:rPr>
      </w:pPr>
      <w:r>
        <w:t xml:space="preserve">The ambient temperature </w:t>
      </w:r>
      <w:r w:rsidRPr="000E08CD">
        <w:rPr>
          <w:color w:val="auto"/>
        </w:rPr>
        <w:t>and RH during match play was 19.3 ± 2.5</w:t>
      </w:r>
      <w:r w:rsidR="00216349" w:rsidRPr="00216349">
        <w:rPr>
          <w:color w:val="auto"/>
          <w:vertAlign w:val="superscript"/>
        </w:rPr>
        <w:t>o</w:t>
      </w:r>
      <w:r w:rsidRPr="000E08CD">
        <w:rPr>
          <w:color w:val="auto"/>
        </w:rPr>
        <w:t>C and 71 ± 5.8% RH.</w:t>
      </w:r>
    </w:p>
    <w:p w:rsidR="00AB011A" w:rsidRDefault="00AA2D27">
      <w:pPr>
        <w:spacing w:line="480" w:lineRule="auto"/>
        <w:ind w:firstLine="720"/>
        <w:jc w:val="both"/>
        <w:rPr>
          <w:color w:val="auto"/>
        </w:rPr>
      </w:pPr>
      <w:r w:rsidRPr="000E08CD">
        <w:rPr>
          <w:color w:val="auto"/>
        </w:rPr>
        <w:lastRenderedPageBreak/>
        <w:t xml:space="preserve">Individual mean </w:t>
      </w:r>
      <w:r w:rsidR="00FB0FA6" w:rsidRPr="000E08CD">
        <w:rPr>
          <w:color w:val="auto"/>
        </w:rPr>
        <w:t>UOsmol</w:t>
      </w:r>
      <w:r w:rsidRPr="000E08CD">
        <w:rPr>
          <w:color w:val="auto"/>
        </w:rPr>
        <w:t xml:space="preserve"> and output for referees is shown in table 1. There was an overall significant difference for </w:t>
      </w:r>
      <w:r w:rsidR="00FB0FA6" w:rsidRPr="000E08CD">
        <w:rPr>
          <w:color w:val="auto"/>
        </w:rPr>
        <w:t>UOsmol</w:t>
      </w:r>
      <w:r w:rsidRPr="000E08CD">
        <w:rPr>
          <w:color w:val="auto"/>
        </w:rPr>
        <w:t xml:space="preserve"> between time points (F</w:t>
      </w:r>
      <w:r w:rsidRPr="000E08CD">
        <w:rPr>
          <w:color w:val="auto"/>
          <w:vertAlign w:val="subscript"/>
        </w:rPr>
        <w:t>3,101</w:t>
      </w:r>
      <w:r w:rsidRPr="000E08CD">
        <w:rPr>
          <w:color w:val="auto"/>
        </w:rPr>
        <w:t xml:space="preserve"> = 2.44, P&lt;0.001). Post-hoc analysis</w:t>
      </w:r>
      <w:r w:rsidR="00794B83">
        <w:rPr>
          <w:color w:val="auto"/>
        </w:rPr>
        <w:t xml:space="preserve">, using </w:t>
      </w:r>
      <w:r w:rsidR="00794B83" w:rsidRPr="00BE521B">
        <w:rPr>
          <w:bCs/>
          <w:szCs w:val="22"/>
        </w:rPr>
        <w:t>false-discovery rate</w:t>
      </w:r>
      <w:r w:rsidRPr="000E08CD">
        <w:rPr>
          <w:color w:val="auto"/>
        </w:rPr>
        <w:t xml:space="preserve"> identified</w:t>
      </w:r>
      <w:r w:rsidR="00794B83">
        <w:rPr>
          <w:color w:val="auto"/>
        </w:rPr>
        <w:t xml:space="preserve"> no </w:t>
      </w:r>
      <w:r w:rsidR="00472CB8">
        <w:rPr>
          <w:color w:val="auto"/>
        </w:rPr>
        <w:t>significant</w:t>
      </w:r>
      <w:r w:rsidR="00794B83">
        <w:rPr>
          <w:color w:val="auto"/>
        </w:rPr>
        <w:t xml:space="preserve"> differences between time points. </w:t>
      </w:r>
      <w:r w:rsidR="00472CB8">
        <w:rPr>
          <w:color w:val="auto"/>
        </w:rPr>
        <w:t>T</w:t>
      </w:r>
      <w:r w:rsidRPr="000E08CD">
        <w:rPr>
          <w:color w:val="auto"/>
        </w:rPr>
        <w:t>here was a significant difference for urine output between time points (F</w:t>
      </w:r>
      <w:r w:rsidRPr="000E08CD">
        <w:rPr>
          <w:color w:val="auto"/>
          <w:vertAlign w:val="subscript"/>
        </w:rPr>
        <w:t>2,73</w:t>
      </w:r>
      <w:r w:rsidRPr="000E08CD">
        <w:rPr>
          <w:color w:val="auto"/>
        </w:rPr>
        <w:t>=15.26, P&lt;0.001). Post-hoc analysis</w:t>
      </w:r>
      <w:r w:rsidR="00794B83">
        <w:rPr>
          <w:color w:val="auto"/>
        </w:rPr>
        <w:t xml:space="preserve">, using </w:t>
      </w:r>
      <w:r w:rsidR="00794B83" w:rsidRPr="00BE521B">
        <w:rPr>
          <w:bCs/>
          <w:szCs w:val="22"/>
        </w:rPr>
        <w:t>false-discovery rate</w:t>
      </w:r>
      <w:r w:rsidRPr="000E08CD">
        <w:rPr>
          <w:color w:val="auto"/>
        </w:rPr>
        <w:t xml:space="preserve"> identified </w:t>
      </w:r>
      <w:r w:rsidR="00FE18B6">
        <w:rPr>
          <w:color w:val="auto"/>
        </w:rPr>
        <w:t>urine output was significantly greater during pre-match than at half-time (P=0.003) and post-match (P=0.033)</w:t>
      </w:r>
      <w:r w:rsidRPr="000E08CD">
        <w:rPr>
          <w:color w:val="auto"/>
        </w:rPr>
        <w:t>.</w:t>
      </w:r>
    </w:p>
    <w:p w:rsidR="00A14C17" w:rsidRDefault="00A14C17">
      <w:pPr>
        <w:spacing w:line="480" w:lineRule="auto"/>
        <w:ind w:firstLine="720"/>
        <w:jc w:val="both"/>
        <w:rPr>
          <w:color w:val="auto"/>
        </w:rPr>
      </w:pPr>
    </w:p>
    <w:p w:rsidR="00A14C17" w:rsidRDefault="00A14C17" w:rsidP="00A14C17">
      <w:pPr>
        <w:spacing w:line="480" w:lineRule="auto"/>
        <w:jc w:val="center"/>
        <w:rPr>
          <w:szCs w:val="22"/>
        </w:rPr>
      </w:pPr>
      <w:r w:rsidRPr="005E7C92">
        <w:rPr>
          <w:szCs w:val="22"/>
        </w:rPr>
        <w:t>***insert table 1 near here***</w:t>
      </w:r>
    </w:p>
    <w:p w:rsidR="00AB011A" w:rsidRDefault="00216349">
      <w:pPr>
        <w:spacing w:line="480" w:lineRule="auto"/>
        <w:ind w:firstLine="720"/>
        <w:jc w:val="both"/>
        <w:rPr>
          <w:color w:val="auto"/>
        </w:rPr>
      </w:pPr>
      <w:r>
        <w:rPr>
          <w:color w:val="auto"/>
        </w:rPr>
        <w:t xml:space="preserve">Percentage </w:t>
      </w:r>
      <w:r w:rsidR="00406382">
        <w:rPr>
          <w:color w:val="auto"/>
        </w:rPr>
        <w:t>BM</w:t>
      </w:r>
      <w:r>
        <w:rPr>
          <w:color w:val="auto"/>
        </w:rPr>
        <w:t xml:space="preserve"> change,</w:t>
      </w:r>
      <w:r w:rsidR="00AA2D27" w:rsidRPr="000E08CD">
        <w:rPr>
          <w:color w:val="auto"/>
        </w:rPr>
        <w:t xml:space="preserve"> fluid intake, and </w:t>
      </w:r>
      <w:r>
        <w:rPr>
          <w:color w:val="auto"/>
        </w:rPr>
        <w:t>fluid loss</w:t>
      </w:r>
      <w:r w:rsidR="00AA2D27" w:rsidRPr="000E08CD">
        <w:rPr>
          <w:color w:val="auto"/>
        </w:rPr>
        <w:t xml:space="preserve"> are presented in table 2. Mean </w:t>
      </w:r>
      <w:r w:rsidR="00406382">
        <w:rPr>
          <w:color w:val="auto"/>
        </w:rPr>
        <w:t>BM</w:t>
      </w:r>
      <w:r>
        <w:rPr>
          <w:color w:val="auto"/>
        </w:rPr>
        <w:t xml:space="preserve"> change</w:t>
      </w:r>
      <w:r w:rsidRPr="000E08CD">
        <w:rPr>
          <w:color w:val="auto"/>
        </w:rPr>
        <w:t xml:space="preserve"> </w:t>
      </w:r>
      <w:r w:rsidR="00AA2D27" w:rsidRPr="000E08CD">
        <w:rPr>
          <w:color w:val="auto"/>
        </w:rPr>
        <w:t xml:space="preserve">was -0.7 ± 0.8% and mean </w:t>
      </w:r>
      <w:r>
        <w:rPr>
          <w:color w:val="auto"/>
        </w:rPr>
        <w:t>fluid loss</w:t>
      </w:r>
      <w:r w:rsidR="00AA2D27" w:rsidRPr="000E08CD">
        <w:rPr>
          <w:color w:val="auto"/>
        </w:rPr>
        <w:t xml:space="preserve"> rate was 598 ± 371 g</w:t>
      </w:r>
      <w:r>
        <w:rPr>
          <w:color w:val="auto"/>
        </w:rPr>
        <w:t>·</w:t>
      </w:r>
      <w:r w:rsidR="00AA2D27" w:rsidRPr="000E08CD">
        <w:rPr>
          <w:color w:val="auto"/>
        </w:rPr>
        <w:t>hr</w:t>
      </w:r>
      <w:r w:rsidR="00AA2D27" w:rsidRPr="000E08CD">
        <w:rPr>
          <w:color w:val="auto"/>
          <w:vertAlign w:val="superscript"/>
        </w:rPr>
        <w:t>-1</w:t>
      </w:r>
      <w:r w:rsidR="00AA2D27" w:rsidRPr="000E08CD">
        <w:rPr>
          <w:color w:val="auto"/>
        </w:rPr>
        <w:t xml:space="preserve"> (7.8 ± 4.8 g</w:t>
      </w:r>
      <w:r>
        <w:rPr>
          <w:color w:val="auto"/>
        </w:rPr>
        <w:t>·</w:t>
      </w:r>
      <w:r w:rsidR="00AA2D27" w:rsidRPr="000E08CD">
        <w:rPr>
          <w:color w:val="auto"/>
        </w:rPr>
        <w:t>hr</w:t>
      </w:r>
      <w:r w:rsidR="00AA2D27" w:rsidRPr="000E08CD">
        <w:rPr>
          <w:color w:val="auto"/>
          <w:vertAlign w:val="superscript"/>
        </w:rPr>
        <w:t>-1</w:t>
      </w:r>
      <w:r>
        <w:rPr>
          <w:color w:val="auto"/>
        </w:rPr>
        <w:t>·</w:t>
      </w:r>
      <w:r w:rsidR="009D5208">
        <w:rPr>
          <w:color w:val="auto"/>
        </w:rPr>
        <w:t>k</w:t>
      </w:r>
      <w:r w:rsidR="00AA2D27" w:rsidRPr="000E08CD">
        <w:rPr>
          <w:color w:val="auto"/>
        </w:rPr>
        <w:t>g</w:t>
      </w:r>
      <w:r w:rsidR="00AA2D27" w:rsidRPr="000E08CD">
        <w:rPr>
          <w:color w:val="auto"/>
          <w:vertAlign w:val="superscript"/>
        </w:rPr>
        <w:t>-1</w:t>
      </w:r>
      <w:r w:rsidR="00AA2D27" w:rsidRPr="000E08CD">
        <w:rPr>
          <w:color w:val="auto"/>
        </w:rPr>
        <w:t>). There was a significant difference for mean fluid intake between time points (F</w:t>
      </w:r>
      <w:r w:rsidR="00AA2D27" w:rsidRPr="000E08CD">
        <w:rPr>
          <w:color w:val="auto"/>
          <w:vertAlign w:val="subscript"/>
        </w:rPr>
        <w:t>3,111</w:t>
      </w:r>
      <w:r w:rsidR="00AA2D27" w:rsidRPr="000E08CD">
        <w:rPr>
          <w:color w:val="auto"/>
        </w:rPr>
        <w:t xml:space="preserve"> = 7.20, P&lt;0.001). Post-hoc analysis</w:t>
      </w:r>
      <w:r w:rsidR="00794B83">
        <w:rPr>
          <w:color w:val="auto"/>
        </w:rPr>
        <w:t xml:space="preserve">, using </w:t>
      </w:r>
      <w:r w:rsidR="00794B83" w:rsidRPr="00BE521B">
        <w:rPr>
          <w:bCs/>
          <w:szCs w:val="22"/>
        </w:rPr>
        <w:t>false-discovery rate</w:t>
      </w:r>
      <w:r w:rsidR="00AA2D27" w:rsidRPr="000E08CD">
        <w:rPr>
          <w:color w:val="auto"/>
        </w:rPr>
        <w:t xml:space="preserve"> identified </w:t>
      </w:r>
      <w:r w:rsidR="004A4B97">
        <w:rPr>
          <w:color w:val="auto"/>
        </w:rPr>
        <w:t xml:space="preserve">fluid intake was significantly </w:t>
      </w:r>
      <w:r w:rsidR="00FE18B6">
        <w:rPr>
          <w:color w:val="auto"/>
        </w:rPr>
        <w:t>less during half-time than</w:t>
      </w:r>
      <w:r w:rsidR="004A4B97">
        <w:rPr>
          <w:color w:val="auto"/>
        </w:rPr>
        <w:t xml:space="preserve"> pre-match</w:t>
      </w:r>
      <w:r w:rsidR="00FE18B6">
        <w:rPr>
          <w:color w:val="auto"/>
        </w:rPr>
        <w:t xml:space="preserve"> (P&lt;0.001), 1</w:t>
      </w:r>
      <w:r w:rsidR="00FE18B6" w:rsidRPr="00FE18B6">
        <w:rPr>
          <w:color w:val="auto"/>
        </w:rPr>
        <w:t>st</w:t>
      </w:r>
      <w:r w:rsidR="00FE18B6">
        <w:rPr>
          <w:color w:val="auto"/>
        </w:rPr>
        <w:t xml:space="preserve"> half (P=0.013) and 2</w:t>
      </w:r>
      <w:r w:rsidR="00FE18B6" w:rsidRPr="00FE18B6">
        <w:rPr>
          <w:color w:val="auto"/>
        </w:rPr>
        <w:t>nd</w:t>
      </w:r>
      <w:r w:rsidR="00FE18B6">
        <w:rPr>
          <w:color w:val="auto"/>
        </w:rPr>
        <w:t xml:space="preserve"> half (P&lt;0.001).</w:t>
      </w:r>
    </w:p>
    <w:p w:rsidR="00A14C17" w:rsidRDefault="00A14C17">
      <w:pPr>
        <w:spacing w:line="480" w:lineRule="auto"/>
        <w:ind w:firstLine="720"/>
        <w:jc w:val="both"/>
        <w:rPr>
          <w:color w:val="auto"/>
        </w:rPr>
      </w:pPr>
    </w:p>
    <w:p w:rsidR="00A14C17" w:rsidRPr="005E7C92" w:rsidRDefault="00A14C17" w:rsidP="00A14C17">
      <w:pPr>
        <w:spacing w:line="480" w:lineRule="auto"/>
        <w:jc w:val="center"/>
        <w:rPr>
          <w:szCs w:val="22"/>
        </w:rPr>
      </w:pPr>
      <w:r>
        <w:rPr>
          <w:szCs w:val="22"/>
        </w:rPr>
        <w:t>***insert table 2</w:t>
      </w:r>
      <w:r w:rsidRPr="005E7C92">
        <w:rPr>
          <w:szCs w:val="22"/>
        </w:rPr>
        <w:t xml:space="preserve"> near here***</w:t>
      </w:r>
    </w:p>
    <w:p w:rsidR="00AB011A" w:rsidRPr="000E08CD" w:rsidRDefault="00AA2D27" w:rsidP="00701FAC">
      <w:pPr>
        <w:spacing w:line="480" w:lineRule="auto"/>
        <w:ind w:firstLine="720"/>
        <w:jc w:val="both"/>
        <w:rPr>
          <w:color w:val="auto"/>
        </w:rPr>
      </w:pPr>
      <w:r w:rsidRPr="000E08CD">
        <w:rPr>
          <w:color w:val="auto"/>
        </w:rPr>
        <w:t xml:space="preserve">When relationships were analysed between temperature, </w:t>
      </w:r>
      <w:r w:rsidR="008122B2" w:rsidRPr="000E08CD">
        <w:rPr>
          <w:color w:val="auto"/>
        </w:rPr>
        <w:t xml:space="preserve">RH </w:t>
      </w:r>
      <w:r w:rsidRPr="000E08CD">
        <w:rPr>
          <w:color w:val="auto"/>
        </w:rPr>
        <w:t xml:space="preserve">and </w:t>
      </w:r>
      <w:r w:rsidR="006E759D">
        <w:rPr>
          <w:color w:val="auto"/>
        </w:rPr>
        <w:t xml:space="preserve">percentage </w:t>
      </w:r>
      <w:r w:rsidR="00406382">
        <w:rPr>
          <w:color w:val="auto"/>
        </w:rPr>
        <w:t>BM</w:t>
      </w:r>
      <w:r w:rsidR="006E759D">
        <w:rPr>
          <w:color w:val="auto"/>
        </w:rPr>
        <w:t xml:space="preserve"> change</w:t>
      </w:r>
      <w:r w:rsidR="00E90D90">
        <w:rPr>
          <w:color w:val="auto"/>
        </w:rPr>
        <w:t>,</w:t>
      </w:r>
      <w:r w:rsidR="004D0A99" w:rsidRPr="000E08CD">
        <w:rPr>
          <w:color w:val="auto"/>
        </w:rPr>
        <w:t xml:space="preserve"> </w:t>
      </w:r>
      <w:r w:rsidR="004D0A99">
        <w:rPr>
          <w:color w:val="auto"/>
        </w:rPr>
        <w:t>fluid loss</w:t>
      </w:r>
      <w:r w:rsidRPr="000E08CD">
        <w:rPr>
          <w:color w:val="auto"/>
        </w:rPr>
        <w:t>, fluid intake</w:t>
      </w:r>
      <w:r w:rsidR="00F965B7">
        <w:rPr>
          <w:color w:val="auto"/>
        </w:rPr>
        <w:t xml:space="preserve"> and</w:t>
      </w:r>
      <w:r w:rsidRPr="000E08CD">
        <w:rPr>
          <w:color w:val="auto"/>
        </w:rPr>
        <w:t xml:space="preserve"> </w:t>
      </w:r>
      <w:r w:rsidR="00FB0FA6" w:rsidRPr="000E08CD">
        <w:rPr>
          <w:color w:val="auto"/>
        </w:rPr>
        <w:t>UOsmol</w:t>
      </w:r>
      <w:r w:rsidRPr="000E08CD">
        <w:rPr>
          <w:color w:val="auto"/>
        </w:rPr>
        <w:t xml:space="preserve">, a significant relationship was only observed between </w:t>
      </w:r>
      <w:r w:rsidR="00E90D90">
        <w:rPr>
          <w:color w:val="auto"/>
        </w:rPr>
        <w:t xml:space="preserve">temperature </w:t>
      </w:r>
      <w:r w:rsidR="00E90D90" w:rsidRPr="0051001B">
        <w:rPr>
          <w:i/>
          <w:color w:val="auto"/>
        </w:rPr>
        <w:t>vs</w:t>
      </w:r>
      <w:r w:rsidR="00E90D90">
        <w:rPr>
          <w:color w:val="auto"/>
        </w:rPr>
        <w:t xml:space="preserve">. fluid loss (r=0.771, P=0.025), and temperature </w:t>
      </w:r>
      <w:r w:rsidR="00E90D90" w:rsidRPr="00BE521B">
        <w:rPr>
          <w:i/>
          <w:color w:val="auto"/>
        </w:rPr>
        <w:t>vs</w:t>
      </w:r>
      <w:r w:rsidR="00E90D90">
        <w:rPr>
          <w:color w:val="auto"/>
        </w:rPr>
        <w:t>. first half fluid intake (r=0.908, P=0.002)</w:t>
      </w:r>
      <w:r w:rsidR="007B58FF">
        <w:rPr>
          <w:color w:val="auto"/>
        </w:rPr>
        <w:t xml:space="preserve">. </w:t>
      </w:r>
      <w:r w:rsidRPr="000E08CD">
        <w:rPr>
          <w:color w:val="auto"/>
        </w:rPr>
        <w:t xml:space="preserve">When relationships were analysed between </w:t>
      </w:r>
      <w:r w:rsidR="00FB0FA6" w:rsidRPr="000E08CD">
        <w:rPr>
          <w:color w:val="auto"/>
        </w:rPr>
        <w:t>UOsmol</w:t>
      </w:r>
      <w:r w:rsidRPr="000E08CD">
        <w:rPr>
          <w:color w:val="auto"/>
        </w:rPr>
        <w:t xml:space="preserve"> and fluid intake, </w:t>
      </w:r>
      <w:r w:rsidR="00FB0FA6" w:rsidRPr="000E08CD">
        <w:rPr>
          <w:color w:val="auto"/>
        </w:rPr>
        <w:t>UOsmol</w:t>
      </w:r>
      <w:r w:rsidRPr="000E08CD">
        <w:rPr>
          <w:color w:val="auto"/>
        </w:rPr>
        <w:t xml:space="preserve"> on arrival was significantly related to half-time fluid intake (r=0.</w:t>
      </w:r>
      <w:r w:rsidR="00D147C7">
        <w:rPr>
          <w:color w:val="auto"/>
        </w:rPr>
        <w:t>721</w:t>
      </w:r>
      <w:r w:rsidRPr="000E08CD">
        <w:rPr>
          <w:color w:val="auto"/>
        </w:rPr>
        <w:t>, P=0.0</w:t>
      </w:r>
      <w:r w:rsidR="00D147C7">
        <w:rPr>
          <w:color w:val="auto"/>
        </w:rPr>
        <w:t>4</w:t>
      </w:r>
      <w:r w:rsidRPr="000E08CD">
        <w:rPr>
          <w:color w:val="auto"/>
        </w:rPr>
        <w:t xml:space="preserve">3) and pre </w:t>
      </w:r>
      <w:r w:rsidR="00FB0FA6" w:rsidRPr="000E08CD">
        <w:rPr>
          <w:color w:val="auto"/>
        </w:rPr>
        <w:t>UOsmol</w:t>
      </w:r>
      <w:r w:rsidRPr="000E08CD">
        <w:rPr>
          <w:color w:val="auto"/>
        </w:rPr>
        <w:t xml:space="preserve"> was significantly related to first half fluid intake (r=0.</w:t>
      </w:r>
      <w:r w:rsidR="00D147C7">
        <w:rPr>
          <w:color w:val="auto"/>
        </w:rPr>
        <w:t>859</w:t>
      </w:r>
      <w:r w:rsidRPr="000E08CD">
        <w:rPr>
          <w:color w:val="auto"/>
        </w:rPr>
        <w:t>, P=0.0</w:t>
      </w:r>
      <w:r w:rsidR="00D147C7">
        <w:rPr>
          <w:color w:val="auto"/>
        </w:rPr>
        <w:t>06</w:t>
      </w:r>
      <w:r w:rsidRPr="000E08CD">
        <w:rPr>
          <w:color w:val="auto"/>
        </w:rPr>
        <w:t xml:space="preserve">). When relationships were analysed between </w:t>
      </w:r>
      <w:r w:rsidR="00FB0FA6" w:rsidRPr="000E08CD">
        <w:rPr>
          <w:color w:val="auto"/>
        </w:rPr>
        <w:t>UOsmol</w:t>
      </w:r>
      <w:r w:rsidRPr="000E08CD">
        <w:rPr>
          <w:color w:val="auto"/>
        </w:rPr>
        <w:t xml:space="preserve"> time points, arrival </w:t>
      </w:r>
      <w:r w:rsidR="00FB0FA6" w:rsidRPr="000E08CD">
        <w:rPr>
          <w:color w:val="auto"/>
        </w:rPr>
        <w:t>UOsmol</w:t>
      </w:r>
      <w:r w:rsidRPr="000E08CD">
        <w:rPr>
          <w:color w:val="auto"/>
        </w:rPr>
        <w:t xml:space="preserve"> was significantly related to pre </w:t>
      </w:r>
      <w:r w:rsidR="00FB0FA6" w:rsidRPr="000E08CD">
        <w:rPr>
          <w:color w:val="auto"/>
        </w:rPr>
        <w:t>UOsmol</w:t>
      </w:r>
      <w:r w:rsidRPr="000E08CD">
        <w:rPr>
          <w:color w:val="auto"/>
        </w:rPr>
        <w:t xml:space="preserve"> (r=0.</w:t>
      </w:r>
      <w:r w:rsidR="00D147C7">
        <w:rPr>
          <w:color w:val="auto"/>
        </w:rPr>
        <w:t>859</w:t>
      </w:r>
      <w:r w:rsidRPr="000E08CD">
        <w:rPr>
          <w:color w:val="auto"/>
        </w:rPr>
        <w:t>, P</w:t>
      </w:r>
      <w:r w:rsidR="005D7BCF">
        <w:rPr>
          <w:color w:val="auto"/>
        </w:rPr>
        <w:t>=</w:t>
      </w:r>
      <w:r w:rsidRPr="000E08CD">
        <w:rPr>
          <w:color w:val="auto"/>
        </w:rPr>
        <w:t>0.00</w:t>
      </w:r>
      <w:r w:rsidR="00D147C7">
        <w:rPr>
          <w:color w:val="auto"/>
        </w:rPr>
        <w:t>6</w:t>
      </w:r>
      <w:r w:rsidR="005D7BCF">
        <w:rPr>
          <w:color w:val="auto"/>
        </w:rPr>
        <w:t>)</w:t>
      </w:r>
      <w:r w:rsidR="00D147C7">
        <w:rPr>
          <w:color w:val="auto"/>
        </w:rPr>
        <w:t>.</w:t>
      </w:r>
    </w:p>
    <w:p w:rsidR="00AB011A" w:rsidRPr="000E08CD" w:rsidRDefault="00AB011A">
      <w:pPr>
        <w:spacing w:line="480" w:lineRule="auto"/>
        <w:rPr>
          <w:color w:val="auto"/>
        </w:rPr>
      </w:pPr>
    </w:p>
    <w:p w:rsidR="00AB011A" w:rsidRPr="000E08CD" w:rsidRDefault="00A14C17" w:rsidP="00A14C17">
      <w:pPr>
        <w:spacing w:line="480" w:lineRule="auto"/>
        <w:jc w:val="center"/>
        <w:rPr>
          <w:color w:val="auto"/>
        </w:rPr>
      </w:pPr>
      <w:r w:rsidRPr="000E08CD">
        <w:rPr>
          <w:b/>
          <w:color w:val="auto"/>
        </w:rPr>
        <w:t>DISCUSSION</w:t>
      </w:r>
    </w:p>
    <w:p w:rsidR="00AB011A" w:rsidRPr="000E08CD" w:rsidRDefault="00AA2D27">
      <w:pPr>
        <w:spacing w:line="480" w:lineRule="auto"/>
        <w:ind w:firstLine="720"/>
        <w:jc w:val="both"/>
        <w:rPr>
          <w:color w:val="auto"/>
        </w:rPr>
      </w:pPr>
      <w:r w:rsidRPr="000E08CD">
        <w:rPr>
          <w:color w:val="auto"/>
        </w:rPr>
        <w:lastRenderedPageBreak/>
        <w:t xml:space="preserve">The present study is the first to explore dehydration in Super League RL referees. Overall, the </w:t>
      </w:r>
      <w:r w:rsidR="00A637BB">
        <w:rPr>
          <w:color w:val="auto"/>
        </w:rPr>
        <w:t>mean data suggests that</w:t>
      </w:r>
      <w:r w:rsidR="009D3F54">
        <w:rPr>
          <w:color w:val="auto"/>
        </w:rPr>
        <w:t xml:space="preserve"> </w:t>
      </w:r>
      <w:r w:rsidR="00F55A31">
        <w:rPr>
          <w:color w:val="auto"/>
        </w:rPr>
        <w:t xml:space="preserve">RL </w:t>
      </w:r>
      <w:r w:rsidRPr="000E08CD">
        <w:rPr>
          <w:color w:val="auto"/>
        </w:rPr>
        <w:t>referees arrive and remain euhydrated post-match</w:t>
      </w:r>
      <w:r w:rsidR="00322E34">
        <w:rPr>
          <w:color w:val="auto"/>
        </w:rPr>
        <w:t xml:space="preserve">, based on BM change and </w:t>
      </w:r>
      <w:r w:rsidR="00FB0FA6" w:rsidRPr="009D3F54">
        <w:rPr>
          <w:color w:val="auto"/>
          <w:szCs w:val="22"/>
        </w:rPr>
        <w:t>UOsmo</w:t>
      </w:r>
      <w:r w:rsidR="00D05314">
        <w:rPr>
          <w:color w:val="auto"/>
          <w:szCs w:val="22"/>
        </w:rPr>
        <w:t>l</w:t>
      </w:r>
      <w:r w:rsidRPr="000E08CD">
        <w:rPr>
          <w:color w:val="auto"/>
        </w:rPr>
        <w:t xml:space="preserve">. </w:t>
      </w:r>
      <w:r w:rsidR="004615BF">
        <w:rPr>
          <w:color w:val="auto"/>
        </w:rPr>
        <w:t>On 90% of observations,</w:t>
      </w:r>
      <w:r w:rsidR="001C0FAE">
        <w:rPr>
          <w:color w:val="auto"/>
        </w:rPr>
        <w:t xml:space="preserve"> referees had a </w:t>
      </w:r>
      <w:r w:rsidR="00406382">
        <w:rPr>
          <w:color w:val="auto"/>
        </w:rPr>
        <w:t>BM</w:t>
      </w:r>
      <w:r w:rsidR="001C0FAE">
        <w:rPr>
          <w:color w:val="auto"/>
        </w:rPr>
        <w:t xml:space="preserve"> loss of &lt;2%, thus this study provides evidence to show that </w:t>
      </w:r>
      <w:r w:rsidR="000509FD">
        <w:rPr>
          <w:color w:val="auto"/>
        </w:rPr>
        <w:t>hydration strategies of elite referees</w:t>
      </w:r>
      <w:r w:rsidR="000509FD">
        <w:rPr>
          <w:i/>
          <w:color w:val="auto"/>
        </w:rPr>
        <w:t xml:space="preserve"> </w:t>
      </w:r>
      <w:r w:rsidR="009D4ACA" w:rsidRPr="009D4ACA">
        <w:rPr>
          <w:color w:val="auto"/>
        </w:rPr>
        <w:t>are</w:t>
      </w:r>
      <w:r w:rsidR="001C0FAE">
        <w:rPr>
          <w:color w:val="auto"/>
        </w:rPr>
        <w:t xml:space="preserve"> mostly adequate</w:t>
      </w:r>
      <w:r w:rsidR="00DC495A">
        <w:rPr>
          <w:color w:val="auto"/>
        </w:rPr>
        <w:t xml:space="preserve"> in maintaining fluid balance </w:t>
      </w:r>
      <w:r w:rsidR="000509FD">
        <w:rPr>
          <w:color w:val="auto"/>
        </w:rPr>
        <w:t>during match play</w:t>
      </w:r>
      <w:r w:rsidR="001C0FAE">
        <w:rPr>
          <w:color w:val="auto"/>
        </w:rPr>
        <w:t xml:space="preserve">. </w:t>
      </w:r>
      <w:r w:rsidR="004A4B97">
        <w:rPr>
          <w:color w:val="auto"/>
        </w:rPr>
        <w:t xml:space="preserve">On 10% of observations, referees had a </w:t>
      </w:r>
      <w:r w:rsidR="00406382">
        <w:rPr>
          <w:color w:val="auto"/>
        </w:rPr>
        <w:t>BM</w:t>
      </w:r>
      <w:r w:rsidR="00322E34">
        <w:rPr>
          <w:color w:val="auto"/>
        </w:rPr>
        <w:t xml:space="preserve"> loss</w:t>
      </w:r>
      <w:r w:rsidR="004A4B97">
        <w:rPr>
          <w:color w:val="auto"/>
        </w:rPr>
        <w:t xml:space="preserve"> &gt;2%, although this was always less than 5% (</w:t>
      </w:r>
      <w:r w:rsidR="00322E34">
        <w:rPr>
          <w:color w:val="auto"/>
        </w:rPr>
        <w:t xml:space="preserve">i.e. </w:t>
      </w:r>
      <w:r w:rsidR="004A4B97">
        <w:rPr>
          <w:color w:val="auto"/>
        </w:rPr>
        <w:t xml:space="preserve">severe dehydration; </w:t>
      </w:r>
      <w:r w:rsidR="0089067C">
        <w:rPr>
          <w:color w:val="auto"/>
        </w:rPr>
        <w:t>[</w:t>
      </w:r>
      <w:r w:rsidR="00BB5134">
        <w:rPr>
          <w:color w:val="auto"/>
        </w:rPr>
        <w:t>11</w:t>
      </w:r>
      <w:r w:rsidR="0089067C">
        <w:rPr>
          <w:color w:val="auto"/>
        </w:rPr>
        <w:t>]</w:t>
      </w:r>
      <w:r w:rsidR="004A4B97">
        <w:rPr>
          <w:color w:val="auto"/>
        </w:rPr>
        <w:t xml:space="preserve">). </w:t>
      </w:r>
      <w:r w:rsidR="00306DF7">
        <w:rPr>
          <w:color w:val="auto"/>
        </w:rPr>
        <w:t>D</w:t>
      </w:r>
      <w:r w:rsidR="000509FD">
        <w:rPr>
          <w:color w:val="auto"/>
        </w:rPr>
        <w:t>ata from this study</w:t>
      </w:r>
      <w:r w:rsidR="00A247EA">
        <w:rPr>
          <w:color w:val="auto"/>
        </w:rPr>
        <w:t>, specifically fluid intake</w:t>
      </w:r>
      <w:r w:rsidR="000509FD">
        <w:rPr>
          <w:color w:val="auto"/>
        </w:rPr>
        <w:t xml:space="preserve"> provides a useful reference for sub-elite </w:t>
      </w:r>
      <w:r w:rsidR="00A247EA">
        <w:rPr>
          <w:color w:val="auto"/>
        </w:rPr>
        <w:t xml:space="preserve">referees </w:t>
      </w:r>
      <w:r w:rsidR="000509FD">
        <w:rPr>
          <w:color w:val="auto"/>
        </w:rPr>
        <w:t>and practitioners working with referees</w:t>
      </w:r>
      <w:r w:rsidR="00A247EA">
        <w:rPr>
          <w:color w:val="auto"/>
        </w:rPr>
        <w:t xml:space="preserve"> when devising specific hydration strategies.</w:t>
      </w:r>
    </w:p>
    <w:p w:rsidR="00A14A75" w:rsidRDefault="00406382" w:rsidP="00B8330E">
      <w:pPr>
        <w:spacing w:line="480" w:lineRule="auto"/>
        <w:ind w:firstLine="720"/>
        <w:jc w:val="both"/>
        <w:rPr>
          <w:color w:val="auto"/>
        </w:rPr>
      </w:pPr>
      <w:r>
        <w:rPr>
          <w:color w:val="auto"/>
        </w:rPr>
        <w:t>BM</w:t>
      </w:r>
      <w:r w:rsidR="00216349">
        <w:rPr>
          <w:color w:val="auto"/>
        </w:rPr>
        <w:t xml:space="preserve"> change</w:t>
      </w:r>
      <w:r w:rsidR="001C0FAE">
        <w:rPr>
          <w:color w:val="auto"/>
        </w:rPr>
        <w:t xml:space="preserve"> during exercise is a net balance of losses (fuel oxidation, respiratory water loss, urine output and sweat loss) and gains (metabolic water gain, fluid intake, food intake)</w:t>
      </w:r>
      <w:r w:rsidR="00DC495A">
        <w:rPr>
          <w:color w:val="auto"/>
        </w:rPr>
        <w:t xml:space="preserve"> </w:t>
      </w:r>
      <w:r w:rsidR="0089067C">
        <w:rPr>
          <w:color w:val="auto"/>
        </w:rPr>
        <w:t>[</w:t>
      </w:r>
      <w:r w:rsidR="00FE188E">
        <w:rPr>
          <w:color w:val="auto"/>
        </w:rPr>
        <w:t>1</w:t>
      </w:r>
      <w:r w:rsidR="00BB5134">
        <w:rPr>
          <w:color w:val="auto"/>
        </w:rPr>
        <w:t>4</w:t>
      </w:r>
      <w:r w:rsidR="0089067C">
        <w:rPr>
          <w:color w:val="auto"/>
        </w:rPr>
        <w:t>]</w:t>
      </w:r>
      <w:r w:rsidR="00216349">
        <w:rPr>
          <w:color w:val="auto"/>
        </w:rPr>
        <w:t xml:space="preserve">. </w:t>
      </w:r>
      <w:r w:rsidR="001C0FAE">
        <w:rPr>
          <w:color w:val="auto"/>
        </w:rPr>
        <w:t xml:space="preserve">During a study of this type, it is not possible to accurately quantify all </w:t>
      </w:r>
      <w:r>
        <w:rPr>
          <w:color w:val="auto"/>
        </w:rPr>
        <w:t>BM</w:t>
      </w:r>
      <w:r w:rsidR="001C0FAE">
        <w:rPr>
          <w:color w:val="auto"/>
        </w:rPr>
        <w:t xml:space="preserve"> determinants</w:t>
      </w:r>
      <w:r w:rsidR="00DC495A">
        <w:rPr>
          <w:color w:val="auto"/>
        </w:rPr>
        <w:t xml:space="preserve">, thus </w:t>
      </w:r>
      <w:r>
        <w:rPr>
          <w:color w:val="auto"/>
        </w:rPr>
        <w:t>BM</w:t>
      </w:r>
      <w:r w:rsidR="00216349">
        <w:rPr>
          <w:color w:val="auto"/>
        </w:rPr>
        <w:t xml:space="preserve"> change </w:t>
      </w:r>
      <w:r w:rsidR="00DC495A">
        <w:rPr>
          <w:color w:val="auto"/>
        </w:rPr>
        <w:t xml:space="preserve">may not be a precise indicator of absolute changes in </w:t>
      </w:r>
      <w:r w:rsidR="00216349">
        <w:rPr>
          <w:color w:val="auto"/>
        </w:rPr>
        <w:t>total body water</w:t>
      </w:r>
      <w:r w:rsidR="00DC495A">
        <w:rPr>
          <w:color w:val="auto"/>
        </w:rPr>
        <w:t xml:space="preserve"> </w:t>
      </w:r>
      <w:r w:rsidR="009D4ACA" w:rsidRPr="009D4ACA">
        <w:rPr>
          <w:i/>
          <w:color w:val="auto"/>
        </w:rPr>
        <w:t>per se</w:t>
      </w:r>
      <w:r w:rsidR="00F1598A">
        <w:rPr>
          <w:i/>
          <w:color w:val="auto"/>
        </w:rPr>
        <w:t xml:space="preserve">. </w:t>
      </w:r>
      <w:r w:rsidR="00216349">
        <w:rPr>
          <w:color w:val="auto"/>
        </w:rPr>
        <w:t xml:space="preserve">Excluding </w:t>
      </w:r>
      <w:r>
        <w:rPr>
          <w:color w:val="auto"/>
        </w:rPr>
        <w:t>BM</w:t>
      </w:r>
      <w:r w:rsidR="000509FD">
        <w:rPr>
          <w:color w:val="auto"/>
        </w:rPr>
        <w:t xml:space="preserve"> determinants that cannot be measured</w:t>
      </w:r>
      <w:r w:rsidR="00F55A31">
        <w:rPr>
          <w:color w:val="auto"/>
        </w:rPr>
        <w:t xml:space="preserve"> (fuel oxidation, respiratory water loss, sweat loss, metabolic water gain)</w:t>
      </w:r>
      <w:r w:rsidR="000509FD">
        <w:rPr>
          <w:color w:val="auto"/>
        </w:rPr>
        <w:t>, t</w:t>
      </w:r>
      <w:r w:rsidR="001C0FAE" w:rsidRPr="000E08CD">
        <w:rPr>
          <w:color w:val="auto"/>
        </w:rPr>
        <w:t xml:space="preserve">he mean </w:t>
      </w:r>
      <w:r>
        <w:rPr>
          <w:color w:val="auto"/>
        </w:rPr>
        <w:t>BM</w:t>
      </w:r>
      <w:r w:rsidR="00216349">
        <w:rPr>
          <w:color w:val="auto"/>
        </w:rPr>
        <w:t xml:space="preserve"> change </w:t>
      </w:r>
      <w:r w:rsidR="001C0FAE" w:rsidRPr="000E08CD">
        <w:rPr>
          <w:color w:val="auto"/>
        </w:rPr>
        <w:t xml:space="preserve">for the RL referees </w:t>
      </w:r>
      <w:r w:rsidR="00D906E0">
        <w:rPr>
          <w:color w:val="auto"/>
        </w:rPr>
        <w:t xml:space="preserve">was </w:t>
      </w:r>
      <w:r w:rsidR="00216349">
        <w:t>influenced primarily by</w:t>
      </w:r>
      <w:r w:rsidR="00D906E0">
        <w:rPr>
          <w:color w:val="auto"/>
        </w:rPr>
        <w:t xml:space="preserve"> </w:t>
      </w:r>
      <w:r w:rsidR="00D906E0" w:rsidRPr="000E08CD">
        <w:rPr>
          <w:color w:val="auto"/>
        </w:rPr>
        <w:t>t</w:t>
      </w:r>
      <w:r w:rsidR="00112172">
        <w:rPr>
          <w:color w:val="auto"/>
        </w:rPr>
        <w:t>he ratio between</w:t>
      </w:r>
      <w:r w:rsidR="00D906E0" w:rsidRPr="000E08CD">
        <w:rPr>
          <w:color w:val="auto"/>
        </w:rPr>
        <w:t xml:space="preserve"> mean fluid intake (aggregated; pre-match, first-half, half-time, second-half) </w:t>
      </w:r>
      <w:r w:rsidR="00112172">
        <w:rPr>
          <w:color w:val="auto"/>
        </w:rPr>
        <w:t>and</w:t>
      </w:r>
      <w:r w:rsidR="00216349">
        <w:rPr>
          <w:color w:val="auto"/>
        </w:rPr>
        <w:t xml:space="preserve"> mean fluid loss</w:t>
      </w:r>
      <w:r w:rsidR="00D906E0" w:rsidRPr="000E08CD">
        <w:rPr>
          <w:color w:val="auto"/>
        </w:rPr>
        <w:t xml:space="preserve">. </w:t>
      </w:r>
    </w:p>
    <w:p w:rsidR="00B8330E" w:rsidRDefault="00A14A75" w:rsidP="00B8330E">
      <w:pPr>
        <w:spacing w:line="480" w:lineRule="auto"/>
        <w:ind w:firstLine="720"/>
        <w:jc w:val="both"/>
        <w:rPr>
          <w:color w:val="auto"/>
        </w:rPr>
      </w:pPr>
      <w:r>
        <w:rPr>
          <w:color w:val="auto"/>
        </w:rPr>
        <w:t xml:space="preserve">The mean </w:t>
      </w:r>
      <w:r w:rsidR="00406382">
        <w:rPr>
          <w:color w:val="auto"/>
        </w:rPr>
        <w:t>BM</w:t>
      </w:r>
      <w:r>
        <w:rPr>
          <w:color w:val="auto"/>
        </w:rPr>
        <w:t xml:space="preserve"> loss for RL referees i</w:t>
      </w:r>
      <w:r w:rsidR="00406382">
        <w:rPr>
          <w:color w:val="auto"/>
        </w:rPr>
        <w:t>n this study was</w:t>
      </w:r>
      <w:r>
        <w:rPr>
          <w:color w:val="auto"/>
        </w:rPr>
        <w:t xml:space="preserve"> less than </w:t>
      </w:r>
      <w:r w:rsidR="00475D38">
        <w:rPr>
          <w:color w:val="auto"/>
        </w:rPr>
        <w:t xml:space="preserve">those previously </w:t>
      </w:r>
      <w:r>
        <w:rPr>
          <w:color w:val="auto"/>
        </w:rPr>
        <w:t>reported for RL players (</w:t>
      </w:r>
      <w:r w:rsidRPr="000E08CD">
        <w:rPr>
          <w:color w:val="auto"/>
        </w:rPr>
        <w:t>1.3</w:t>
      </w:r>
      <w:r>
        <w:rPr>
          <w:color w:val="auto"/>
        </w:rPr>
        <w:t>1</w:t>
      </w:r>
      <w:r w:rsidRPr="000E08CD">
        <w:rPr>
          <w:color w:val="auto"/>
        </w:rPr>
        <w:t>%</w:t>
      </w:r>
      <w:r>
        <w:rPr>
          <w:color w:val="auto"/>
        </w:rPr>
        <w:t xml:space="preserve"> </w:t>
      </w:r>
      <w:r w:rsidR="0089067C">
        <w:rPr>
          <w:color w:val="auto"/>
        </w:rPr>
        <w:t>[</w:t>
      </w:r>
      <w:r w:rsidR="00BB5134">
        <w:rPr>
          <w:color w:val="auto"/>
        </w:rPr>
        <w:t>5</w:t>
      </w:r>
      <w:r w:rsidR="0089067C">
        <w:rPr>
          <w:color w:val="auto"/>
        </w:rPr>
        <w:t>]</w:t>
      </w:r>
      <w:r>
        <w:rPr>
          <w:color w:val="auto"/>
        </w:rPr>
        <w:t xml:space="preserve">). </w:t>
      </w:r>
      <w:r w:rsidR="00F55A31">
        <w:rPr>
          <w:color w:val="auto"/>
        </w:rPr>
        <w:t>This is</w:t>
      </w:r>
      <w:r w:rsidR="00D45191">
        <w:rPr>
          <w:color w:val="auto"/>
        </w:rPr>
        <w:t xml:space="preserve"> despite the fact referees cover more distance than players during matches</w:t>
      </w:r>
      <w:r w:rsidR="00FE188E">
        <w:rPr>
          <w:color w:val="auto"/>
        </w:rPr>
        <w:t xml:space="preserve"> </w:t>
      </w:r>
      <w:r w:rsidR="0089067C">
        <w:rPr>
          <w:color w:val="auto"/>
        </w:rPr>
        <w:t>[</w:t>
      </w:r>
      <w:r w:rsidR="00BB5134">
        <w:rPr>
          <w:color w:val="auto"/>
        </w:rPr>
        <w:t>2, 12</w:t>
      </w:r>
      <w:r w:rsidR="0089067C">
        <w:rPr>
          <w:color w:val="auto"/>
        </w:rPr>
        <w:t>]</w:t>
      </w:r>
      <w:r w:rsidR="00D45191">
        <w:rPr>
          <w:color w:val="auto"/>
        </w:rPr>
        <w:t xml:space="preserve"> which would theoretically suggest a greater degree of dehydration</w:t>
      </w:r>
      <w:r w:rsidR="00BC2EC6">
        <w:rPr>
          <w:color w:val="auto"/>
        </w:rPr>
        <w:t xml:space="preserve"> </w:t>
      </w:r>
      <w:r w:rsidR="0089067C">
        <w:rPr>
          <w:color w:val="auto"/>
        </w:rPr>
        <w:t>[</w:t>
      </w:r>
      <w:r w:rsidR="00BB5134">
        <w:rPr>
          <w:color w:val="auto"/>
        </w:rPr>
        <w:t>10</w:t>
      </w:r>
      <w:r w:rsidR="0089067C">
        <w:rPr>
          <w:color w:val="auto"/>
        </w:rPr>
        <w:t>]</w:t>
      </w:r>
      <w:r w:rsidR="00614D39">
        <w:rPr>
          <w:color w:val="auto"/>
        </w:rPr>
        <w:t xml:space="preserve">. </w:t>
      </w:r>
      <w:r>
        <w:rPr>
          <w:color w:val="auto"/>
        </w:rPr>
        <w:t xml:space="preserve">Contrary, </w:t>
      </w:r>
      <w:r w:rsidR="00B8330E">
        <w:rPr>
          <w:color w:val="auto"/>
        </w:rPr>
        <w:t>RL referees los</w:t>
      </w:r>
      <w:r>
        <w:rPr>
          <w:color w:val="auto"/>
        </w:rPr>
        <w:t>t</w:t>
      </w:r>
      <w:r w:rsidR="00B8330E">
        <w:rPr>
          <w:color w:val="auto"/>
        </w:rPr>
        <w:t xml:space="preserve"> less fluid </w:t>
      </w:r>
      <w:r w:rsidR="00322E34" w:rsidRPr="000E08CD">
        <w:rPr>
          <w:color w:val="auto"/>
        </w:rPr>
        <w:t xml:space="preserve">and consumed more fluid </w:t>
      </w:r>
      <w:r w:rsidR="00322E34">
        <w:rPr>
          <w:color w:val="auto"/>
        </w:rPr>
        <w:t>than players during match play</w:t>
      </w:r>
      <w:r w:rsidR="00322E34" w:rsidRPr="000E08CD">
        <w:rPr>
          <w:color w:val="auto"/>
        </w:rPr>
        <w:t xml:space="preserve"> </w:t>
      </w:r>
      <w:r w:rsidRPr="000E08CD">
        <w:rPr>
          <w:color w:val="auto"/>
        </w:rPr>
        <w:t xml:space="preserve">(2.0 ± 0.7 </w:t>
      </w:r>
      <w:r w:rsidR="00322E34">
        <w:rPr>
          <w:color w:val="auto"/>
        </w:rPr>
        <w:t xml:space="preserve">and </w:t>
      </w:r>
      <w:r w:rsidR="00322E34" w:rsidRPr="000E08CD">
        <w:rPr>
          <w:color w:val="auto"/>
        </w:rPr>
        <w:t>0.17 ± 0.18 L</w:t>
      </w:r>
      <w:r w:rsidRPr="000E08CD">
        <w:rPr>
          <w:color w:val="auto"/>
        </w:rPr>
        <w:t xml:space="preserve"> </w:t>
      </w:r>
      <w:r w:rsidR="0089067C">
        <w:rPr>
          <w:color w:val="auto"/>
        </w:rPr>
        <w:t>[</w:t>
      </w:r>
      <w:r w:rsidR="00BB5134">
        <w:rPr>
          <w:color w:val="auto"/>
        </w:rPr>
        <w:t>5</w:t>
      </w:r>
      <w:r w:rsidR="0089067C">
        <w:rPr>
          <w:color w:val="auto"/>
        </w:rPr>
        <w:t>]</w:t>
      </w:r>
      <w:r w:rsidR="00B8330E">
        <w:rPr>
          <w:color w:val="auto"/>
        </w:rPr>
        <w:t>)</w:t>
      </w:r>
      <w:r w:rsidR="00B8330E" w:rsidRPr="000E08CD">
        <w:rPr>
          <w:color w:val="auto"/>
        </w:rPr>
        <w:t xml:space="preserve">. </w:t>
      </w:r>
    </w:p>
    <w:p w:rsidR="00B8330E" w:rsidRDefault="00B8330E" w:rsidP="00B8330E">
      <w:pPr>
        <w:spacing w:line="480" w:lineRule="auto"/>
        <w:ind w:firstLine="720"/>
        <w:jc w:val="both"/>
        <w:rPr>
          <w:color w:val="auto"/>
        </w:rPr>
      </w:pPr>
      <w:r w:rsidRPr="000E08CD">
        <w:rPr>
          <w:color w:val="auto"/>
        </w:rPr>
        <w:t>It is not clear whether the difference in fluid intake was due to</w:t>
      </w:r>
      <w:r w:rsidR="00F1598A">
        <w:rPr>
          <w:color w:val="auto"/>
        </w:rPr>
        <w:t xml:space="preserve"> adopted hydration strategies, </w:t>
      </w:r>
      <w:r w:rsidRPr="000E08CD">
        <w:rPr>
          <w:color w:val="auto"/>
        </w:rPr>
        <w:t>thirst or the available opportunities to drink determined by match rulings, alt</w:t>
      </w:r>
      <w:r w:rsidR="00F1598A">
        <w:rPr>
          <w:color w:val="auto"/>
        </w:rPr>
        <w:t xml:space="preserve">hough it would be assumed that drinking opportunities </w:t>
      </w:r>
      <w:r w:rsidRPr="000E08CD">
        <w:rPr>
          <w:color w:val="auto"/>
        </w:rPr>
        <w:t>would be similar for both</w:t>
      </w:r>
      <w:r w:rsidR="00614D39">
        <w:rPr>
          <w:color w:val="auto"/>
        </w:rPr>
        <w:t xml:space="preserve"> referees and players</w:t>
      </w:r>
      <w:r w:rsidRPr="000E08CD">
        <w:rPr>
          <w:color w:val="auto"/>
        </w:rPr>
        <w:t>.</w:t>
      </w:r>
      <w:r>
        <w:rPr>
          <w:color w:val="auto"/>
        </w:rPr>
        <w:t xml:space="preserve"> </w:t>
      </w:r>
      <w:r w:rsidRPr="000E08CD">
        <w:rPr>
          <w:color w:val="auto"/>
        </w:rPr>
        <w:t xml:space="preserve">The differences in </w:t>
      </w:r>
      <w:r w:rsidR="00406382">
        <w:rPr>
          <w:color w:val="auto"/>
        </w:rPr>
        <w:t>BM</w:t>
      </w:r>
      <w:r w:rsidR="00614D39">
        <w:rPr>
          <w:color w:val="auto"/>
        </w:rPr>
        <w:t xml:space="preserve"> change</w:t>
      </w:r>
      <w:r w:rsidRPr="000E08CD">
        <w:rPr>
          <w:color w:val="auto"/>
        </w:rPr>
        <w:t xml:space="preserve">, </w:t>
      </w:r>
      <w:r w:rsidR="00614D39">
        <w:rPr>
          <w:color w:val="auto"/>
        </w:rPr>
        <w:t>fluid loss</w:t>
      </w:r>
      <w:r w:rsidRPr="000E08CD">
        <w:rPr>
          <w:color w:val="auto"/>
        </w:rPr>
        <w:t xml:space="preserve"> and fluid intake </w:t>
      </w:r>
      <w:r>
        <w:rPr>
          <w:color w:val="auto"/>
        </w:rPr>
        <w:t xml:space="preserve">between referees and players </w:t>
      </w:r>
      <w:r w:rsidRPr="000E08CD">
        <w:rPr>
          <w:color w:val="auto"/>
        </w:rPr>
        <w:t>may be explained by the different types of activit</w:t>
      </w:r>
      <w:r>
        <w:rPr>
          <w:color w:val="auto"/>
        </w:rPr>
        <w:t>ies</w:t>
      </w:r>
      <w:r w:rsidRPr="000E08CD">
        <w:rPr>
          <w:color w:val="auto"/>
        </w:rPr>
        <w:t xml:space="preserve"> undertaken, as players are involved in collisions / </w:t>
      </w:r>
      <w:r w:rsidRPr="000E08CD">
        <w:rPr>
          <w:color w:val="auto"/>
        </w:rPr>
        <w:lastRenderedPageBreak/>
        <w:t>contact (4.2 ± 1.9% of total time</w:t>
      </w:r>
      <w:r w:rsidR="001F2154">
        <w:rPr>
          <w:color w:val="auto"/>
        </w:rPr>
        <w:t xml:space="preserve"> </w:t>
      </w:r>
      <w:r w:rsidR="0089067C">
        <w:rPr>
          <w:color w:val="auto"/>
        </w:rPr>
        <w:t>[</w:t>
      </w:r>
      <w:r w:rsidR="00BB5134">
        <w:rPr>
          <w:color w:val="auto"/>
        </w:rPr>
        <w:t>18</w:t>
      </w:r>
      <w:r w:rsidR="0089067C">
        <w:rPr>
          <w:color w:val="auto"/>
        </w:rPr>
        <w:t>]</w:t>
      </w:r>
      <w:r>
        <w:rPr>
          <w:color w:val="auto"/>
        </w:rPr>
        <w:t>)</w:t>
      </w:r>
      <w:r w:rsidRPr="000E08CD">
        <w:rPr>
          <w:color w:val="auto"/>
        </w:rPr>
        <w:t xml:space="preserve"> whereas referees are not.</w:t>
      </w:r>
      <w:r w:rsidR="00943F30">
        <w:rPr>
          <w:color w:val="auto"/>
        </w:rPr>
        <w:t xml:space="preserve"> Contrary, based on heart rate data</w:t>
      </w:r>
      <w:r w:rsidR="00D05314">
        <w:rPr>
          <w:color w:val="auto"/>
        </w:rPr>
        <w:t>,</w:t>
      </w:r>
      <w:r w:rsidR="00943F30">
        <w:rPr>
          <w:color w:val="auto"/>
        </w:rPr>
        <w:t xml:space="preserve"> RL referees appear to work at a similar exercise intensity </w:t>
      </w:r>
      <w:r w:rsidR="00943F30" w:rsidRPr="00DE135B">
        <w:rPr>
          <w:color w:val="auto"/>
          <w:szCs w:val="22"/>
        </w:rPr>
        <w:t>to players</w:t>
      </w:r>
      <w:r w:rsidR="00943F30">
        <w:rPr>
          <w:color w:val="auto"/>
          <w:szCs w:val="22"/>
        </w:rPr>
        <w:t xml:space="preserve"> during matches</w:t>
      </w:r>
      <w:r w:rsidR="00943F30" w:rsidRPr="00DE135B">
        <w:rPr>
          <w:color w:val="auto"/>
          <w:szCs w:val="22"/>
        </w:rPr>
        <w:t xml:space="preserve"> (</w:t>
      </w:r>
      <w:r w:rsidR="00943F30">
        <w:rPr>
          <w:color w:val="auto"/>
          <w:szCs w:val="22"/>
        </w:rPr>
        <w:t xml:space="preserve">RL referees; </w:t>
      </w:r>
      <w:r w:rsidR="00943F30" w:rsidRPr="0051001B">
        <w:rPr>
          <w:szCs w:val="22"/>
        </w:rPr>
        <w:t>84.2 ± 3.2</w:t>
      </w:r>
      <w:r w:rsidR="00943F30">
        <w:rPr>
          <w:szCs w:val="22"/>
        </w:rPr>
        <w:t xml:space="preserve"> </w:t>
      </w:r>
      <w:r w:rsidR="0089067C">
        <w:rPr>
          <w:szCs w:val="22"/>
        </w:rPr>
        <w:t>[</w:t>
      </w:r>
      <w:r w:rsidR="00BB5134">
        <w:rPr>
          <w:szCs w:val="22"/>
        </w:rPr>
        <w:t>2</w:t>
      </w:r>
      <w:r w:rsidR="0089067C">
        <w:rPr>
          <w:szCs w:val="22"/>
        </w:rPr>
        <w:t>]</w:t>
      </w:r>
      <w:r w:rsidR="00FF22AF">
        <w:rPr>
          <w:color w:val="auto"/>
        </w:rPr>
        <w:t xml:space="preserve"> </w:t>
      </w:r>
      <w:r w:rsidR="00FF22AF" w:rsidRPr="00FF22AF">
        <w:rPr>
          <w:i/>
          <w:color w:val="auto"/>
        </w:rPr>
        <w:t>vs.</w:t>
      </w:r>
      <w:r w:rsidR="00FF22AF">
        <w:rPr>
          <w:color w:val="auto"/>
        </w:rPr>
        <w:t xml:space="preserve"> RL players; (</w:t>
      </w:r>
      <w:r w:rsidR="00943F30">
        <w:rPr>
          <w:color w:val="auto"/>
        </w:rPr>
        <w:t xml:space="preserve">backs, adjustables and </w:t>
      </w:r>
      <w:r w:rsidR="00943F30" w:rsidRPr="00DE135B">
        <w:rPr>
          <w:color w:val="auto"/>
          <w:szCs w:val="22"/>
        </w:rPr>
        <w:t>forwards</w:t>
      </w:r>
      <w:r w:rsidR="00FF22AF">
        <w:rPr>
          <w:color w:val="auto"/>
          <w:szCs w:val="22"/>
        </w:rPr>
        <w:t>)</w:t>
      </w:r>
      <w:r w:rsidR="00943F30" w:rsidRPr="00DE135B">
        <w:rPr>
          <w:color w:val="auto"/>
          <w:szCs w:val="22"/>
        </w:rPr>
        <w:t xml:space="preserve"> </w:t>
      </w:r>
      <w:r w:rsidR="00943F30" w:rsidRPr="0051001B">
        <w:rPr>
          <w:szCs w:val="22"/>
        </w:rPr>
        <w:t>83.5</w:t>
      </w:r>
      <w:r w:rsidR="00943F30">
        <w:rPr>
          <w:szCs w:val="22"/>
        </w:rPr>
        <w:t xml:space="preserve"> </w:t>
      </w:r>
      <w:r w:rsidR="00943F30" w:rsidRPr="00112FC8">
        <w:rPr>
          <w:szCs w:val="22"/>
        </w:rPr>
        <w:t>±</w:t>
      </w:r>
      <w:r w:rsidR="00943F30">
        <w:rPr>
          <w:szCs w:val="22"/>
        </w:rPr>
        <w:t xml:space="preserve"> </w:t>
      </w:r>
      <w:r w:rsidR="00943F30" w:rsidRPr="0051001B">
        <w:rPr>
          <w:szCs w:val="22"/>
        </w:rPr>
        <w:t>1.9</w:t>
      </w:r>
      <w:r w:rsidR="00943F30">
        <w:rPr>
          <w:szCs w:val="22"/>
        </w:rPr>
        <w:t>,</w:t>
      </w:r>
      <w:r w:rsidR="00943F30" w:rsidRPr="0051001B">
        <w:rPr>
          <w:szCs w:val="22"/>
        </w:rPr>
        <w:t xml:space="preserve"> 81.5</w:t>
      </w:r>
      <w:r w:rsidR="00943F30">
        <w:rPr>
          <w:szCs w:val="22"/>
        </w:rPr>
        <w:t xml:space="preserve"> </w:t>
      </w:r>
      <w:r w:rsidR="00943F30" w:rsidRPr="00112FC8">
        <w:rPr>
          <w:szCs w:val="22"/>
        </w:rPr>
        <w:t>±</w:t>
      </w:r>
      <w:r w:rsidR="00943F30">
        <w:rPr>
          <w:szCs w:val="22"/>
        </w:rPr>
        <w:t xml:space="preserve"> </w:t>
      </w:r>
      <w:r w:rsidR="00943F30" w:rsidRPr="0051001B">
        <w:rPr>
          <w:szCs w:val="22"/>
        </w:rPr>
        <w:t>4.1</w:t>
      </w:r>
      <w:r w:rsidR="00943F30">
        <w:rPr>
          <w:szCs w:val="22"/>
        </w:rPr>
        <w:t>,</w:t>
      </w:r>
      <w:r w:rsidR="00943F30" w:rsidRPr="0051001B">
        <w:rPr>
          <w:szCs w:val="22"/>
        </w:rPr>
        <w:t xml:space="preserve"> 84.1</w:t>
      </w:r>
      <w:r w:rsidR="00943F30">
        <w:rPr>
          <w:szCs w:val="22"/>
        </w:rPr>
        <w:t xml:space="preserve"> </w:t>
      </w:r>
      <w:r w:rsidR="00943F30" w:rsidRPr="00112FC8">
        <w:rPr>
          <w:szCs w:val="22"/>
        </w:rPr>
        <w:t>±</w:t>
      </w:r>
      <w:r w:rsidR="00943F30">
        <w:rPr>
          <w:szCs w:val="22"/>
        </w:rPr>
        <w:t xml:space="preserve"> </w:t>
      </w:r>
      <w:r w:rsidR="00943F30" w:rsidRPr="0051001B">
        <w:rPr>
          <w:szCs w:val="22"/>
        </w:rPr>
        <w:t>8.2</w:t>
      </w:r>
      <w:r w:rsidR="00943F30">
        <w:rPr>
          <w:szCs w:val="22"/>
        </w:rPr>
        <w:t xml:space="preserve">% heart rate max. </w:t>
      </w:r>
      <w:r w:rsidR="0089067C">
        <w:rPr>
          <w:szCs w:val="22"/>
        </w:rPr>
        <w:t>[</w:t>
      </w:r>
      <w:r w:rsidR="00BB5134">
        <w:rPr>
          <w:szCs w:val="22"/>
        </w:rPr>
        <w:t>19</w:t>
      </w:r>
      <w:r w:rsidR="0089067C">
        <w:rPr>
          <w:szCs w:val="22"/>
        </w:rPr>
        <w:t>]</w:t>
      </w:r>
      <w:r w:rsidR="00943F30">
        <w:rPr>
          <w:szCs w:val="22"/>
        </w:rPr>
        <w:t>).</w:t>
      </w:r>
      <w:r w:rsidRPr="00DE135B">
        <w:rPr>
          <w:color w:val="auto"/>
          <w:szCs w:val="22"/>
        </w:rPr>
        <w:t xml:space="preserve"> Al</w:t>
      </w:r>
      <w:r w:rsidR="00614D39" w:rsidRPr="00DE135B">
        <w:rPr>
          <w:color w:val="auto"/>
          <w:szCs w:val="22"/>
        </w:rPr>
        <w:t>so, RL referees ha</w:t>
      </w:r>
      <w:r w:rsidR="00614D39">
        <w:rPr>
          <w:color w:val="auto"/>
        </w:rPr>
        <w:t xml:space="preserve">ve a smaller </w:t>
      </w:r>
      <w:r w:rsidR="00406382">
        <w:rPr>
          <w:color w:val="auto"/>
        </w:rPr>
        <w:t>BM</w:t>
      </w:r>
      <w:r w:rsidRPr="000E08CD">
        <w:rPr>
          <w:color w:val="auto"/>
        </w:rPr>
        <w:t xml:space="preserve"> than players (74.4 ± 14.5 </w:t>
      </w:r>
      <w:r w:rsidRPr="00FF22AF">
        <w:rPr>
          <w:i/>
          <w:color w:val="auto"/>
        </w:rPr>
        <w:t>vs.</w:t>
      </w:r>
      <w:r w:rsidRPr="000E08CD">
        <w:rPr>
          <w:color w:val="auto"/>
        </w:rPr>
        <w:t xml:space="preserve"> 96.71 ± 8.35</w:t>
      </w:r>
      <w:r w:rsidR="001F2154">
        <w:rPr>
          <w:color w:val="auto"/>
        </w:rPr>
        <w:t xml:space="preserve"> </w:t>
      </w:r>
      <w:r w:rsidRPr="000E08CD">
        <w:rPr>
          <w:color w:val="auto"/>
        </w:rPr>
        <w:t>kg</w:t>
      </w:r>
      <w:r w:rsidR="001F2154">
        <w:rPr>
          <w:color w:val="auto"/>
        </w:rPr>
        <w:t xml:space="preserve"> </w:t>
      </w:r>
      <w:r w:rsidR="0089067C">
        <w:rPr>
          <w:szCs w:val="22"/>
        </w:rPr>
        <w:t>[</w:t>
      </w:r>
      <w:r w:rsidR="00BB5134">
        <w:rPr>
          <w:szCs w:val="22"/>
        </w:rPr>
        <w:t>2</w:t>
      </w:r>
      <w:r w:rsidR="0089067C">
        <w:rPr>
          <w:szCs w:val="22"/>
        </w:rPr>
        <w:t>]</w:t>
      </w:r>
      <w:r w:rsidRPr="000E08CD">
        <w:rPr>
          <w:color w:val="auto"/>
        </w:rPr>
        <w:t>)</w:t>
      </w:r>
      <w:r w:rsidR="00901537">
        <w:rPr>
          <w:color w:val="auto"/>
        </w:rPr>
        <w:t>, which would likely reduce</w:t>
      </w:r>
      <w:r w:rsidR="004D0A99">
        <w:rPr>
          <w:color w:val="auto"/>
        </w:rPr>
        <w:t xml:space="preserve"> </w:t>
      </w:r>
      <w:r w:rsidR="00F1598A">
        <w:rPr>
          <w:color w:val="auto"/>
        </w:rPr>
        <w:t xml:space="preserve">fluid loss </w:t>
      </w:r>
      <w:r w:rsidR="0089067C">
        <w:rPr>
          <w:color w:val="auto"/>
        </w:rPr>
        <w:t>[</w:t>
      </w:r>
      <w:r w:rsidR="00FE188E">
        <w:rPr>
          <w:color w:val="auto"/>
        </w:rPr>
        <w:t>7</w:t>
      </w:r>
      <w:r w:rsidR="0089067C">
        <w:rPr>
          <w:color w:val="auto"/>
        </w:rPr>
        <w:t>]</w:t>
      </w:r>
      <w:r w:rsidRPr="000E08CD">
        <w:rPr>
          <w:color w:val="auto"/>
        </w:rPr>
        <w:t xml:space="preserve">. </w:t>
      </w:r>
    </w:p>
    <w:p w:rsidR="00F1598A" w:rsidRDefault="00F1598A" w:rsidP="0084406C">
      <w:pPr>
        <w:spacing w:line="480" w:lineRule="auto"/>
        <w:ind w:firstLine="720"/>
        <w:jc w:val="both"/>
        <w:rPr>
          <w:color w:val="auto"/>
        </w:rPr>
      </w:pPr>
      <w:r>
        <w:rPr>
          <w:color w:val="auto"/>
        </w:rPr>
        <w:t xml:space="preserve">It is well established that </w:t>
      </w:r>
      <w:r w:rsidR="00901537">
        <w:rPr>
          <w:color w:val="auto"/>
        </w:rPr>
        <w:t>fluid</w:t>
      </w:r>
      <w:r w:rsidR="00AF37D0">
        <w:rPr>
          <w:color w:val="auto"/>
        </w:rPr>
        <w:t xml:space="preserve"> (sweat)</w:t>
      </w:r>
      <w:r w:rsidR="00901537">
        <w:rPr>
          <w:color w:val="auto"/>
        </w:rPr>
        <w:t xml:space="preserve"> loss</w:t>
      </w:r>
      <w:r w:rsidR="00B8330E" w:rsidRPr="000E08CD">
        <w:rPr>
          <w:color w:val="auto"/>
        </w:rPr>
        <w:t xml:space="preserve"> during exercise is influenced by environmental temperature </w:t>
      </w:r>
      <w:r w:rsidR="0089067C">
        <w:rPr>
          <w:color w:val="auto"/>
        </w:rPr>
        <w:t>[</w:t>
      </w:r>
      <w:r w:rsidR="00BB5134">
        <w:rPr>
          <w:color w:val="auto"/>
        </w:rPr>
        <w:t>9</w:t>
      </w:r>
      <w:r w:rsidR="0089067C">
        <w:rPr>
          <w:color w:val="auto"/>
        </w:rPr>
        <w:t>]</w:t>
      </w:r>
      <w:r w:rsidR="00B8330E" w:rsidRPr="000E08CD">
        <w:rPr>
          <w:color w:val="auto"/>
        </w:rPr>
        <w:t xml:space="preserve">, thus when developing hydration strategies, </w:t>
      </w:r>
      <w:r w:rsidR="00B8330E">
        <w:rPr>
          <w:color w:val="auto"/>
        </w:rPr>
        <w:t>practitioners</w:t>
      </w:r>
      <w:r w:rsidR="00B8330E" w:rsidRPr="000E08CD">
        <w:rPr>
          <w:color w:val="auto"/>
        </w:rPr>
        <w:t xml:space="preserve"> should </w:t>
      </w:r>
      <w:r>
        <w:rPr>
          <w:color w:val="auto"/>
        </w:rPr>
        <w:t>consider the</w:t>
      </w:r>
      <w:r w:rsidR="00B8330E" w:rsidRPr="000E08CD">
        <w:rPr>
          <w:color w:val="auto"/>
        </w:rPr>
        <w:t xml:space="preserve"> effect of </w:t>
      </w:r>
      <w:r>
        <w:rPr>
          <w:color w:val="auto"/>
        </w:rPr>
        <w:t xml:space="preserve">the </w:t>
      </w:r>
      <w:r w:rsidR="00B8330E" w:rsidRPr="000E08CD">
        <w:rPr>
          <w:color w:val="auto"/>
        </w:rPr>
        <w:t>environmental conditions.</w:t>
      </w:r>
      <w:r w:rsidR="00322E34">
        <w:rPr>
          <w:color w:val="auto"/>
        </w:rPr>
        <w:t xml:space="preserve"> </w:t>
      </w:r>
      <w:r w:rsidR="0074475F">
        <w:rPr>
          <w:color w:val="auto"/>
        </w:rPr>
        <w:t>This study showed a significant relationship between environmental temperature and fluid loss. Also, t</w:t>
      </w:r>
      <w:r w:rsidR="00322E34">
        <w:rPr>
          <w:color w:val="auto"/>
        </w:rPr>
        <w:t>hree referees experienced a BM</w:t>
      </w:r>
      <w:r w:rsidR="00322E34" w:rsidRPr="000E08CD">
        <w:rPr>
          <w:color w:val="auto"/>
        </w:rPr>
        <w:t xml:space="preserve"> loss &gt;2%, with the greatest loss observed of 2.9%</w:t>
      </w:r>
      <w:r w:rsidR="00322E34">
        <w:rPr>
          <w:color w:val="auto"/>
        </w:rPr>
        <w:t xml:space="preserve">, which was </w:t>
      </w:r>
      <w:r w:rsidR="00322E34" w:rsidRPr="000E08CD">
        <w:rPr>
          <w:color w:val="auto"/>
        </w:rPr>
        <w:t>greater than any loss reported for Super League players</w:t>
      </w:r>
      <w:r w:rsidR="00322E34">
        <w:rPr>
          <w:color w:val="auto"/>
        </w:rPr>
        <w:t xml:space="preserve"> during observations of a full season</w:t>
      </w:r>
      <w:r w:rsidR="00322E34" w:rsidRPr="000E08CD">
        <w:rPr>
          <w:color w:val="auto"/>
        </w:rPr>
        <w:t xml:space="preserve"> (2.6%</w:t>
      </w:r>
      <w:r w:rsidR="00322E34">
        <w:rPr>
          <w:color w:val="auto"/>
        </w:rPr>
        <w:t xml:space="preserve"> </w:t>
      </w:r>
      <w:r w:rsidR="0089067C">
        <w:rPr>
          <w:color w:val="auto"/>
        </w:rPr>
        <w:t>[</w:t>
      </w:r>
      <w:r w:rsidR="00BB5134">
        <w:rPr>
          <w:color w:val="auto"/>
        </w:rPr>
        <w:t>5</w:t>
      </w:r>
      <w:r w:rsidR="0089067C">
        <w:rPr>
          <w:color w:val="auto"/>
        </w:rPr>
        <w:t>]</w:t>
      </w:r>
      <w:r w:rsidR="00322E34" w:rsidRPr="00863907">
        <w:rPr>
          <w:color w:val="auto"/>
        </w:rPr>
        <w:t>). The environmental temperature and RH of the respected matches</w:t>
      </w:r>
      <w:r w:rsidR="00475D38">
        <w:rPr>
          <w:color w:val="auto"/>
        </w:rPr>
        <w:t xml:space="preserve"> (24, 23 and 22</w:t>
      </w:r>
      <w:r w:rsidR="00475D38" w:rsidRPr="0051001B">
        <w:rPr>
          <w:color w:val="auto"/>
          <w:vertAlign w:val="superscript"/>
        </w:rPr>
        <w:t>o</w:t>
      </w:r>
      <w:r w:rsidR="00475D38">
        <w:rPr>
          <w:color w:val="auto"/>
        </w:rPr>
        <w:t>C, and 70, 72 and 77% RH)</w:t>
      </w:r>
      <w:r w:rsidR="00322E34" w:rsidRPr="00863907">
        <w:rPr>
          <w:color w:val="auto"/>
        </w:rPr>
        <w:t xml:space="preserve"> w</w:t>
      </w:r>
      <w:r w:rsidR="00322E34">
        <w:rPr>
          <w:color w:val="auto"/>
        </w:rPr>
        <w:t>ere</w:t>
      </w:r>
      <w:r w:rsidR="00322E34" w:rsidRPr="00863907">
        <w:rPr>
          <w:color w:val="auto"/>
        </w:rPr>
        <w:t xml:space="preserve"> greater than the study me</w:t>
      </w:r>
      <w:r w:rsidR="00475D38">
        <w:rPr>
          <w:color w:val="auto"/>
        </w:rPr>
        <w:t>an</w:t>
      </w:r>
      <w:r w:rsidR="0074475F">
        <w:rPr>
          <w:color w:val="auto"/>
        </w:rPr>
        <w:t>.</w:t>
      </w:r>
      <w:r w:rsidR="00322E34">
        <w:rPr>
          <w:color w:val="auto"/>
        </w:rPr>
        <w:t xml:space="preserve"> </w:t>
      </w:r>
      <w:r w:rsidR="00A14A75">
        <w:rPr>
          <w:color w:val="auto"/>
        </w:rPr>
        <w:t>It is unclear if fluid prescription greater than thirst is required</w:t>
      </w:r>
      <w:r w:rsidR="00AF37D0">
        <w:rPr>
          <w:color w:val="auto"/>
        </w:rPr>
        <w:t>,</w:t>
      </w:r>
      <w:r w:rsidR="00F853B2">
        <w:rPr>
          <w:color w:val="auto"/>
        </w:rPr>
        <w:t xml:space="preserve"> as the magnitude of dehydration was never severe in this study</w:t>
      </w:r>
      <w:r w:rsidR="00AF37D0">
        <w:rPr>
          <w:color w:val="auto"/>
        </w:rPr>
        <w:t>, although neither were environmental temperatures</w:t>
      </w:r>
      <w:r w:rsidR="00F853B2">
        <w:rPr>
          <w:color w:val="auto"/>
        </w:rPr>
        <w:t>.</w:t>
      </w:r>
      <w:r w:rsidR="00A14A75">
        <w:rPr>
          <w:color w:val="auto"/>
        </w:rPr>
        <w:t xml:space="preserve"> </w:t>
      </w:r>
      <w:r w:rsidR="00B8330E">
        <w:rPr>
          <w:color w:val="auto"/>
        </w:rPr>
        <w:t xml:space="preserve"> </w:t>
      </w:r>
    </w:p>
    <w:p w:rsidR="00F1598A" w:rsidRDefault="00701FAC" w:rsidP="00701FAC">
      <w:pPr>
        <w:spacing w:line="480" w:lineRule="auto"/>
        <w:ind w:firstLine="720"/>
        <w:jc w:val="both"/>
        <w:rPr>
          <w:color w:val="auto"/>
        </w:rPr>
      </w:pPr>
      <w:r w:rsidRPr="000E08CD">
        <w:rPr>
          <w:color w:val="auto"/>
        </w:rPr>
        <w:t>The overall trend infers RL referees arrive euhydrated</w:t>
      </w:r>
      <w:r w:rsidR="00695BE4">
        <w:rPr>
          <w:color w:val="auto"/>
        </w:rPr>
        <w:t xml:space="preserve">, similar to </w:t>
      </w:r>
      <w:r w:rsidR="00AD69FD">
        <w:rPr>
          <w:color w:val="auto"/>
        </w:rPr>
        <w:t>RL</w:t>
      </w:r>
      <w:r w:rsidR="00695BE4">
        <w:rPr>
          <w:color w:val="auto"/>
        </w:rPr>
        <w:t xml:space="preserve"> players</w:t>
      </w:r>
      <w:r w:rsidRPr="000E08CD">
        <w:rPr>
          <w:color w:val="auto"/>
        </w:rPr>
        <w:t xml:space="preserve"> (396 ± 252 mOsmol·kg</w:t>
      </w:r>
      <w:r w:rsidRPr="000E08CD">
        <w:rPr>
          <w:color w:val="auto"/>
          <w:vertAlign w:val="superscript"/>
        </w:rPr>
        <w:t>-1</w:t>
      </w:r>
      <w:r w:rsidR="001F2154">
        <w:rPr>
          <w:color w:val="auto"/>
        </w:rPr>
        <w:t xml:space="preserve"> </w:t>
      </w:r>
      <w:r w:rsidR="0089067C">
        <w:rPr>
          <w:color w:val="auto"/>
        </w:rPr>
        <w:t>[</w:t>
      </w:r>
      <w:r w:rsidR="00BB5134">
        <w:rPr>
          <w:color w:val="auto"/>
        </w:rPr>
        <w:t>5</w:t>
      </w:r>
      <w:r w:rsidR="0089067C">
        <w:rPr>
          <w:color w:val="auto"/>
        </w:rPr>
        <w:t>]</w:t>
      </w:r>
      <w:r w:rsidRPr="000E08CD">
        <w:rPr>
          <w:color w:val="auto"/>
        </w:rPr>
        <w:t xml:space="preserve">). Interestingly, </w:t>
      </w:r>
      <w:r w:rsidR="000E08CD">
        <w:rPr>
          <w:color w:val="auto"/>
        </w:rPr>
        <w:t xml:space="preserve">when comparing RL referees to RL players, </w:t>
      </w:r>
      <w:r w:rsidRPr="000E08CD">
        <w:rPr>
          <w:color w:val="auto"/>
        </w:rPr>
        <w:t xml:space="preserve">there appears to be differing prematch fluid intake habits (0.444 ± 0.167 kg </w:t>
      </w:r>
      <w:r w:rsidRPr="00FF22AF">
        <w:rPr>
          <w:i/>
          <w:color w:val="auto"/>
        </w:rPr>
        <w:t>vs.</w:t>
      </w:r>
      <w:r w:rsidRPr="000E08CD">
        <w:rPr>
          <w:color w:val="auto"/>
        </w:rPr>
        <w:t xml:space="preserve"> 0.91 ± 0.53 L</w:t>
      </w:r>
      <w:r w:rsidR="001F2154">
        <w:rPr>
          <w:color w:val="auto"/>
        </w:rPr>
        <w:t xml:space="preserve"> </w:t>
      </w:r>
      <w:r w:rsidR="0089067C">
        <w:rPr>
          <w:color w:val="auto"/>
        </w:rPr>
        <w:t>[</w:t>
      </w:r>
      <w:r w:rsidR="00BB5134">
        <w:rPr>
          <w:color w:val="auto"/>
        </w:rPr>
        <w:t>5</w:t>
      </w:r>
      <w:r w:rsidR="0089067C">
        <w:rPr>
          <w:color w:val="auto"/>
        </w:rPr>
        <w:t>]</w:t>
      </w:r>
      <w:r w:rsidRPr="000E08CD">
        <w:rPr>
          <w:color w:val="auto"/>
        </w:rPr>
        <w:t>) despite both cohorts arriving euhydrated (UOsmol &lt;700 mOsmol</w:t>
      </w:r>
      <w:r w:rsidR="00716391">
        <w:rPr>
          <w:color w:val="auto"/>
        </w:rPr>
        <w:t>·</w:t>
      </w:r>
      <w:r w:rsidRPr="000E08CD">
        <w:rPr>
          <w:color w:val="auto"/>
        </w:rPr>
        <w:t>kg</w:t>
      </w:r>
      <w:r w:rsidRPr="000E08CD">
        <w:rPr>
          <w:color w:val="auto"/>
          <w:vertAlign w:val="superscript"/>
        </w:rPr>
        <w:t>-1</w:t>
      </w:r>
      <w:r w:rsidR="00BC2EC6">
        <w:rPr>
          <w:color w:val="auto"/>
        </w:rPr>
        <w:t xml:space="preserve"> </w:t>
      </w:r>
      <w:r w:rsidR="0089067C">
        <w:rPr>
          <w:color w:val="auto"/>
        </w:rPr>
        <w:t>[</w:t>
      </w:r>
      <w:r w:rsidR="00BB5134">
        <w:rPr>
          <w:color w:val="auto"/>
        </w:rPr>
        <w:t>15</w:t>
      </w:r>
      <w:r w:rsidR="0089067C">
        <w:rPr>
          <w:color w:val="auto"/>
        </w:rPr>
        <w:t>]</w:t>
      </w:r>
      <w:r w:rsidR="00DE6432">
        <w:rPr>
          <w:color w:val="auto"/>
        </w:rPr>
        <w:t>)</w:t>
      </w:r>
      <w:r w:rsidRPr="000E08CD">
        <w:rPr>
          <w:color w:val="auto"/>
        </w:rPr>
        <w:t xml:space="preserve">. </w:t>
      </w:r>
      <w:r w:rsidR="000E08CD">
        <w:rPr>
          <w:color w:val="auto"/>
        </w:rPr>
        <w:t>I</w:t>
      </w:r>
      <w:r w:rsidRPr="000E08CD">
        <w:rPr>
          <w:color w:val="auto"/>
        </w:rPr>
        <w:t xml:space="preserve">t is not clear why prematch fluid intake is different (thirst or </w:t>
      </w:r>
      <w:r w:rsidR="00D004E3">
        <w:rPr>
          <w:color w:val="auto"/>
        </w:rPr>
        <w:t>strategy</w:t>
      </w:r>
      <w:r w:rsidRPr="000E08CD">
        <w:rPr>
          <w:color w:val="auto"/>
        </w:rPr>
        <w:t>)</w:t>
      </w:r>
      <w:r w:rsidR="00695BE4">
        <w:rPr>
          <w:color w:val="auto"/>
        </w:rPr>
        <w:t xml:space="preserve"> or indeed if this would have an effect on the subsequent activity</w:t>
      </w:r>
      <w:r w:rsidRPr="000E08CD">
        <w:rPr>
          <w:color w:val="auto"/>
        </w:rPr>
        <w:t xml:space="preserve">. The greater prematch fluid intake </w:t>
      </w:r>
      <w:r w:rsidR="00695BE4" w:rsidRPr="000E08CD">
        <w:rPr>
          <w:color w:val="auto"/>
        </w:rPr>
        <w:t>in RL players than referees</w:t>
      </w:r>
      <w:r w:rsidR="00B8330E">
        <w:rPr>
          <w:color w:val="auto"/>
        </w:rPr>
        <w:t xml:space="preserve"> does</w:t>
      </w:r>
      <w:r w:rsidR="00695BE4" w:rsidRPr="000E08CD">
        <w:rPr>
          <w:color w:val="auto"/>
        </w:rPr>
        <w:t xml:space="preserve"> </w:t>
      </w:r>
      <w:r w:rsidRPr="000E08CD">
        <w:rPr>
          <w:color w:val="auto"/>
        </w:rPr>
        <w:t xml:space="preserve">reconcile with the </w:t>
      </w:r>
      <w:r w:rsidR="00695BE4" w:rsidRPr="000E08CD">
        <w:rPr>
          <w:color w:val="auto"/>
        </w:rPr>
        <w:t>lower prematch UOsmol</w:t>
      </w:r>
      <w:r w:rsidR="0074475F">
        <w:rPr>
          <w:color w:val="auto"/>
        </w:rPr>
        <w:t xml:space="preserve"> </w:t>
      </w:r>
      <w:r w:rsidR="0089067C">
        <w:rPr>
          <w:color w:val="auto"/>
        </w:rPr>
        <w:t>[</w:t>
      </w:r>
      <w:r w:rsidR="00BB5134">
        <w:rPr>
          <w:color w:val="auto"/>
        </w:rPr>
        <w:t>5</w:t>
      </w:r>
      <w:r w:rsidR="0089067C">
        <w:rPr>
          <w:color w:val="auto"/>
        </w:rPr>
        <w:t>]</w:t>
      </w:r>
      <w:r w:rsidR="0074475F">
        <w:rPr>
          <w:color w:val="auto"/>
        </w:rPr>
        <w:t>,</w:t>
      </w:r>
      <w:r w:rsidR="00695BE4" w:rsidRPr="000E08CD">
        <w:rPr>
          <w:color w:val="auto"/>
        </w:rPr>
        <w:t xml:space="preserve"> i.e. a greater fluid intake would result in a more dilute UOsmol due to fluid turnover or paradoxical diuresis</w:t>
      </w:r>
      <w:r w:rsidR="00BC2EC6">
        <w:rPr>
          <w:color w:val="auto"/>
        </w:rPr>
        <w:t xml:space="preserve"> </w:t>
      </w:r>
      <w:r w:rsidR="0089067C">
        <w:rPr>
          <w:color w:val="auto"/>
        </w:rPr>
        <w:t>[</w:t>
      </w:r>
      <w:r w:rsidR="00BB5134">
        <w:rPr>
          <w:color w:val="auto"/>
        </w:rPr>
        <w:t>20</w:t>
      </w:r>
      <w:r w:rsidR="0089067C">
        <w:rPr>
          <w:color w:val="auto"/>
        </w:rPr>
        <w:t>]</w:t>
      </w:r>
      <w:r w:rsidR="0074475F">
        <w:rPr>
          <w:color w:val="auto"/>
        </w:rPr>
        <w:t>.</w:t>
      </w:r>
    </w:p>
    <w:p w:rsidR="00AB011A" w:rsidRPr="000E08CD" w:rsidRDefault="0074475F" w:rsidP="005F7CA3">
      <w:pPr>
        <w:spacing w:line="480" w:lineRule="auto"/>
        <w:ind w:firstLine="720"/>
        <w:jc w:val="both"/>
        <w:rPr>
          <w:color w:val="auto"/>
        </w:rPr>
      </w:pPr>
      <w:r>
        <w:rPr>
          <w:color w:val="auto"/>
        </w:rPr>
        <w:t>BM</w:t>
      </w:r>
      <w:r w:rsidR="00614D39" w:rsidRPr="00837675">
        <w:rPr>
          <w:color w:val="auto"/>
        </w:rPr>
        <w:t xml:space="preserve"> change</w:t>
      </w:r>
      <w:r w:rsidR="00192243" w:rsidRPr="00837675">
        <w:rPr>
          <w:color w:val="auto"/>
        </w:rPr>
        <w:t xml:space="preserve"> during exercise is less in RL referees than soccer referees</w:t>
      </w:r>
      <w:r>
        <w:rPr>
          <w:color w:val="auto"/>
        </w:rPr>
        <w:t xml:space="preserve"> (</w:t>
      </w:r>
      <w:r w:rsidRPr="00837675">
        <w:rPr>
          <w:color w:val="auto"/>
        </w:rPr>
        <w:t xml:space="preserve">-1.55 </w:t>
      </w:r>
      <w:r w:rsidRPr="007260CA">
        <w:rPr>
          <w:color w:val="auto"/>
        </w:rPr>
        <w:t>(</w:t>
      </w:r>
      <w:r w:rsidRPr="00837675">
        <w:rPr>
          <w:color w:val="auto"/>
        </w:rPr>
        <w:t>0.</w:t>
      </w:r>
      <w:r w:rsidRPr="007260CA">
        <w:rPr>
          <w:color w:val="auto"/>
        </w:rPr>
        <w:t>1</w:t>
      </w:r>
      <w:r w:rsidRPr="00837675">
        <w:rPr>
          <w:color w:val="auto"/>
        </w:rPr>
        <w:t>2</w:t>
      </w:r>
      <w:r w:rsidRPr="007260CA">
        <w:rPr>
          <w:color w:val="auto"/>
        </w:rPr>
        <w:t>)</w:t>
      </w:r>
      <w:r w:rsidRPr="00837675">
        <w:rPr>
          <w:color w:val="auto"/>
        </w:rPr>
        <w:t>%</w:t>
      </w:r>
      <w:r>
        <w:rPr>
          <w:color w:val="auto"/>
        </w:rPr>
        <w:t>)</w:t>
      </w:r>
      <w:r w:rsidR="00192243" w:rsidRPr="00837675">
        <w:rPr>
          <w:color w:val="auto"/>
        </w:rPr>
        <w:t xml:space="preserve">, </w:t>
      </w:r>
      <w:r w:rsidR="001F7C52" w:rsidRPr="00837675">
        <w:rPr>
          <w:color w:val="auto"/>
        </w:rPr>
        <w:t xml:space="preserve">despite similarities </w:t>
      </w:r>
      <w:r w:rsidR="00192243" w:rsidRPr="00837675">
        <w:rPr>
          <w:color w:val="auto"/>
        </w:rPr>
        <w:t xml:space="preserve">in </w:t>
      </w:r>
      <w:r w:rsidR="001F7C52" w:rsidRPr="00837675">
        <w:rPr>
          <w:color w:val="auto"/>
        </w:rPr>
        <w:t xml:space="preserve">environmental </w:t>
      </w:r>
      <w:r w:rsidR="00192243" w:rsidRPr="00837675">
        <w:rPr>
          <w:color w:val="auto"/>
        </w:rPr>
        <w:t>conditions between the respective studies</w:t>
      </w:r>
      <w:r w:rsidR="001F7C52" w:rsidRPr="00837675">
        <w:rPr>
          <w:color w:val="auto"/>
        </w:rPr>
        <w:t xml:space="preserve"> </w:t>
      </w:r>
      <w:r w:rsidR="00AA2D27" w:rsidRPr="00837675">
        <w:rPr>
          <w:color w:val="auto"/>
        </w:rPr>
        <w:t xml:space="preserve">(20.3 </w:t>
      </w:r>
      <w:r w:rsidR="00837675" w:rsidRPr="0051001B">
        <w:rPr>
          <w:color w:val="auto"/>
        </w:rPr>
        <w:t>(</w:t>
      </w:r>
      <w:r w:rsidR="00AA2D27" w:rsidRPr="00837675">
        <w:rPr>
          <w:color w:val="auto"/>
        </w:rPr>
        <w:t>1.1</w:t>
      </w:r>
      <w:r w:rsidR="00837675" w:rsidRPr="0051001B">
        <w:rPr>
          <w:color w:val="auto"/>
        </w:rPr>
        <w:t>)</w:t>
      </w:r>
      <w:r w:rsidR="00AA2D27" w:rsidRPr="00837675">
        <w:rPr>
          <w:color w:val="auto"/>
          <w:vertAlign w:val="superscript"/>
        </w:rPr>
        <w:t>o</w:t>
      </w:r>
      <w:r w:rsidR="000309B2" w:rsidRPr="00837675">
        <w:rPr>
          <w:color w:val="auto"/>
        </w:rPr>
        <w:t>C</w:t>
      </w:r>
      <w:r w:rsidR="00AA2D27" w:rsidRPr="00837675">
        <w:rPr>
          <w:color w:val="auto"/>
        </w:rPr>
        <w:t xml:space="preserve"> </w:t>
      </w:r>
      <w:r w:rsidR="0089067C">
        <w:rPr>
          <w:color w:val="auto"/>
        </w:rPr>
        <w:t>[</w:t>
      </w:r>
      <w:r w:rsidR="00BB5134">
        <w:rPr>
          <w:color w:val="auto"/>
        </w:rPr>
        <w:t>21</w:t>
      </w:r>
      <w:r w:rsidR="0089067C">
        <w:rPr>
          <w:color w:val="auto"/>
        </w:rPr>
        <w:t>]</w:t>
      </w:r>
      <w:r w:rsidR="001F7C52" w:rsidRPr="00837675">
        <w:rPr>
          <w:color w:val="auto"/>
        </w:rPr>
        <w:t>)</w:t>
      </w:r>
      <w:r w:rsidR="00AA2D27" w:rsidRPr="00837675">
        <w:rPr>
          <w:color w:val="auto"/>
        </w:rPr>
        <w:t xml:space="preserve">. </w:t>
      </w:r>
      <w:r w:rsidR="001F7C52" w:rsidRPr="00837675">
        <w:rPr>
          <w:color w:val="auto"/>
        </w:rPr>
        <w:t>T</w:t>
      </w:r>
      <w:r w:rsidR="00AA2D27" w:rsidRPr="00837675">
        <w:rPr>
          <w:color w:val="auto"/>
        </w:rPr>
        <w:t xml:space="preserve">he difference in </w:t>
      </w:r>
      <w:r w:rsidR="00837675" w:rsidRPr="0051001B">
        <w:rPr>
          <w:color w:val="auto"/>
        </w:rPr>
        <w:t>BM</w:t>
      </w:r>
      <w:r w:rsidR="00614D39" w:rsidRPr="00837675">
        <w:rPr>
          <w:color w:val="auto"/>
        </w:rPr>
        <w:t xml:space="preserve"> change</w:t>
      </w:r>
      <w:r w:rsidR="00AA2D27" w:rsidRPr="00837675">
        <w:rPr>
          <w:color w:val="auto"/>
        </w:rPr>
        <w:t xml:space="preserve"> is likely a result of a </w:t>
      </w:r>
      <w:r w:rsidR="00614D39" w:rsidRPr="00837675">
        <w:rPr>
          <w:color w:val="auto"/>
        </w:rPr>
        <w:t>lower fluid loss</w:t>
      </w:r>
      <w:r w:rsidR="001F7C52" w:rsidRPr="00837675">
        <w:rPr>
          <w:color w:val="auto"/>
        </w:rPr>
        <w:t xml:space="preserve"> and greater fluid intake </w:t>
      </w:r>
      <w:r w:rsidR="001F7C52" w:rsidRPr="00837675">
        <w:rPr>
          <w:color w:val="auto"/>
        </w:rPr>
        <w:lastRenderedPageBreak/>
        <w:t xml:space="preserve">during match play in RL than soccer referees </w:t>
      </w:r>
      <w:r w:rsidR="00AA2D27" w:rsidRPr="00837675">
        <w:rPr>
          <w:color w:val="auto"/>
        </w:rPr>
        <w:t xml:space="preserve">(1.60 ± </w:t>
      </w:r>
      <w:r w:rsidR="00837675" w:rsidRPr="0051001B">
        <w:rPr>
          <w:color w:val="auto"/>
        </w:rPr>
        <w:t>(</w:t>
      </w:r>
      <w:r w:rsidR="00AA2D27" w:rsidRPr="00837675">
        <w:rPr>
          <w:color w:val="auto"/>
        </w:rPr>
        <w:t>0.</w:t>
      </w:r>
      <w:r w:rsidR="00837675" w:rsidRPr="0051001B">
        <w:rPr>
          <w:color w:val="auto"/>
        </w:rPr>
        <w:t>1</w:t>
      </w:r>
      <w:r w:rsidR="00AA2D27" w:rsidRPr="00837675">
        <w:rPr>
          <w:color w:val="auto"/>
        </w:rPr>
        <w:t>3</w:t>
      </w:r>
      <w:r w:rsidR="00837675" w:rsidRPr="0051001B">
        <w:rPr>
          <w:color w:val="auto"/>
        </w:rPr>
        <w:t>)</w:t>
      </w:r>
      <w:r w:rsidR="005D7BCF">
        <w:rPr>
          <w:color w:val="auto"/>
        </w:rPr>
        <w:t xml:space="preserve"> and </w:t>
      </w:r>
      <w:r w:rsidR="005D7BCF" w:rsidRPr="00837675">
        <w:rPr>
          <w:color w:val="auto"/>
        </w:rPr>
        <w:t xml:space="preserve">0.32 L (0.06) </w:t>
      </w:r>
      <w:r w:rsidR="0089067C">
        <w:rPr>
          <w:color w:val="auto"/>
        </w:rPr>
        <w:t>[</w:t>
      </w:r>
      <w:r w:rsidR="00BB5134">
        <w:rPr>
          <w:color w:val="auto"/>
        </w:rPr>
        <w:t>21</w:t>
      </w:r>
      <w:r w:rsidR="0089067C">
        <w:rPr>
          <w:color w:val="auto"/>
        </w:rPr>
        <w:t>]</w:t>
      </w:r>
      <w:r w:rsidR="001F7C52" w:rsidRPr="00837675">
        <w:rPr>
          <w:color w:val="auto"/>
        </w:rPr>
        <w:t>)</w:t>
      </w:r>
      <w:r w:rsidR="00AA2D27" w:rsidRPr="00837675">
        <w:rPr>
          <w:color w:val="auto"/>
        </w:rPr>
        <w:t xml:space="preserve">. The difference in </w:t>
      </w:r>
      <w:r w:rsidR="00614D39" w:rsidRPr="00837675">
        <w:rPr>
          <w:color w:val="auto"/>
        </w:rPr>
        <w:t>fluid loss</w:t>
      </w:r>
      <w:r w:rsidR="00AA2D27" w:rsidRPr="00837675">
        <w:rPr>
          <w:color w:val="auto"/>
        </w:rPr>
        <w:t xml:space="preserve"> would be attributed to the </w:t>
      </w:r>
      <w:r w:rsidR="001F7C52" w:rsidRPr="00837675">
        <w:rPr>
          <w:color w:val="auto"/>
        </w:rPr>
        <w:t xml:space="preserve">lower total distance covered by RL than football referees </w:t>
      </w:r>
      <w:r w:rsidR="00AA2D27" w:rsidRPr="00837675">
        <w:rPr>
          <w:color w:val="auto"/>
        </w:rPr>
        <w:t>(8</w:t>
      </w:r>
      <w:r w:rsidR="00C97FE2" w:rsidRPr="00837675">
        <w:rPr>
          <w:color w:val="auto"/>
        </w:rPr>
        <w:t>,</w:t>
      </w:r>
      <w:r w:rsidR="00AA2D27" w:rsidRPr="00837675">
        <w:rPr>
          <w:color w:val="auto"/>
        </w:rPr>
        <w:t xml:space="preserve">951 ± 746 m </w:t>
      </w:r>
      <w:r w:rsidR="0089067C">
        <w:rPr>
          <w:color w:val="auto"/>
        </w:rPr>
        <w:t>[</w:t>
      </w:r>
      <w:r w:rsidR="008A2D9D">
        <w:rPr>
          <w:color w:val="auto"/>
        </w:rPr>
        <w:t>2</w:t>
      </w:r>
      <w:r w:rsidR="0089067C">
        <w:rPr>
          <w:color w:val="auto"/>
        </w:rPr>
        <w:t>]</w:t>
      </w:r>
      <w:r w:rsidR="00BC2EC6" w:rsidRPr="00837675">
        <w:rPr>
          <w:color w:val="auto"/>
        </w:rPr>
        <w:t xml:space="preserve"> </w:t>
      </w:r>
      <w:r w:rsidR="00AA2D27" w:rsidRPr="00FF22AF">
        <w:rPr>
          <w:i/>
          <w:color w:val="auto"/>
        </w:rPr>
        <w:t>vs.</w:t>
      </w:r>
      <w:r w:rsidR="00AA2D27" w:rsidRPr="00837675">
        <w:rPr>
          <w:color w:val="auto"/>
        </w:rPr>
        <w:t xml:space="preserve"> 11</w:t>
      </w:r>
      <w:r w:rsidR="00C97FE2" w:rsidRPr="00837675">
        <w:rPr>
          <w:color w:val="auto"/>
        </w:rPr>
        <w:t>,</w:t>
      </w:r>
      <w:r w:rsidR="00AA2D27" w:rsidRPr="00837675">
        <w:rPr>
          <w:color w:val="auto"/>
        </w:rPr>
        <w:t>770 ± 808 m</w:t>
      </w:r>
      <w:r w:rsidR="00BC2EC6" w:rsidRPr="00837675">
        <w:rPr>
          <w:color w:val="auto"/>
        </w:rPr>
        <w:t xml:space="preserve"> </w:t>
      </w:r>
      <w:r w:rsidR="0089067C">
        <w:rPr>
          <w:color w:val="auto"/>
        </w:rPr>
        <w:t>[</w:t>
      </w:r>
      <w:r w:rsidR="008A2D9D">
        <w:rPr>
          <w:color w:val="auto"/>
        </w:rPr>
        <w:t>12</w:t>
      </w:r>
      <w:r w:rsidR="0089067C">
        <w:rPr>
          <w:color w:val="auto"/>
        </w:rPr>
        <w:t>]</w:t>
      </w:r>
      <w:r w:rsidR="000C3420" w:rsidRPr="00837675">
        <w:rPr>
          <w:color w:val="auto"/>
        </w:rPr>
        <w:t>), although i</w:t>
      </w:r>
      <w:r w:rsidR="00AA2D27" w:rsidRPr="00837675">
        <w:rPr>
          <w:color w:val="auto"/>
        </w:rPr>
        <w:t xml:space="preserve">t is not clear </w:t>
      </w:r>
      <w:r w:rsidR="000C3420" w:rsidRPr="00837675">
        <w:rPr>
          <w:color w:val="auto"/>
        </w:rPr>
        <w:t xml:space="preserve">if </w:t>
      </w:r>
      <w:r w:rsidR="00AA2D27" w:rsidRPr="00837675">
        <w:rPr>
          <w:color w:val="auto"/>
        </w:rPr>
        <w:t xml:space="preserve">the difference in fluid intake was due to </w:t>
      </w:r>
      <w:r w:rsidR="000C3420" w:rsidRPr="00837675">
        <w:rPr>
          <w:color w:val="auto"/>
        </w:rPr>
        <w:t>the available opportunities to consume fluid, determined by match rulings</w:t>
      </w:r>
      <w:r w:rsidR="00837675">
        <w:rPr>
          <w:color w:val="auto"/>
        </w:rPr>
        <w:t xml:space="preserve"> (i.e. video referee discussions in RL matches)</w:t>
      </w:r>
      <w:r w:rsidR="00AA2D27" w:rsidRPr="00837675">
        <w:rPr>
          <w:color w:val="auto"/>
        </w:rPr>
        <w:t xml:space="preserve">. </w:t>
      </w:r>
    </w:p>
    <w:p w:rsidR="00A90FA4" w:rsidRDefault="00353A3A">
      <w:pPr>
        <w:spacing w:line="480" w:lineRule="auto"/>
        <w:ind w:firstLine="720"/>
        <w:jc w:val="both"/>
        <w:rPr>
          <w:color w:val="auto"/>
        </w:rPr>
      </w:pPr>
      <w:r>
        <w:rPr>
          <w:color w:val="auto"/>
        </w:rPr>
        <w:t xml:space="preserve">A focus for practitioners should be ensuring that all referees arrive euhydrated, </w:t>
      </w:r>
      <w:r w:rsidR="00AA2D27" w:rsidRPr="000E08CD">
        <w:rPr>
          <w:color w:val="auto"/>
        </w:rPr>
        <w:t>as contrary to mean observations, 10</w:t>
      </w:r>
      <w:r w:rsidR="00AF39EC">
        <w:rPr>
          <w:color w:val="auto"/>
        </w:rPr>
        <w:t>%</w:t>
      </w:r>
      <w:r w:rsidR="00AA2D27" w:rsidRPr="000E08CD">
        <w:rPr>
          <w:color w:val="auto"/>
        </w:rPr>
        <w:t xml:space="preserve"> and 13% of referees arrived moderately and severely hypohydrated. An example of this was for referee 1, who was habitually severely hypohydrated (mean 919 ± 265 mOsmol</w:t>
      </w:r>
      <w:r w:rsidR="00614D39">
        <w:rPr>
          <w:color w:val="auto"/>
        </w:rPr>
        <w:t>·</w:t>
      </w:r>
      <w:r w:rsidR="00AA2D27" w:rsidRPr="000E08CD">
        <w:rPr>
          <w:color w:val="auto"/>
        </w:rPr>
        <w:t>kg</w:t>
      </w:r>
      <w:r w:rsidR="00AA2D27" w:rsidRPr="000E08CD">
        <w:rPr>
          <w:color w:val="auto"/>
          <w:vertAlign w:val="superscript"/>
        </w:rPr>
        <w:t>-1</w:t>
      </w:r>
      <w:r w:rsidR="00AA2D27" w:rsidRPr="000E08CD">
        <w:rPr>
          <w:color w:val="auto"/>
        </w:rPr>
        <w:t xml:space="preserve">) on arrival. Although the performance </w:t>
      </w:r>
      <w:r w:rsidR="000C3420">
        <w:rPr>
          <w:color w:val="auto"/>
        </w:rPr>
        <w:t>of</w:t>
      </w:r>
      <w:r w:rsidR="00AA2D27" w:rsidRPr="000E08CD">
        <w:rPr>
          <w:color w:val="auto"/>
        </w:rPr>
        <w:t xml:space="preserve"> the referees was not quantified, the literature would suggest that starting exercise hypohydrated may be suboptimal</w:t>
      </w:r>
      <w:r w:rsidR="00BC2EC6">
        <w:rPr>
          <w:color w:val="auto"/>
        </w:rPr>
        <w:t xml:space="preserve"> </w:t>
      </w:r>
      <w:r w:rsidR="0089067C">
        <w:rPr>
          <w:color w:val="auto"/>
        </w:rPr>
        <w:t>[</w:t>
      </w:r>
      <w:r w:rsidR="008A2D9D">
        <w:rPr>
          <w:color w:val="auto"/>
        </w:rPr>
        <w:t>10</w:t>
      </w:r>
      <w:r w:rsidR="0089067C">
        <w:rPr>
          <w:color w:val="auto"/>
        </w:rPr>
        <w:t>]</w:t>
      </w:r>
      <w:r w:rsidR="00AA2D27" w:rsidRPr="000E08CD">
        <w:rPr>
          <w:color w:val="auto"/>
        </w:rPr>
        <w:t xml:space="preserve">. Equally, the volume of fluid consumed during the pre-match period would not be adequate to replace the fluid deficit. For example, referee 1 </w:t>
      </w:r>
      <w:r w:rsidR="001C744D">
        <w:rPr>
          <w:color w:val="auto"/>
        </w:rPr>
        <w:t>wa</w:t>
      </w:r>
      <w:r w:rsidR="00AA2D27" w:rsidRPr="000E08CD">
        <w:rPr>
          <w:color w:val="auto"/>
        </w:rPr>
        <w:t xml:space="preserve">s approximately 2% dehydrated according to </w:t>
      </w:r>
      <w:r w:rsidR="00FB0FA6" w:rsidRPr="000E08CD">
        <w:rPr>
          <w:color w:val="auto"/>
        </w:rPr>
        <w:t>UOsmol</w:t>
      </w:r>
      <w:r w:rsidR="00BC2EC6">
        <w:rPr>
          <w:color w:val="auto"/>
        </w:rPr>
        <w:t xml:space="preserve"> </w:t>
      </w:r>
      <w:r w:rsidR="0089067C">
        <w:rPr>
          <w:color w:val="auto"/>
        </w:rPr>
        <w:t>[</w:t>
      </w:r>
      <w:r w:rsidR="00FE188E">
        <w:rPr>
          <w:color w:val="auto"/>
        </w:rPr>
        <w:t>1</w:t>
      </w:r>
      <w:r w:rsidR="008A2D9D">
        <w:rPr>
          <w:color w:val="auto"/>
        </w:rPr>
        <w:t>5</w:t>
      </w:r>
      <w:r w:rsidR="0089067C">
        <w:rPr>
          <w:color w:val="auto"/>
        </w:rPr>
        <w:t>]</w:t>
      </w:r>
      <w:r w:rsidR="00AA2D27" w:rsidRPr="000E08CD">
        <w:rPr>
          <w:color w:val="auto"/>
        </w:rPr>
        <w:t>, thus ha</w:t>
      </w:r>
      <w:r w:rsidR="001C744D">
        <w:rPr>
          <w:color w:val="auto"/>
        </w:rPr>
        <w:t>d</w:t>
      </w:r>
      <w:r w:rsidR="00AA2D27" w:rsidRPr="000E08CD">
        <w:rPr>
          <w:color w:val="auto"/>
        </w:rPr>
        <w:t xml:space="preserve"> a fluid deficit of approximately 1.6 kg. The pre-match fluid intake </w:t>
      </w:r>
      <w:r w:rsidR="007B58FF">
        <w:rPr>
          <w:color w:val="auto"/>
        </w:rPr>
        <w:t>(</w:t>
      </w:r>
      <w:r w:rsidR="00AA2D27" w:rsidRPr="000E08CD">
        <w:rPr>
          <w:color w:val="auto"/>
        </w:rPr>
        <w:t>349 ± 40 g</w:t>
      </w:r>
      <w:r w:rsidR="007B58FF">
        <w:rPr>
          <w:color w:val="auto"/>
        </w:rPr>
        <w:t>)</w:t>
      </w:r>
      <w:r w:rsidR="00AA2D27" w:rsidRPr="000E08CD">
        <w:rPr>
          <w:color w:val="auto"/>
        </w:rPr>
        <w:t xml:space="preserve"> and urine output </w:t>
      </w:r>
      <w:r w:rsidR="007B58FF">
        <w:rPr>
          <w:color w:val="auto"/>
        </w:rPr>
        <w:t>(</w:t>
      </w:r>
      <w:r w:rsidR="00AA2D27" w:rsidRPr="000E08CD">
        <w:rPr>
          <w:color w:val="auto"/>
        </w:rPr>
        <w:t>180 ± 152 g</w:t>
      </w:r>
      <w:r w:rsidR="007B58FF">
        <w:rPr>
          <w:color w:val="auto"/>
        </w:rPr>
        <w:t>)</w:t>
      </w:r>
      <w:r w:rsidR="00AA2D27" w:rsidRPr="000E08CD">
        <w:rPr>
          <w:color w:val="auto"/>
        </w:rPr>
        <w:t xml:space="preserve"> does not reconcile with a return to euhydrated state (based on</w:t>
      </w:r>
      <w:r w:rsidR="000309B2">
        <w:rPr>
          <w:color w:val="auto"/>
        </w:rPr>
        <w:t xml:space="preserve"> </w:t>
      </w:r>
      <w:r w:rsidR="00406382">
        <w:rPr>
          <w:color w:val="auto"/>
        </w:rPr>
        <w:t>BM</w:t>
      </w:r>
      <w:r w:rsidR="00837675">
        <w:rPr>
          <w:color w:val="auto"/>
        </w:rPr>
        <w:t xml:space="preserve"> change</w:t>
      </w:r>
      <w:r w:rsidR="00AA2D27" w:rsidRPr="000E08CD">
        <w:rPr>
          <w:color w:val="auto"/>
        </w:rPr>
        <w:t xml:space="preserve">). Despite this, pre-match and half-time </w:t>
      </w:r>
      <w:r w:rsidR="00FB0FA6" w:rsidRPr="000E08CD">
        <w:rPr>
          <w:color w:val="auto"/>
        </w:rPr>
        <w:t>UOsmol</w:t>
      </w:r>
      <w:r w:rsidR="000309B2">
        <w:rPr>
          <w:color w:val="auto"/>
        </w:rPr>
        <w:t xml:space="preserve"> (688 ± 40 and 230 ± 29 mOsmol</w:t>
      </w:r>
      <w:r w:rsidR="00614D39">
        <w:rPr>
          <w:color w:val="auto"/>
        </w:rPr>
        <w:t>·</w:t>
      </w:r>
      <w:r w:rsidR="000309B2">
        <w:rPr>
          <w:color w:val="auto"/>
        </w:rPr>
        <w:t>k</w:t>
      </w:r>
      <w:r w:rsidR="00AA2D27" w:rsidRPr="000E08CD">
        <w:rPr>
          <w:color w:val="auto"/>
        </w:rPr>
        <w:t>g</w:t>
      </w:r>
      <w:r w:rsidR="00AA2D27" w:rsidRPr="000E08CD">
        <w:rPr>
          <w:color w:val="auto"/>
          <w:vertAlign w:val="superscript"/>
        </w:rPr>
        <w:t>-1</w:t>
      </w:r>
      <w:r w:rsidR="00AA2D27" w:rsidRPr="000E08CD">
        <w:rPr>
          <w:color w:val="auto"/>
        </w:rPr>
        <w:t xml:space="preserve">) would suggest that he was euhydrated, although this would not be possible given the hydration status on arrival and further </w:t>
      </w:r>
      <w:r w:rsidR="00406382">
        <w:rPr>
          <w:color w:val="auto"/>
        </w:rPr>
        <w:t>BM</w:t>
      </w:r>
      <w:r w:rsidR="00614D39">
        <w:rPr>
          <w:color w:val="auto"/>
        </w:rPr>
        <w:t xml:space="preserve"> change</w:t>
      </w:r>
      <w:r w:rsidR="00AA2D27" w:rsidRPr="000E08CD">
        <w:rPr>
          <w:color w:val="auto"/>
        </w:rPr>
        <w:t xml:space="preserve"> </w:t>
      </w:r>
      <w:r w:rsidR="00CB51A1" w:rsidRPr="000E08CD">
        <w:rPr>
          <w:color w:val="auto"/>
        </w:rPr>
        <w:t>(</w:t>
      </w:r>
      <w:r w:rsidR="00AA2D27" w:rsidRPr="000E08CD">
        <w:rPr>
          <w:color w:val="auto"/>
        </w:rPr>
        <w:t>-0.4 ± 0.7%</w:t>
      </w:r>
      <w:r w:rsidR="00CB51A1" w:rsidRPr="000E08CD">
        <w:rPr>
          <w:color w:val="auto"/>
        </w:rPr>
        <w:t>)</w:t>
      </w:r>
      <w:r w:rsidR="00AA2D27" w:rsidRPr="000E08CD">
        <w:rPr>
          <w:color w:val="auto"/>
        </w:rPr>
        <w:t xml:space="preserve">. </w:t>
      </w:r>
      <w:r w:rsidR="007B58FF">
        <w:rPr>
          <w:color w:val="auto"/>
        </w:rPr>
        <w:t xml:space="preserve">Contrary to the fact </w:t>
      </w:r>
      <w:r w:rsidR="000C3420">
        <w:rPr>
          <w:color w:val="auto"/>
        </w:rPr>
        <w:t xml:space="preserve">arrival hydration status appears </w:t>
      </w:r>
      <w:r w:rsidR="00AD69FD">
        <w:rPr>
          <w:color w:val="auto"/>
        </w:rPr>
        <w:t xml:space="preserve">to be </w:t>
      </w:r>
      <w:r w:rsidR="000C3420">
        <w:rPr>
          <w:color w:val="auto"/>
        </w:rPr>
        <w:t>relate</w:t>
      </w:r>
      <w:r w:rsidR="00AD69FD">
        <w:rPr>
          <w:color w:val="auto"/>
        </w:rPr>
        <w:t>d</w:t>
      </w:r>
      <w:r w:rsidR="000C3420">
        <w:rPr>
          <w:color w:val="auto"/>
        </w:rPr>
        <w:t xml:space="preserve"> to half-time fluid intake, </w:t>
      </w:r>
      <w:r w:rsidR="007B58FF">
        <w:rPr>
          <w:color w:val="auto"/>
        </w:rPr>
        <w:t>and</w:t>
      </w:r>
      <w:r w:rsidR="007B58FF" w:rsidRPr="000E08CD">
        <w:rPr>
          <w:color w:val="auto"/>
        </w:rPr>
        <w:t xml:space="preserve"> </w:t>
      </w:r>
      <w:r w:rsidR="000C3420" w:rsidRPr="000E08CD">
        <w:rPr>
          <w:color w:val="auto"/>
        </w:rPr>
        <w:t>pre</w:t>
      </w:r>
      <w:r w:rsidR="000C3420">
        <w:rPr>
          <w:color w:val="auto"/>
        </w:rPr>
        <w:t>-match</w:t>
      </w:r>
      <w:r w:rsidR="000C3420" w:rsidRPr="000E08CD">
        <w:rPr>
          <w:color w:val="auto"/>
        </w:rPr>
        <w:t xml:space="preserve"> UOsmol was related to first half f</w:t>
      </w:r>
      <w:r w:rsidR="000C3420">
        <w:rPr>
          <w:color w:val="auto"/>
        </w:rPr>
        <w:t>luid intake</w:t>
      </w:r>
      <w:r w:rsidR="007B58FF">
        <w:rPr>
          <w:color w:val="auto"/>
        </w:rPr>
        <w:t>,</w:t>
      </w:r>
      <w:r w:rsidR="000C3420">
        <w:rPr>
          <w:color w:val="auto"/>
        </w:rPr>
        <w:t xml:space="preserve"> it is unlikely any significant fluid deficit could be restored </w:t>
      </w:r>
      <w:r w:rsidR="00614D39">
        <w:rPr>
          <w:color w:val="auto"/>
        </w:rPr>
        <w:t>in this limited amount of time</w:t>
      </w:r>
      <w:r w:rsidR="00FE188E">
        <w:rPr>
          <w:color w:val="auto"/>
        </w:rPr>
        <w:t xml:space="preserve"> </w:t>
      </w:r>
      <w:r w:rsidR="0089067C">
        <w:rPr>
          <w:color w:val="auto"/>
        </w:rPr>
        <w:t>[</w:t>
      </w:r>
      <w:r w:rsidR="008A2D9D">
        <w:rPr>
          <w:color w:val="auto"/>
        </w:rPr>
        <w:t>9</w:t>
      </w:r>
      <w:r w:rsidR="0089067C">
        <w:rPr>
          <w:color w:val="auto"/>
        </w:rPr>
        <w:t>]</w:t>
      </w:r>
      <w:r w:rsidR="000C3420">
        <w:rPr>
          <w:color w:val="auto"/>
        </w:rPr>
        <w:t>. Thus,</w:t>
      </w:r>
      <w:r w:rsidR="00AA2D27" w:rsidRPr="000E08CD">
        <w:rPr>
          <w:color w:val="auto"/>
        </w:rPr>
        <w:t xml:space="preserve"> quantifying hydration status on arrival is important, as using urine to determine hydration status when fluid is ingested, may just represent a fluid turnover and provide false-positive (dilute) in terms of establishing euhydration</w:t>
      </w:r>
      <w:r w:rsidR="00FE188E">
        <w:rPr>
          <w:color w:val="auto"/>
        </w:rPr>
        <w:t xml:space="preserve"> </w:t>
      </w:r>
      <w:r w:rsidR="0089067C">
        <w:rPr>
          <w:color w:val="auto"/>
        </w:rPr>
        <w:t>[</w:t>
      </w:r>
      <w:r w:rsidR="008A2D9D">
        <w:rPr>
          <w:color w:val="auto"/>
        </w:rPr>
        <w:t>10</w:t>
      </w:r>
      <w:r w:rsidR="0089067C">
        <w:rPr>
          <w:color w:val="auto"/>
        </w:rPr>
        <w:t>]</w:t>
      </w:r>
      <w:r w:rsidR="000C3420">
        <w:rPr>
          <w:color w:val="auto"/>
        </w:rPr>
        <w:t>.</w:t>
      </w:r>
    </w:p>
    <w:p w:rsidR="00192243" w:rsidRDefault="00192243" w:rsidP="00406382">
      <w:pPr>
        <w:spacing w:line="480" w:lineRule="auto"/>
        <w:ind w:firstLine="720"/>
        <w:jc w:val="both"/>
        <w:rPr>
          <w:color w:val="auto"/>
        </w:rPr>
      </w:pPr>
      <w:r>
        <w:rPr>
          <w:color w:val="auto"/>
        </w:rPr>
        <w:t>The</w:t>
      </w:r>
      <w:r w:rsidR="00353A3A" w:rsidRPr="000E08CD">
        <w:rPr>
          <w:color w:val="auto"/>
        </w:rPr>
        <w:t xml:space="preserve"> differences</w:t>
      </w:r>
      <w:r w:rsidR="00CD1F3A">
        <w:rPr>
          <w:color w:val="auto"/>
        </w:rPr>
        <w:t xml:space="preserve"> in fluid balance</w:t>
      </w:r>
      <w:r>
        <w:rPr>
          <w:color w:val="auto"/>
        </w:rPr>
        <w:t xml:space="preserve"> identified </w:t>
      </w:r>
      <w:r w:rsidR="00353A3A" w:rsidRPr="000E08CD">
        <w:rPr>
          <w:color w:val="auto"/>
        </w:rPr>
        <w:t xml:space="preserve">between players and referees within a sport (RL) and between sports (RL and soccer) highlight the limited generalizability of specific data </w:t>
      </w:r>
      <w:r>
        <w:rPr>
          <w:color w:val="auto"/>
        </w:rPr>
        <w:t>from</w:t>
      </w:r>
      <w:r w:rsidR="00353A3A" w:rsidRPr="000E08CD">
        <w:rPr>
          <w:color w:val="auto"/>
        </w:rPr>
        <w:t xml:space="preserve"> other sports, and between referees and players</w:t>
      </w:r>
      <w:r w:rsidR="00CD1F3A">
        <w:rPr>
          <w:color w:val="auto"/>
        </w:rPr>
        <w:t xml:space="preserve"> within a sport</w:t>
      </w:r>
      <w:r>
        <w:rPr>
          <w:color w:val="auto"/>
        </w:rPr>
        <w:t>. Thus, due to</w:t>
      </w:r>
      <w:r w:rsidR="00F1598A" w:rsidRPr="000E08CD">
        <w:rPr>
          <w:color w:val="auto"/>
        </w:rPr>
        <w:t xml:space="preserve"> the limited data available on referees or match officials, practitioners should not use reference data from </w:t>
      </w:r>
      <w:r w:rsidR="00F1598A" w:rsidRPr="000E08CD">
        <w:rPr>
          <w:color w:val="auto"/>
        </w:rPr>
        <w:lastRenderedPageBreak/>
        <w:t>players to support their hydration strategies</w:t>
      </w:r>
      <w:r w:rsidR="00837675">
        <w:rPr>
          <w:color w:val="auto"/>
        </w:rPr>
        <w:t>.</w:t>
      </w:r>
      <w:r>
        <w:rPr>
          <w:color w:val="auto"/>
        </w:rPr>
        <w:t xml:space="preserve"> </w:t>
      </w:r>
      <w:r w:rsidR="00837675">
        <w:rPr>
          <w:color w:val="auto"/>
        </w:rPr>
        <w:t>T</w:t>
      </w:r>
      <w:r w:rsidR="00F1598A" w:rsidRPr="000E08CD">
        <w:rPr>
          <w:color w:val="auto"/>
        </w:rPr>
        <w:t>he find</w:t>
      </w:r>
      <w:r w:rsidR="00CD1F3A">
        <w:rPr>
          <w:color w:val="auto"/>
        </w:rPr>
        <w:t>ings of this study encourage future</w:t>
      </w:r>
      <w:r w:rsidR="00F1598A" w:rsidRPr="000E08CD">
        <w:rPr>
          <w:color w:val="auto"/>
        </w:rPr>
        <w:t xml:space="preserve"> research within specific referee populations.</w:t>
      </w:r>
      <w:r w:rsidR="00406382">
        <w:rPr>
          <w:color w:val="auto"/>
        </w:rPr>
        <w:t xml:space="preserve"> Further research</w:t>
      </w:r>
      <w:r w:rsidR="00CD1F3A">
        <w:rPr>
          <w:color w:val="auto"/>
        </w:rPr>
        <w:t xml:space="preserve"> </w:t>
      </w:r>
      <w:r w:rsidR="00406382">
        <w:rPr>
          <w:color w:val="auto"/>
        </w:rPr>
        <w:t xml:space="preserve">is </w:t>
      </w:r>
      <w:r w:rsidR="00CD1F3A">
        <w:rPr>
          <w:color w:val="auto"/>
        </w:rPr>
        <w:t>require</w:t>
      </w:r>
      <w:r w:rsidR="00406382">
        <w:rPr>
          <w:color w:val="auto"/>
        </w:rPr>
        <w:t>d</w:t>
      </w:r>
      <w:r>
        <w:rPr>
          <w:color w:val="auto"/>
        </w:rPr>
        <w:t xml:space="preserve"> </w:t>
      </w:r>
      <w:r w:rsidR="00CD1F3A">
        <w:rPr>
          <w:color w:val="auto"/>
        </w:rPr>
        <w:t>to</w:t>
      </w:r>
      <w:r>
        <w:rPr>
          <w:color w:val="auto"/>
        </w:rPr>
        <w:t xml:space="preserve"> investigate the correlat</w:t>
      </w:r>
      <w:r w:rsidR="00CD1F3A">
        <w:rPr>
          <w:color w:val="auto"/>
        </w:rPr>
        <w:t>ion</w:t>
      </w:r>
      <w:r w:rsidR="00A637BB">
        <w:rPr>
          <w:color w:val="auto"/>
        </w:rPr>
        <w:t xml:space="preserve"> between </w:t>
      </w:r>
      <w:r>
        <w:rPr>
          <w:color w:val="auto"/>
        </w:rPr>
        <w:t xml:space="preserve">hydration status </w:t>
      </w:r>
      <w:r w:rsidR="00A637BB">
        <w:rPr>
          <w:color w:val="auto"/>
        </w:rPr>
        <w:t>and</w:t>
      </w:r>
      <w:r>
        <w:rPr>
          <w:color w:val="auto"/>
        </w:rPr>
        <w:t xml:space="preserve"> physical (work performed) and cognitive performance (decision making) </w:t>
      </w:r>
      <w:r w:rsidR="00BC1E94">
        <w:rPr>
          <w:color w:val="auto"/>
        </w:rPr>
        <w:t>with</w:t>
      </w:r>
      <w:r>
        <w:rPr>
          <w:color w:val="auto"/>
        </w:rPr>
        <w:t>in referees</w:t>
      </w:r>
      <w:r w:rsidR="00BC1E94">
        <w:rPr>
          <w:color w:val="auto"/>
        </w:rPr>
        <w:t>, in a well-controlled and real sporting setting</w:t>
      </w:r>
      <w:r w:rsidRPr="00A248FE">
        <w:rPr>
          <w:szCs w:val="22"/>
          <w:shd w:val="clear" w:color="auto" w:fill="FFFFFF"/>
        </w:rPr>
        <w:t>.</w:t>
      </w:r>
    </w:p>
    <w:p w:rsidR="00AB011A" w:rsidRDefault="00AA2D27">
      <w:pPr>
        <w:spacing w:line="480" w:lineRule="auto"/>
        <w:ind w:firstLine="720"/>
        <w:jc w:val="both"/>
      </w:pPr>
      <w:r w:rsidRPr="000E08CD">
        <w:rPr>
          <w:color w:val="auto"/>
        </w:rPr>
        <w:t xml:space="preserve">In conclusion, </w:t>
      </w:r>
      <w:r w:rsidR="00BC1E94">
        <w:rPr>
          <w:color w:val="auto"/>
        </w:rPr>
        <w:t xml:space="preserve">elite RL referees </w:t>
      </w:r>
      <w:r w:rsidRPr="000E08CD">
        <w:rPr>
          <w:color w:val="auto"/>
        </w:rPr>
        <w:t xml:space="preserve">appear to </w:t>
      </w:r>
      <w:r w:rsidR="00BC1E94">
        <w:rPr>
          <w:color w:val="auto"/>
        </w:rPr>
        <w:t xml:space="preserve">consume adequate fluid </w:t>
      </w:r>
      <w:r w:rsidRPr="000E08CD">
        <w:rPr>
          <w:color w:val="auto"/>
        </w:rPr>
        <w:t xml:space="preserve">during </w:t>
      </w:r>
      <w:r>
        <w:t xml:space="preserve">match play to prevent large reductions in </w:t>
      </w:r>
      <w:r w:rsidR="00406382">
        <w:t>BM</w:t>
      </w:r>
      <w:r>
        <w:t>.</w:t>
      </w:r>
      <w:r w:rsidR="00037C15">
        <w:t xml:space="preserve"> </w:t>
      </w:r>
      <w:r w:rsidR="00BC1E94">
        <w:t xml:space="preserve">Practitioners should be aware of </w:t>
      </w:r>
      <w:r>
        <w:t>individual</w:t>
      </w:r>
      <w:r w:rsidR="00A637BB">
        <w:t>s</w:t>
      </w:r>
      <w:r w:rsidR="00BC1E94">
        <w:t xml:space="preserve"> wh</w:t>
      </w:r>
      <w:r w:rsidR="00A02E98">
        <w:t>o appear to arrive hypohydrated and sport specific r</w:t>
      </w:r>
      <w:r w:rsidR="00BC1E94">
        <w:t>eferee recommendations</w:t>
      </w:r>
      <w:r w:rsidR="00A02E98">
        <w:t xml:space="preserve"> for hydration strategies</w:t>
      </w:r>
      <w:r w:rsidR="00BC1E94">
        <w:t xml:space="preserve"> should be developed.</w:t>
      </w:r>
      <w:r w:rsidR="00353A3A">
        <w:t xml:space="preserve"> </w:t>
      </w:r>
      <w:r w:rsidR="00837675">
        <w:rPr>
          <w:color w:val="auto"/>
        </w:rPr>
        <w:t xml:space="preserve">This study also recommends education sessions for individuals who habitually arrive hypohydrated. </w:t>
      </w:r>
      <w:r w:rsidR="00353A3A">
        <w:t xml:space="preserve">This study provides </w:t>
      </w:r>
      <w:r w:rsidR="00891DD6">
        <w:t xml:space="preserve">fluid intake </w:t>
      </w:r>
      <w:r w:rsidR="00353A3A">
        <w:t xml:space="preserve">reference data </w:t>
      </w:r>
      <w:r w:rsidR="00891DD6">
        <w:t xml:space="preserve">of </w:t>
      </w:r>
      <w:r w:rsidR="00837675">
        <w:rPr>
          <w:color w:val="auto"/>
        </w:rPr>
        <w:t>approximately 450 ml during prematch and each half, and 250 ml during half time, which appears adequate to maintain fluid balance</w:t>
      </w:r>
      <w:r w:rsidR="007B58FF">
        <w:rPr>
          <w:color w:val="auto"/>
        </w:rPr>
        <w:t>, based on mean data</w:t>
      </w:r>
      <w:r w:rsidR="00837675">
        <w:rPr>
          <w:color w:val="auto"/>
        </w:rPr>
        <w:t>. Further, individual fluid intake volumes can then be prescribed based on known fluid losses or indeed an individual’s thirst, but providing reference data from an elite group of referees serves as an adequate start point for sub-elite groups and practitioners.</w:t>
      </w:r>
      <w:r w:rsidR="00891DD6">
        <w:t xml:space="preserve"> </w:t>
      </w:r>
    </w:p>
    <w:p w:rsidR="00AF37D0" w:rsidRDefault="00AF37D0">
      <w:pPr>
        <w:spacing w:line="480" w:lineRule="auto"/>
        <w:ind w:firstLine="720"/>
        <w:jc w:val="both"/>
      </w:pPr>
    </w:p>
    <w:p w:rsidR="00462DB5" w:rsidRPr="00462DB5" w:rsidRDefault="007C2935" w:rsidP="007C2935">
      <w:pPr>
        <w:spacing w:line="480" w:lineRule="auto"/>
        <w:jc w:val="center"/>
        <w:rPr>
          <w:b/>
        </w:rPr>
      </w:pPr>
      <w:r w:rsidRPr="00462DB5">
        <w:rPr>
          <w:b/>
        </w:rPr>
        <w:t>ACKNOWLEDGEMENTS</w:t>
      </w:r>
    </w:p>
    <w:p w:rsidR="00462DB5" w:rsidRDefault="00462DB5" w:rsidP="00462DB5">
      <w:pPr>
        <w:spacing w:line="480" w:lineRule="auto"/>
        <w:ind w:firstLine="720"/>
        <w:jc w:val="both"/>
      </w:pPr>
      <w:r>
        <w:t>The authors would like to acknowledge the cooperation of The Rugby Football League and all referees who participated in the study.</w:t>
      </w:r>
    </w:p>
    <w:p w:rsidR="00AB011A" w:rsidRDefault="00AB011A"/>
    <w:p w:rsidR="007C2935" w:rsidRDefault="007C2935">
      <w:pPr>
        <w:rPr>
          <w:b/>
        </w:rPr>
      </w:pPr>
      <w:r>
        <w:rPr>
          <w:b/>
        </w:rPr>
        <w:br w:type="page"/>
      </w:r>
    </w:p>
    <w:p w:rsidR="003E624F" w:rsidRDefault="007C2935" w:rsidP="007C2935">
      <w:pPr>
        <w:jc w:val="center"/>
        <w:rPr>
          <w:b/>
        </w:rPr>
      </w:pPr>
      <w:r w:rsidRPr="00317C77">
        <w:rPr>
          <w:b/>
        </w:rPr>
        <w:lastRenderedPageBreak/>
        <w:t>REFERENCES</w:t>
      </w:r>
    </w:p>
    <w:p w:rsidR="00870F06" w:rsidRDefault="00870F06">
      <w:pPr>
        <w:rPr>
          <w:b/>
        </w:rPr>
      </w:pPr>
    </w:p>
    <w:p w:rsidR="0089067C" w:rsidRDefault="0089067C" w:rsidP="005C0710">
      <w:pPr>
        <w:pStyle w:val="ListParagraph"/>
        <w:numPr>
          <w:ilvl w:val="0"/>
          <w:numId w:val="8"/>
        </w:numPr>
        <w:spacing w:line="360" w:lineRule="auto"/>
        <w:jc w:val="both"/>
        <w:rPr>
          <w:szCs w:val="22"/>
        </w:rPr>
      </w:pPr>
      <w:r w:rsidRPr="005E7C92">
        <w:rPr>
          <w:szCs w:val="22"/>
        </w:rPr>
        <w:t>Johnston, R.D., Gabbett, T.J. and Jenkins, D.G.</w:t>
      </w:r>
      <w:r>
        <w:rPr>
          <w:szCs w:val="22"/>
        </w:rPr>
        <w:t>, Applied Sport Science of Rugby League,</w:t>
      </w:r>
      <w:r w:rsidRPr="005E7C92">
        <w:rPr>
          <w:szCs w:val="22"/>
        </w:rPr>
        <w:t xml:space="preserve"> </w:t>
      </w:r>
      <w:r w:rsidRPr="005E7C92">
        <w:rPr>
          <w:szCs w:val="22"/>
          <w:u w:val="single"/>
        </w:rPr>
        <w:t>Sports Medicine,</w:t>
      </w:r>
      <w:r w:rsidRPr="005E7C92">
        <w:rPr>
          <w:szCs w:val="22"/>
        </w:rPr>
        <w:t xml:space="preserve"> </w:t>
      </w:r>
      <w:r>
        <w:rPr>
          <w:szCs w:val="22"/>
        </w:rPr>
        <w:t>2014, 44, 1087-1100</w:t>
      </w:r>
      <w:r w:rsidRPr="005E7C92">
        <w:rPr>
          <w:szCs w:val="22"/>
        </w:rPr>
        <w:t xml:space="preserve">. </w:t>
      </w:r>
    </w:p>
    <w:p w:rsidR="0089067C" w:rsidRPr="00BB4438" w:rsidRDefault="0089067C" w:rsidP="005C0710">
      <w:pPr>
        <w:pStyle w:val="ListParagraph"/>
        <w:numPr>
          <w:ilvl w:val="0"/>
          <w:numId w:val="8"/>
        </w:numPr>
        <w:spacing w:line="360" w:lineRule="auto"/>
        <w:jc w:val="both"/>
        <w:rPr>
          <w:noProof/>
        </w:rPr>
      </w:pPr>
      <w:r w:rsidRPr="007C2935">
        <w:rPr>
          <w:noProof/>
        </w:rPr>
        <w:t>O’Hara, J., Brightmore, A., Till, K., Mitchell, I., Cummings, S. and Cooke, C.</w:t>
      </w:r>
      <w:r>
        <w:rPr>
          <w:noProof/>
        </w:rPr>
        <w:t>, Evaluation of Movement and Physiological Demands of Rugby League Referees using Global Positioning Systems T</w:t>
      </w:r>
      <w:r w:rsidRPr="007C2935">
        <w:rPr>
          <w:noProof/>
        </w:rPr>
        <w:t>racking</w:t>
      </w:r>
      <w:r>
        <w:rPr>
          <w:noProof/>
        </w:rPr>
        <w:t>,</w:t>
      </w:r>
      <w:r w:rsidRPr="007C2935">
        <w:rPr>
          <w:noProof/>
        </w:rPr>
        <w:t xml:space="preserve"> </w:t>
      </w:r>
      <w:r w:rsidRPr="007C2935">
        <w:rPr>
          <w:noProof/>
          <w:u w:val="single"/>
        </w:rPr>
        <w:t>International Journal of Sports Medicine</w:t>
      </w:r>
      <w:r w:rsidRPr="007C2935">
        <w:rPr>
          <w:noProof/>
        </w:rPr>
        <w:t xml:space="preserve">, </w:t>
      </w:r>
      <w:r>
        <w:rPr>
          <w:noProof/>
        </w:rPr>
        <w:t xml:space="preserve">2013, </w:t>
      </w:r>
      <w:r w:rsidRPr="007C2935">
        <w:rPr>
          <w:noProof/>
        </w:rPr>
        <w:t>34, 825-831.</w:t>
      </w:r>
    </w:p>
    <w:p w:rsidR="0089067C" w:rsidRPr="005E7C92" w:rsidRDefault="0089067C" w:rsidP="005C0710">
      <w:pPr>
        <w:pStyle w:val="ListParagraph"/>
        <w:numPr>
          <w:ilvl w:val="0"/>
          <w:numId w:val="8"/>
        </w:numPr>
        <w:spacing w:line="360" w:lineRule="auto"/>
        <w:jc w:val="both"/>
        <w:rPr>
          <w:szCs w:val="22"/>
        </w:rPr>
      </w:pPr>
      <w:r w:rsidRPr="005E7C92">
        <w:rPr>
          <w:szCs w:val="22"/>
        </w:rPr>
        <w:t>Jones, B.L., O’Hara, J.</w:t>
      </w:r>
      <w:r>
        <w:rPr>
          <w:szCs w:val="22"/>
        </w:rPr>
        <w:t>P.</w:t>
      </w:r>
      <w:r w:rsidRPr="005E7C92">
        <w:rPr>
          <w:szCs w:val="22"/>
        </w:rPr>
        <w:t xml:space="preserve">, Till, K. and </w:t>
      </w:r>
      <w:r>
        <w:rPr>
          <w:szCs w:val="22"/>
        </w:rPr>
        <w:t>King, R.F.G.J., Dehydration and Hyponatremia in Professional Rugby Union Players; A Cohort Study Observing English Premiership Rugby U</w:t>
      </w:r>
      <w:r w:rsidRPr="005E7C92">
        <w:rPr>
          <w:szCs w:val="22"/>
        </w:rPr>
        <w:t>ni</w:t>
      </w:r>
      <w:r>
        <w:rPr>
          <w:szCs w:val="22"/>
        </w:rPr>
        <w:t>on Players during Match-Play, Field and Gym Training in Cool Environmental C</w:t>
      </w:r>
      <w:r w:rsidRPr="005E7C92">
        <w:rPr>
          <w:szCs w:val="22"/>
        </w:rPr>
        <w:t>onditions</w:t>
      </w:r>
      <w:r>
        <w:rPr>
          <w:szCs w:val="22"/>
        </w:rPr>
        <w:t>,</w:t>
      </w:r>
      <w:r w:rsidRPr="005E7C92">
        <w:rPr>
          <w:szCs w:val="22"/>
        </w:rPr>
        <w:t xml:space="preserve"> </w:t>
      </w:r>
      <w:r w:rsidRPr="005E7C92">
        <w:rPr>
          <w:szCs w:val="22"/>
          <w:u w:val="single"/>
        </w:rPr>
        <w:t>Journal of Strength and Conditioning Research</w:t>
      </w:r>
      <w:r>
        <w:rPr>
          <w:szCs w:val="22"/>
          <w:u w:val="single"/>
        </w:rPr>
        <w:t>,</w:t>
      </w:r>
      <w:r w:rsidRPr="005E7C92">
        <w:rPr>
          <w:szCs w:val="22"/>
        </w:rPr>
        <w:t xml:space="preserve"> </w:t>
      </w:r>
      <w:r>
        <w:rPr>
          <w:szCs w:val="22"/>
        </w:rPr>
        <w:t>2015, 29, 107-115.</w:t>
      </w:r>
    </w:p>
    <w:p w:rsidR="0089067C" w:rsidRPr="007C2935" w:rsidRDefault="0089067C" w:rsidP="005C0710">
      <w:pPr>
        <w:pStyle w:val="ListParagraph"/>
        <w:numPr>
          <w:ilvl w:val="0"/>
          <w:numId w:val="8"/>
        </w:numPr>
        <w:spacing w:line="360" w:lineRule="auto"/>
        <w:jc w:val="both"/>
        <w:rPr>
          <w:noProof/>
        </w:rPr>
      </w:pPr>
      <w:r w:rsidRPr="007C2935">
        <w:rPr>
          <w:noProof/>
        </w:rPr>
        <w:t>Maughan, R.J., Merson, S.J., Broad, N.P. and Shirreffs, S.M.</w:t>
      </w:r>
      <w:r>
        <w:rPr>
          <w:noProof/>
        </w:rPr>
        <w:t>, Fluid and Electrolyte Intake and Loss in Elite Soccer P</w:t>
      </w:r>
      <w:r w:rsidRPr="007C2935">
        <w:rPr>
          <w:noProof/>
        </w:rPr>
        <w:t xml:space="preserve">layers during </w:t>
      </w:r>
      <w:r>
        <w:rPr>
          <w:noProof/>
        </w:rPr>
        <w:t>T</w:t>
      </w:r>
      <w:r w:rsidRPr="007C2935">
        <w:rPr>
          <w:noProof/>
        </w:rPr>
        <w:t>raining</w:t>
      </w:r>
      <w:r>
        <w:rPr>
          <w:noProof/>
        </w:rPr>
        <w:t>,</w:t>
      </w:r>
      <w:r w:rsidRPr="007C2935">
        <w:rPr>
          <w:noProof/>
        </w:rPr>
        <w:t xml:space="preserve"> </w:t>
      </w:r>
      <w:r w:rsidRPr="007C2935">
        <w:rPr>
          <w:noProof/>
          <w:u w:val="single"/>
        </w:rPr>
        <w:t>International Journal of Sport Nutrition and Exercise Metabolism,</w:t>
      </w:r>
      <w:r w:rsidRPr="007C2935">
        <w:rPr>
          <w:noProof/>
        </w:rPr>
        <w:t xml:space="preserve"> </w:t>
      </w:r>
      <w:r>
        <w:rPr>
          <w:noProof/>
        </w:rPr>
        <w:t xml:space="preserve">2004, </w:t>
      </w:r>
      <w:r w:rsidRPr="007C2935">
        <w:rPr>
          <w:noProof/>
        </w:rPr>
        <w:t>14, 333-346.</w:t>
      </w:r>
    </w:p>
    <w:p w:rsidR="0089067C" w:rsidRPr="005E7C92" w:rsidRDefault="0089067C" w:rsidP="005C0710">
      <w:pPr>
        <w:pStyle w:val="ListParagraph"/>
        <w:numPr>
          <w:ilvl w:val="0"/>
          <w:numId w:val="8"/>
        </w:numPr>
        <w:spacing w:line="360" w:lineRule="auto"/>
        <w:jc w:val="both"/>
        <w:rPr>
          <w:szCs w:val="22"/>
        </w:rPr>
      </w:pPr>
      <w:r w:rsidRPr="005E7C92">
        <w:rPr>
          <w:szCs w:val="22"/>
        </w:rPr>
        <w:t>O'Hara, J.P., Jones, B.L., Tsakirides, C., Carroll, S., Cooke, C.,B. and King, R.F.G.J.</w:t>
      </w:r>
      <w:r>
        <w:rPr>
          <w:szCs w:val="22"/>
        </w:rPr>
        <w:t xml:space="preserve">, </w:t>
      </w:r>
      <w:r w:rsidRPr="005E7C92">
        <w:rPr>
          <w:szCs w:val="22"/>
        </w:rPr>
        <w:t xml:space="preserve">Hydration </w:t>
      </w:r>
      <w:r>
        <w:rPr>
          <w:szCs w:val="22"/>
        </w:rPr>
        <w:t>Status of Rugby League Players during Home Match-P</w:t>
      </w:r>
      <w:r w:rsidRPr="005E7C92">
        <w:rPr>
          <w:szCs w:val="22"/>
        </w:rPr>
        <w:t xml:space="preserve">lay </w:t>
      </w:r>
      <w:r>
        <w:rPr>
          <w:szCs w:val="22"/>
        </w:rPr>
        <w:t>t</w:t>
      </w:r>
      <w:r w:rsidRPr="005E7C92">
        <w:rPr>
          <w:szCs w:val="22"/>
        </w:rPr>
        <w:t>h</w:t>
      </w:r>
      <w:r>
        <w:rPr>
          <w:szCs w:val="22"/>
        </w:rPr>
        <w:t>roughout the 2008 Super League S</w:t>
      </w:r>
      <w:r w:rsidRPr="005E7C92">
        <w:rPr>
          <w:szCs w:val="22"/>
        </w:rPr>
        <w:t>eason</w:t>
      </w:r>
      <w:r>
        <w:rPr>
          <w:szCs w:val="22"/>
        </w:rPr>
        <w:t>,</w:t>
      </w:r>
      <w:r w:rsidRPr="005E7C92">
        <w:rPr>
          <w:szCs w:val="22"/>
        </w:rPr>
        <w:t xml:space="preserve"> </w:t>
      </w:r>
      <w:r w:rsidRPr="005E7C92">
        <w:rPr>
          <w:szCs w:val="22"/>
          <w:u w:val="single"/>
        </w:rPr>
        <w:t>Applied Physiology, Nutrition and Metabolism</w:t>
      </w:r>
      <w:r w:rsidRPr="005E7C92">
        <w:rPr>
          <w:szCs w:val="22"/>
        </w:rPr>
        <w:t xml:space="preserve">, </w:t>
      </w:r>
      <w:r>
        <w:rPr>
          <w:szCs w:val="22"/>
        </w:rPr>
        <w:t xml:space="preserve">2010, </w:t>
      </w:r>
      <w:r w:rsidRPr="005E7C92">
        <w:rPr>
          <w:szCs w:val="22"/>
        </w:rPr>
        <w:t xml:space="preserve">35, 790-796. </w:t>
      </w:r>
    </w:p>
    <w:p w:rsidR="0089067C" w:rsidRPr="001A3EDE" w:rsidRDefault="0089067C" w:rsidP="005C0710">
      <w:pPr>
        <w:pStyle w:val="ListParagraph"/>
        <w:numPr>
          <w:ilvl w:val="0"/>
          <w:numId w:val="8"/>
        </w:numPr>
        <w:spacing w:line="360" w:lineRule="auto"/>
        <w:jc w:val="both"/>
        <w:rPr>
          <w:noProof/>
        </w:rPr>
      </w:pPr>
      <w:r w:rsidRPr="001A3EDE">
        <w:rPr>
          <w:noProof/>
        </w:rPr>
        <w:t>Barr, S.I.</w:t>
      </w:r>
      <w:r>
        <w:rPr>
          <w:noProof/>
        </w:rPr>
        <w:t>,</w:t>
      </w:r>
      <w:r w:rsidRPr="001A3EDE">
        <w:rPr>
          <w:noProof/>
        </w:rPr>
        <w:t xml:space="preserve"> </w:t>
      </w:r>
      <w:r>
        <w:rPr>
          <w:noProof/>
        </w:rPr>
        <w:t>Effects of Dehydration on Exercise Performance,</w:t>
      </w:r>
      <w:r w:rsidRPr="001A3EDE">
        <w:rPr>
          <w:noProof/>
        </w:rPr>
        <w:t xml:space="preserve"> </w:t>
      </w:r>
      <w:r w:rsidRPr="001A3EDE">
        <w:rPr>
          <w:noProof/>
          <w:u w:val="single"/>
        </w:rPr>
        <w:t>Canadian Journal Apllied Physiology</w:t>
      </w:r>
      <w:r w:rsidRPr="001A3EDE">
        <w:rPr>
          <w:noProof/>
        </w:rPr>
        <w:t>,</w:t>
      </w:r>
      <w:r>
        <w:rPr>
          <w:noProof/>
        </w:rPr>
        <w:t xml:space="preserve"> </w:t>
      </w:r>
      <w:r w:rsidRPr="001A3EDE">
        <w:rPr>
          <w:noProof/>
        </w:rPr>
        <w:t>1999</w:t>
      </w:r>
      <w:r>
        <w:rPr>
          <w:noProof/>
        </w:rPr>
        <w:t>,</w:t>
      </w:r>
      <w:r w:rsidRPr="001A3EDE">
        <w:rPr>
          <w:noProof/>
        </w:rPr>
        <w:t xml:space="preserve"> 24, 164-172.</w:t>
      </w:r>
    </w:p>
    <w:p w:rsidR="0089067C" w:rsidRDefault="0089067C" w:rsidP="005C0710">
      <w:pPr>
        <w:pStyle w:val="ListParagraph"/>
        <w:numPr>
          <w:ilvl w:val="0"/>
          <w:numId w:val="8"/>
        </w:numPr>
        <w:spacing w:line="360" w:lineRule="auto"/>
        <w:jc w:val="both"/>
        <w:rPr>
          <w:noProof/>
        </w:rPr>
      </w:pPr>
      <w:r w:rsidRPr="007C2935">
        <w:rPr>
          <w:noProof/>
        </w:rPr>
        <w:t>Godek, S.F., Bartolozzi, A.R. and Godek, J.J.</w:t>
      </w:r>
      <w:r>
        <w:rPr>
          <w:noProof/>
        </w:rPr>
        <w:t>,</w:t>
      </w:r>
      <w:r w:rsidRPr="007C2935">
        <w:rPr>
          <w:noProof/>
        </w:rPr>
        <w:t xml:space="preserve"> </w:t>
      </w:r>
      <w:r>
        <w:rPr>
          <w:noProof/>
        </w:rPr>
        <w:t>Sweat Rate and Fluid Turnover in American Football Players Compared with Runners in a Hot and Humid Environment,</w:t>
      </w:r>
      <w:r w:rsidRPr="007C2935">
        <w:rPr>
          <w:noProof/>
        </w:rPr>
        <w:t xml:space="preserve"> </w:t>
      </w:r>
      <w:r w:rsidRPr="007C2935">
        <w:rPr>
          <w:noProof/>
          <w:u w:val="single"/>
        </w:rPr>
        <w:t>British Journal of Sports Medicine</w:t>
      </w:r>
      <w:r w:rsidRPr="007C2935">
        <w:rPr>
          <w:noProof/>
        </w:rPr>
        <w:t>, 2005</w:t>
      </w:r>
      <w:r>
        <w:rPr>
          <w:noProof/>
        </w:rPr>
        <w:t>,</w:t>
      </w:r>
      <w:r w:rsidRPr="007C2935">
        <w:rPr>
          <w:noProof/>
        </w:rPr>
        <w:t xml:space="preserve"> 39, 205-212.</w:t>
      </w:r>
    </w:p>
    <w:p w:rsidR="0089067C" w:rsidRPr="007C2935" w:rsidRDefault="0089067C" w:rsidP="005C0710">
      <w:pPr>
        <w:pStyle w:val="ListParagraph"/>
        <w:numPr>
          <w:ilvl w:val="0"/>
          <w:numId w:val="8"/>
        </w:numPr>
        <w:spacing w:line="360" w:lineRule="auto"/>
        <w:jc w:val="both"/>
        <w:rPr>
          <w:noProof/>
        </w:rPr>
      </w:pPr>
      <w:r w:rsidRPr="007C2935">
        <w:rPr>
          <w:noProof/>
        </w:rPr>
        <w:t>Sawka, M.N. and Noakes, T.D.</w:t>
      </w:r>
      <w:r>
        <w:rPr>
          <w:noProof/>
        </w:rPr>
        <w:t>, Does Dehydration Impair Exercise Performance,</w:t>
      </w:r>
      <w:r w:rsidRPr="007C2935">
        <w:rPr>
          <w:noProof/>
        </w:rPr>
        <w:t xml:space="preserve"> </w:t>
      </w:r>
      <w:r w:rsidRPr="007C2935">
        <w:rPr>
          <w:noProof/>
          <w:u w:val="single"/>
        </w:rPr>
        <w:t>Medicine and Science in Sports and Exercise</w:t>
      </w:r>
      <w:r w:rsidRPr="007C2935">
        <w:rPr>
          <w:noProof/>
        </w:rPr>
        <w:t xml:space="preserve">, </w:t>
      </w:r>
      <w:r>
        <w:rPr>
          <w:noProof/>
        </w:rPr>
        <w:t xml:space="preserve">2007, </w:t>
      </w:r>
      <w:r w:rsidRPr="007C2935">
        <w:rPr>
          <w:noProof/>
        </w:rPr>
        <w:t>39, 1209-1217.</w:t>
      </w:r>
    </w:p>
    <w:p w:rsidR="0089067C" w:rsidRPr="0089067C" w:rsidRDefault="0089067C" w:rsidP="005C0710">
      <w:pPr>
        <w:pStyle w:val="ListParagraph"/>
        <w:numPr>
          <w:ilvl w:val="0"/>
          <w:numId w:val="8"/>
        </w:numPr>
        <w:spacing w:line="360" w:lineRule="auto"/>
        <w:jc w:val="both"/>
        <w:rPr>
          <w:szCs w:val="22"/>
        </w:rPr>
      </w:pPr>
      <w:r w:rsidRPr="005E7C92">
        <w:rPr>
          <w:szCs w:val="22"/>
        </w:rPr>
        <w:t>Baker, L.B. and Jeu</w:t>
      </w:r>
      <w:r>
        <w:rPr>
          <w:szCs w:val="22"/>
        </w:rPr>
        <w:t>kendrup, A.E., Optimal Composition of F</w:t>
      </w:r>
      <w:r w:rsidRPr="005E7C92">
        <w:rPr>
          <w:szCs w:val="22"/>
        </w:rPr>
        <w:t>luid</w:t>
      </w:r>
      <w:r w:rsidRPr="005E7C92">
        <w:rPr>
          <w:rFonts w:ascii="Cambria Math" w:hAnsi="Cambria Math" w:cs="Cambria Math"/>
          <w:szCs w:val="22"/>
        </w:rPr>
        <w:t>‐</w:t>
      </w:r>
      <w:r>
        <w:rPr>
          <w:szCs w:val="22"/>
        </w:rPr>
        <w:t>Replacement B</w:t>
      </w:r>
      <w:r w:rsidRPr="005E7C92">
        <w:rPr>
          <w:szCs w:val="22"/>
        </w:rPr>
        <w:t>everages</w:t>
      </w:r>
      <w:r>
        <w:rPr>
          <w:szCs w:val="22"/>
        </w:rPr>
        <w:t>,</w:t>
      </w:r>
      <w:r w:rsidRPr="005E7C92">
        <w:rPr>
          <w:szCs w:val="22"/>
        </w:rPr>
        <w:t xml:space="preserve"> </w:t>
      </w:r>
      <w:r w:rsidRPr="005E7C92">
        <w:rPr>
          <w:szCs w:val="22"/>
          <w:u w:val="single"/>
        </w:rPr>
        <w:t>Comprehensive Physiology,</w:t>
      </w:r>
      <w:r>
        <w:rPr>
          <w:szCs w:val="22"/>
        </w:rPr>
        <w:t xml:space="preserve"> 2014,</w:t>
      </w:r>
      <w:r w:rsidRPr="005E7C92">
        <w:rPr>
          <w:szCs w:val="22"/>
        </w:rPr>
        <w:t xml:space="preserve"> 4, 575-620. </w:t>
      </w:r>
    </w:p>
    <w:p w:rsidR="0089067C" w:rsidRPr="001A3EDE" w:rsidRDefault="0089067C" w:rsidP="005C0710">
      <w:pPr>
        <w:pStyle w:val="ListParagraph"/>
        <w:numPr>
          <w:ilvl w:val="0"/>
          <w:numId w:val="8"/>
        </w:numPr>
        <w:spacing w:line="360" w:lineRule="auto"/>
        <w:jc w:val="both"/>
        <w:rPr>
          <w:szCs w:val="22"/>
        </w:rPr>
      </w:pPr>
      <w:r w:rsidRPr="0089067C">
        <w:rPr>
          <w:szCs w:val="22"/>
        </w:rPr>
        <w:t xml:space="preserve">Cheuvront, S.N. and Kenefick, R.W., Dehydration: Physiology, </w:t>
      </w:r>
      <w:r w:rsidRPr="0089067C">
        <w:rPr>
          <w:rFonts w:ascii="Cambria Math" w:hAnsi="Cambria Math" w:cs="Cambria Math"/>
          <w:szCs w:val="22"/>
        </w:rPr>
        <w:t>A</w:t>
      </w:r>
      <w:r w:rsidRPr="0089067C">
        <w:rPr>
          <w:szCs w:val="22"/>
        </w:rPr>
        <w:t>ssessment, and Performa</w:t>
      </w:r>
      <w:r w:rsidRPr="0089067C">
        <w:rPr>
          <w:szCs w:val="22"/>
          <w:u w:val="single"/>
        </w:rPr>
        <w:t>nce Effects, Comprehensive Physiology,</w:t>
      </w:r>
      <w:r w:rsidRPr="0089067C">
        <w:rPr>
          <w:szCs w:val="22"/>
        </w:rPr>
        <w:t xml:space="preserve"> 2014, </w:t>
      </w:r>
      <w:r w:rsidRPr="005E7C92">
        <w:rPr>
          <w:szCs w:val="22"/>
        </w:rPr>
        <w:t xml:space="preserve">4, 257-285. </w:t>
      </w:r>
    </w:p>
    <w:p w:rsidR="0089067C" w:rsidRPr="007C2935" w:rsidRDefault="0089067C" w:rsidP="005C0710">
      <w:pPr>
        <w:pStyle w:val="ListParagraph"/>
        <w:numPr>
          <w:ilvl w:val="0"/>
          <w:numId w:val="8"/>
        </w:numPr>
        <w:spacing w:line="360" w:lineRule="auto"/>
        <w:jc w:val="both"/>
        <w:rPr>
          <w:noProof/>
        </w:rPr>
      </w:pPr>
      <w:r>
        <w:rPr>
          <w:noProof/>
        </w:rPr>
        <w:t xml:space="preserve">Goulet, E.D.B., Effect of Exercise-Induced Dehydration on Time-Trial Exercise Performance: A Meta-Analysis, </w:t>
      </w:r>
      <w:r w:rsidRPr="0051001B">
        <w:rPr>
          <w:noProof/>
          <w:u w:val="single"/>
        </w:rPr>
        <w:t>British Journal of Sports Medicine</w:t>
      </w:r>
      <w:r w:rsidRPr="00A319B7">
        <w:rPr>
          <w:i/>
          <w:noProof/>
        </w:rPr>
        <w:t>,</w:t>
      </w:r>
      <w:r>
        <w:rPr>
          <w:noProof/>
        </w:rPr>
        <w:t xml:space="preserve"> 2011, 45</w:t>
      </w:r>
      <w:r w:rsidRPr="00A319B7">
        <w:rPr>
          <w:b/>
          <w:noProof/>
        </w:rPr>
        <w:t>,</w:t>
      </w:r>
      <w:r>
        <w:rPr>
          <w:noProof/>
        </w:rPr>
        <w:t xml:space="preserve"> 1149-1156.</w:t>
      </w:r>
    </w:p>
    <w:p w:rsidR="0089067C" w:rsidRPr="00BB4438" w:rsidRDefault="0089067C" w:rsidP="005C0710">
      <w:pPr>
        <w:pStyle w:val="ListParagraph"/>
        <w:numPr>
          <w:ilvl w:val="0"/>
          <w:numId w:val="8"/>
        </w:numPr>
        <w:spacing w:line="360" w:lineRule="auto"/>
        <w:jc w:val="both"/>
      </w:pPr>
      <w:r w:rsidRPr="00BB4438">
        <w:rPr>
          <w:noProof/>
        </w:rPr>
        <w:lastRenderedPageBreak/>
        <w:t xml:space="preserve">Weston, M., Drust, B., Atkinson, G. and Gregson, W., Variability of Soccer Referees’ Match Performances, </w:t>
      </w:r>
      <w:r w:rsidRPr="00BB4438">
        <w:rPr>
          <w:noProof/>
          <w:u w:val="single"/>
        </w:rPr>
        <w:t>International Journal of Sports Medicine</w:t>
      </w:r>
      <w:r w:rsidRPr="00BB4438">
        <w:rPr>
          <w:noProof/>
        </w:rPr>
        <w:t>, 2011, 32, 190-194.</w:t>
      </w:r>
    </w:p>
    <w:p w:rsidR="0089067C" w:rsidRPr="007C2935" w:rsidRDefault="0089067C" w:rsidP="005C0710">
      <w:pPr>
        <w:pStyle w:val="ListParagraph"/>
        <w:numPr>
          <w:ilvl w:val="0"/>
          <w:numId w:val="8"/>
        </w:numPr>
        <w:spacing w:line="360" w:lineRule="auto"/>
        <w:jc w:val="both"/>
        <w:rPr>
          <w:noProof/>
        </w:rPr>
      </w:pPr>
      <w:r w:rsidRPr="007C2935">
        <w:rPr>
          <w:noProof/>
        </w:rPr>
        <w:t>Edwards, A.E. and Noackes, T.D.</w:t>
      </w:r>
      <w:r>
        <w:rPr>
          <w:noProof/>
        </w:rPr>
        <w:t>, Dehydration: Cause of F</w:t>
      </w:r>
      <w:r w:rsidRPr="007C2935">
        <w:rPr>
          <w:noProof/>
        </w:rPr>
        <w:t xml:space="preserve">atigue or </w:t>
      </w:r>
      <w:r>
        <w:rPr>
          <w:noProof/>
        </w:rPr>
        <w:t>S</w:t>
      </w:r>
      <w:r w:rsidRPr="007C2935">
        <w:rPr>
          <w:noProof/>
        </w:rPr>
        <w:t>ig</w:t>
      </w:r>
      <w:r>
        <w:rPr>
          <w:noProof/>
        </w:rPr>
        <w:t>n of Pacing in Elite S</w:t>
      </w:r>
      <w:r w:rsidRPr="007C2935">
        <w:rPr>
          <w:noProof/>
        </w:rPr>
        <w:t xml:space="preserve">occer? </w:t>
      </w:r>
      <w:r w:rsidRPr="007C2935">
        <w:rPr>
          <w:noProof/>
          <w:u w:val="single"/>
        </w:rPr>
        <w:t>Sports Medicine</w:t>
      </w:r>
      <w:r w:rsidRPr="007C2935">
        <w:rPr>
          <w:noProof/>
        </w:rPr>
        <w:t xml:space="preserve">, </w:t>
      </w:r>
      <w:r>
        <w:rPr>
          <w:noProof/>
        </w:rPr>
        <w:t xml:space="preserve">2009, </w:t>
      </w:r>
      <w:r w:rsidRPr="007C2935">
        <w:rPr>
          <w:noProof/>
        </w:rPr>
        <w:t>39, 1-13.</w:t>
      </w:r>
    </w:p>
    <w:p w:rsidR="0089067C" w:rsidRPr="005E7C92" w:rsidRDefault="0089067C" w:rsidP="005C0710">
      <w:pPr>
        <w:pStyle w:val="ListParagraph"/>
        <w:numPr>
          <w:ilvl w:val="0"/>
          <w:numId w:val="8"/>
        </w:numPr>
        <w:spacing w:line="360" w:lineRule="auto"/>
        <w:jc w:val="both"/>
        <w:rPr>
          <w:szCs w:val="22"/>
        </w:rPr>
      </w:pPr>
      <w:r w:rsidRPr="005E7C92">
        <w:rPr>
          <w:szCs w:val="22"/>
        </w:rPr>
        <w:t>King, R.F.G.J., Cooke, C., Carroll, S. and O'Hara, J.</w:t>
      </w:r>
      <w:r>
        <w:rPr>
          <w:szCs w:val="22"/>
        </w:rPr>
        <w:t>,</w:t>
      </w:r>
      <w:r w:rsidRPr="005E7C92">
        <w:rPr>
          <w:szCs w:val="22"/>
        </w:rPr>
        <w:t xml:space="preserve"> </w:t>
      </w:r>
      <w:r>
        <w:rPr>
          <w:szCs w:val="22"/>
        </w:rPr>
        <w:t>Estimating Changes in Hydration Status from C</w:t>
      </w:r>
      <w:r w:rsidRPr="005E7C92">
        <w:rPr>
          <w:szCs w:val="22"/>
        </w:rPr>
        <w:t>hang</w:t>
      </w:r>
      <w:r>
        <w:rPr>
          <w:szCs w:val="22"/>
        </w:rPr>
        <w:t>es in Body Mass: Considerations Regarding Metabolic Water and Glycogen Storage,</w:t>
      </w:r>
      <w:r w:rsidRPr="005E7C92">
        <w:rPr>
          <w:szCs w:val="22"/>
        </w:rPr>
        <w:t xml:space="preserve"> </w:t>
      </w:r>
      <w:r w:rsidRPr="005E7C92">
        <w:rPr>
          <w:szCs w:val="22"/>
          <w:u w:val="single"/>
        </w:rPr>
        <w:t>Journal of Sports Sciences</w:t>
      </w:r>
      <w:r w:rsidRPr="005E7C92">
        <w:rPr>
          <w:szCs w:val="22"/>
        </w:rPr>
        <w:t xml:space="preserve">, </w:t>
      </w:r>
      <w:r>
        <w:rPr>
          <w:szCs w:val="22"/>
        </w:rPr>
        <w:t xml:space="preserve">2008, </w:t>
      </w:r>
      <w:r w:rsidRPr="005E7C92">
        <w:rPr>
          <w:szCs w:val="22"/>
        </w:rPr>
        <w:t xml:space="preserve">26, 1361-1363. </w:t>
      </w:r>
    </w:p>
    <w:p w:rsidR="0089067C" w:rsidRDefault="0089067C" w:rsidP="005C0710">
      <w:pPr>
        <w:pStyle w:val="ListParagraph"/>
        <w:numPr>
          <w:ilvl w:val="0"/>
          <w:numId w:val="8"/>
        </w:numPr>
        <w:spacing w:line="360" w:lineRule="auto"/>
        <w:jc w:val="both"/>
        <w:rPr>
          <w:szCs w:val="22"/>
        </w:rPr>
      </w:pPr>
      <w:r>
        <w:rPr>
          <w:szCs w:val="22"/>
        </w:rPr>
        <w:t>Shirreffs, S.</w:t>
      </w:r>
      <w:r w:rsidRPr="005E7C92">
        <w:rPr>
          <w:szCs w:val="22"/>
        </w:rPr>
        <w:t>M. and Maughan, R.J.</w:t>
      </w:r>
      <w:r>
        <w:rPr>
          <w:szCs w:val="22"/>
        </w:rPr>
        <w:t>,</w:t>
      </w:r>
      <w:r w:rsidRPr="005E7C92">
        <w:rPr>
          <w:szCs w:val="22"/>
        </w:rPr>
        <w:t xml:space="preserve"> Urine </w:t>
      </w:r>
      <w:r>
        <w:rPr>
          <w:szCs w:val="22"/>
        </w:rPr>
        <w:t>O</w:t>
      </w:r>
      <w:r w:rsidRPr="005E7C92">
        <w:rPr>
          <w:szCs w:val="22"/>
        </w:rPr>
        <w:t>sm</w:t>
      </w:r>
      <w:r>
        <w:rPr>
          <w:szCs w:val="22"/>
        </w:rPr>
        <w:t>olality and Conductivity as Indices of Hydration Status in Athletes in the H</w:t>
      </w:r>
      <w:r w:rsidRPr="005E7C92">
        <w:rPr>
          <w:szCs w:val="22"/>
        </w:rPr>
        <w:t>eat</w:t>
      </w:r>
      <w:r>
        <w:rPr>
          <w:szCs w:val="22"/>
        </w:rPr>
        <w:t>,</w:t>
      </w:r>
      <w:r w:rsidRPr="005E7C92">
        <w:rPr>
          <w:szCs w:val="22"/>
        </w:rPr>
        <w:t xml:space="preserve"> </w:t>
      </w:r>
      <w:r w:rsidRPr="005E7C92">
        <w:rPr>
          <w:szCs w:val="22"/>
          <w:u w:val="single"/>
        </w:rPr>
        <w:t>Medicine and Science in Sports and Exercise,</w:t>
      </w:r>
      <w:r w:rsidRPr="005E7C92">
        <w:rPr>
          <w:szCs w:val="22"/>
        </w:rPr>
        <w:t xml:space="preserve"> </w:t>
      </w:r>
      <w:r>
        <w:rPr>
          <w:szCs w:val="22"/>
        </w:rPr>
        <w:t>1998, 30, 1598-1602.</w:t>
      </w:r>
    </w:p>
    <w:p w:rsidR="0089067C" w:rsidRPr="009428F3" w:rsidRDefault="0089067C" w:rsidP="005C0710">
      <w:pPr>
        <w:pStyle w:val="ListParagraph"/>
        <w:numPr>
          <w:ilvl w:val="0"/>
          <w:numId w:val="8"/>
        </w:numPr>
        <w:spacing w:line="360" w:lineRule="auto"/>
        <w:jc w:val="both"/>
        <w:rPr>
          <w:rFonts w:ascii="Calibri" w:hAnsi="Calibri" w:cs="Calibri"/>
          <w:noProof/>
        </w:rPr>
      </w:pPr>
      <w:r w:rsidRPr="009428F3">
        <w:rPr>
          <w:noProof/>
          <w:szCs w:val="22"/>
        </w:rPr>
        <w:t>C</w:t>
      </w:r>
      <w:r>
        <w:rPr>
          <w:noProof/>
          <w:szCs w:val="22"/>
        </w:rPr>
        <w:t>asa</w:t>
      </w:r>
      <w:r w:rsidRPr="009428F3">
        <w:rPr>
          <w:noProof/>
          <w:szCs w:val="22"/>
        </w:rPr>
        <w:t>, D.J., A</w:t>
      </w:r>
      <w:r>
        <w:rPr>
          <w:noProof/>
          <w:szCs w:val="22"/>
        </w:rPr>
        <w:t>rmstrong</w:t>
      </w:r>
      <w:r w:rsidRPr="009428F3">
        <w:rPr>
          <w:noProof/>
          <w:szCs w:val="22"/>
        </w:rPr>
        <w:t>, L.E., K</w:t>
      </w:r>
      <w:r>
        <w:rPr>
          <w:noProof/>
          <w:szCs w:val="22"/>
        </w:rPr>
        <w:t>illman</w:t>
      </w:r>
      <w:r w:rsidRPr="009428F3">
        <w:rPr>
          <w:noProof/>
          <w:szCs w:val="22"/>
        </w:rPr>
        <w:t>, S.K., M</w:t>
      </w:r>
      <w:r>
        <w:rPr>
          <w:noProof/>
          <w:szCs w:val="22"/>
        </w:rPr>
        <w:t>ontain</w:t>
      </w:r>
      <w:r w:rsidRPr="009428F3">
        <w:rPr>
          <w:noProof/>
          <w:szCs w:val="22"/>
        </w:rPr>
        <w:t>, S.J., R</w:t>
      </w:r>
      <w:r>
        <w:rPr>
          <w:noProof/>
          <w:szCs w:val="22"/>
        </w:rPr>
        <w:t>eiff</w:t>
      </w:r>
      <w:r w:rsidRPr="009428F3">
        <w:rPr>
          <w:noProof/>
          <w:szCs w:val="22"/>
        </w:rPr>
        <w:t>, R.V., R</w:t>
      </w:r>
      <w:r>
        <w:rPr>
          <w:noProof/>
          <w:szCs w:val="22"/>
        </w:rPr>
        <w:t>ich</w:t>
      </w:r>
      <w:r w:rsidRPr="009428F3">
        <w:rPr>
          <w:noProof/>
          <w:szCs w:val="22"/>
        </w:rPr>
        <w:t>, B.S.E., R</w:t>
      </w:r>
      <w:r>
        <w:rPr>
          <w:noProof/>
          <w:szCs w:val="22"/>
        </w:rPr>
        <w:t>oberts</w:t>
      </w:r>
      <w:r w:rsidRPr="009428F3">
        <w:rPr>
          <w:noProof/>
          <w:szCs w:val="22"/>
        </w:rPr>
        <w:t xml:space="preserve">, W.O. </w:t>
      </w:r>
      <w:r>
        <w:rPr>
          <w:noProof/>
          <w:szCs w:val="22"/>
        </w:rPr>
        <w:t>and</w:t>
      </w:r>
      <w:r w:rsidRPr="009428F3">
        <w:rPr>
          <w:noProof/>
          <w:szCs w:val="22"/>
        </w:rPr>
        <w:t xml:space="preserve"> S</w:t>
      </w:r>
      <w:r>
        <w:rPr>
          <w:noProof/>
          <w:szCs w:val="22"/>
        </w:rPr>
        <w:t>tone</w:t>
      </w:r>
      <w:r w:rsidRPr="009428F3">
        <w:rPr>
          <w:noProof/>
          <w:szCs w:val="22"/>
        </w:rPr>
        <w:t>, J.A.</w:t>
      </w:r>
      <w:r>
        <w:rPr>
          <w:noProof/>
          <w:szCs w:val="22"/>
        </w:rPr>
        <w:t>,</w:t>
      </w:r>
      <w:r w:rsidRPr="009428F3">
        <w:rPr>
          <w:noProof/>
          <w:szCs w:val="22"/>
        </w:rPr>
        <w:t xml:space="preserve"> National Athletic Trainers' Association Position Statement:</w:t>
      </w:r>
      <w:r>
        <w:rPr>
          <w:noProof/>
          <w:szCs w:val="22"/>
        </w:rPr>
        <w:t xml:space="preserve"> Fluid Replacement for Athletes,</w:t>
      </w:r>
      <w:r w:rsidRPr="009428F3">
        <w:rPr>
          <w:noProof/>
          <w:szCs w:val="22"/>
        </w:rPr>
        <w:t xml:space="preserve"> </w:t>
      </w:r>
      <w:r w:rsidRPr="009428F3">
        <w:rPr>
          <w:noProof/>
          <w:szCs w:val="22"/>
          <w:u w:val="single"/>
        </w:rPr>
        <w:t>Journal of Athletic Training</w:t>
      </w:r>
      <w:r w:rsidRPr="009428F3">
        <w:rPr>
          <w:i/>
          <w:noProof/>
          <w:szCs w:val="22"/>
        </w:rPr>
        <w:t>,</w:t>
      </w:r>
      <w:r w:rsidRPr="009428F3">
        <w:rPr>
          <w:noProof/>
          <w:szCs w:val="22"/>
        </w:rPr>
        <w:t xml:space="preserve"> </w:t>
      </w:r>
      <w:r>
        <w:rPr>
          <w:noProof/>
          <w:szCs w:val="22"/>
        </w:rPr>
        <w:t xml:space="preserve">2000, </w:t>
      </w:r>
      <w:r w:rsidRPr="009428F3">
        <w:rPr>
          <w:noProof/>
          <w:szCs w:val="22"/>
        </w:rPr>
        <w:t>35</w:t>
      </w:r>
      <w:r w:rsidRPr="009428F3">
        <w:rPr>
          <w:b/>
          <w:noProof/>
          <w:szCs w:val="22"/>
        </w:rPr>
        <w:t>,</w:t>
      </w:r>
      <w:r w:rsidRPr="009428F3">
        <w:rPr>
          <w:noProof/>
          <w:szCs w:val="22"/>
        </w:rPr>
        <w:t xml:space="preserve"> 212-224.</w:t>
      </w:r>
    </w:p>
    <w:p w:rsidR="0089067C" w:rsidRDefault="0089067C" w:rsidP="005C0710">
      <w:pPr>
        <w:pStyle w:val="ListParagraph"/>
        <w:numPr>
          <w:ilvl w:val="0"/>
          <w:numId w:val="8"/>
        </w:numPr>
        <w:spacing w:line="360" w:lineRule="auto"/>
        <w:jc w:val="both"/>
        <w:rPr>
          <w:noProof/>
        </w:rPr>
      </w:pPr>
      <w:r>
        <w:rPr>
          <w:noProof/>
        </w:rPr>
        <w:t xml:space="preserve">Strassburger, K. and Bretz, F., Compatible Simultaneous Lower Confidence Bounds for the Holm Procedure and other Bonferroni-Based Closed Tests, </w:t>
      </w:r>
      <w:r w:rsidRPr="0051001B">
        <w:rPr>
          <w:noProof/>
          <w:u w:val="single"/>
        </w:rPr>
        <w:t>Statistics in Medicine</w:t>
      </w:r>
      <w:r w:rsidRPr="00A319B7">
        <w:rPr>
          <w:i/>
          <w:noProof/>
        </w:rPr>
        <w:t>,</w:t>
      </w:r>
      <w:r>
        <w:rPr>
          <w:noProof/>
        </w:rPr>
        <w:t xml:space="preserve"> 2008, 27</w:t>
      </w:r>
      <w:r w:rsidRPr="00A319B7">
        <w:rPr>
          <w:b/>
          <w:noProof/>
        </w:rPr>
        <w:t>,</w:t>
      </w:r>
      <w:r>
        <w:rPr>
          <w:noProof/>
        </w:rPr>
        <w:t xml:space="preserve"> 4914-4927.</w:t>
      </w:r>
    </w:p>
    <w:p w:rsidR="0089067C" w:rsidRPr="007C2935" w:rsidRDefault="0089067C" w:rsidP="005C0710">
      <w:pPr>
        <w:pStyle w:val="ListParagraph"/>
        <w:numPr>
          <w:ilvl w:val="0"/>
          <w:numId w:val="8"/>
        </w:numPr>
        <w:spacing w:line="360" w:lineRule="auto"/>
        <w:jc w:val="both"/>
        <w:rPr>
          <w:noProof/>
        </w:rPr>
      </w:pPr>
      <w:r w:rsidRPr="007C2935">
        <w:rPr>
          <w:noProof/>
        </w:rPr>
        <w:t>Sykes, D., Twist, C., Hall, S., Nicholas, C. and Lamb, K.</w:t>
      </w:r>
      <w:r>
        <w:rPr>
          <w:noProof/>
        </w:rPr>
        <w:t>, Semi-A</w:t>
      </w:r>
      <w:r w:rsidRPr="007C2935">
        <w:rPr>
          <w:noProof/>
        </w:rPr>
        <w:t xml:space="preserve">utomated </w:t>
      </w:r>
      <w:r>
        <w:rPr>
          <w:noProof/>
        </w:rPr>
        <w:t>Time-Motion Analysis of S</w:t>
      </w:r>
      <w:r w:rsidRPr="007C2935">
        <w:rPr>
          <w:noProof/>
        </w:rPr>
        <w:t xml:space="preserve">enior </w:t>
      </w:r>
      <w:r>
        <w:rPr>
          <w:noProof/>
        </w:rPr>
        <w:t>E</w:t>
      </w:r>
      <w:r w:rsidRPr="007C2935">
        <w:rPr>
          <w:noProof/>
        </w:rPr>
        <w:t xml:space="preserve">lite </w:t>
      </w:r>
      <w:r>
        <w:rPr>
          <w:noProof/>
        </w:rPr>
        <w:t>R</w:t>
      </w:r>
      <w:r w:rsidRPr="007C2935">
        <w:rPr>
          <w:noProof/>
        </w:rPr>
        <w:t xml:space="preserve">ugby </w:t>
      </w:r>
      <w:r>
        <w:rPr>
          <w:noProof/>
        </w:rPr>
        <w:t>L</w:t>
      </w:r>
      <w:r w:rsidRPr="007C2935">
        <w:rPr>
          <w:noProof/>
        </w:rPr>
        <w:t>eague</w:t>
      </w:r>
      <w:r>
        <w:rPr>
          <w:noProof/>
        </w:rPr>
        <w:t>,</w:t>
      </w:r>
      <w:r w:rsidRPr="007C2935">
        <w:rPr>
          <w:noProof/>
        </w:rPr>
        <w:t xml:space="preserve"> </w:t>
      </w:r>
      <w:r w:rsidRPr="0064099E">
        <w:rPr>
          <w:noProof/>
          <w:u w:val="single"/>
        </w:rPr>
        <w:t>International Jo</w:t>
      </w:r>
      <w:r w:rsidRPr="007C2935">
        <w:rPr>
          <w:noProof/>
          <w:u w:val="single"/>
        </w:rPr>
        <w:t>urnal of Performance Analysis in Sport</w:t>
      </w:r>
      <w:r w:rsidRPr="007C2935">
        <w:rPr>
          <w:noProof/>
        </w:rPr>
        <w:t xml:space="preserve">, </w:t>
      </w:r>
      <w:r>
        <w:rPr>
          <w:noProof/>
        </w:rPr>
        <w:t xml:space="preserve">2009, </w:t>
      </w:r>
      <w:r w:rsidRPr="007C2935">
        <w:rPr>
          <w:noProof/>
        </w:rPr>
        <w:t>9, 47-59.</w:t>
      </w:r>
    </w:p>
    <w:p w:rsidR="0089067C" w:rsidRPr="00BB4438" w:rsidRDefault="0089067C" w:rsidP="005C0710">
      <w:pPr>
        <w:pStyle w:val="ListParagraph"/>
        <w:numPr>
          <w:ilvl w:val="0"/>
          <w:numId w:val="8"/>
        </w:numPr>
        <w:spacing w:line="360" w:lineRule="auto"/>
        <w:jc w:val="both"/>
        <w:rPr>
          <w:noProof/>
        </w:rPr>
      </w:pPr>
      <w:r w:rsidRPr="007C2935">
        <w:rPr>
          <w:noProof/>
        </w:rPr>
        <w:t>Waldron, M., Twist, C., Highton, J., Worsfold, P. and Daniels, M.</w:t>
      </w:r>
      <w:r>
        <w:rPr>
          <w:noProof/>
        </w:rPr>
        <w:t>,</w:t>
      </w:r>
      <w:r w:rsidRPr="007C2935">
        <w:rPr>
          <w:noProof/>
        </w:rPr>
        <w:t xml:space="preserve"> Movement </w:t>
      </w:r>
      <w:r w:rsidRPr="00BB4438">
        <w:rPr>
          <w:noProof/>
        </w:rPr>
        <w:t xml:space="preserve">and Physiological Match Demands of Elite Rugby League using Portable Global Positioning Systems, </w:t>
      </w:r>
      <w:r w:rsidRPr="00BB4438">
        <w:rPr>
          <w:noProof/>
          <w:u w:val="single"/>
        </w:rPr>
        <w:t>Journal of Sports Sciences,</w:t>
      </w:r>
      <w:r w:rsidRPr="00BB4438">
        <w:rPr>
          <w:noProof/>
        </w:rPr>
        <w:t xml:space="preserve"> 2011, 29, 1223-1230.</w:t>
      </w:r>
    </w:p>
    <w:p w:rsidR="0089067C" w:rsidRPr="005E7C92" w:rsidRDefault="0089067C" w:rsidP="005C0710">
      <w:pPr>
        <w:pStyle w:val="ListParagraph"/>
        <w:numPr>
          <w:ilvl w:val="0"/>
          <w:numId w:val="8"/>
        </w:numPr>
        <w:spacing w:line="360" w:lineRule="auto"/>
        <w:jc w:val="both"/>
        <w:rPr>
          <w:szCs w:val="22"/>
        </w:rPr>
      </w:pPr>
      <w:r w:rsidRPr="005E7C92">
        <w:rPr>
          <w:szCs w:val="22"/>
        </w:rPr>
        <w:t>Noakes, T.D., Wilson, G., Gray, D.A., Lambert, M.I. and Dennis, S.C.</w:t>
      </w:r>
      <w:r>
        <w:rPr>
          <w:szCs w:val="22"/>
        </w:rPr>
        <w:t>,</w:t>
      </w:r>
      <w:r w:rsidRPr="005E7C92">
        <w:rPr>
          <w:szCs w:val="22"/>
        </w:rPr>
        <w:t xml:space="preserve"> </w:t>
      </w:r>
      <w:r>
        <w:rPr>
          <w:szCs w:val="22"/>
        </w:rPr>
        <w:t>Peak Rates of Diuresis in Healthy Humans during Oral Fluid O</w:t>
      </w:r>
      <w:r w:rsidRPr="005E7C92">
        <w:rPr>
          <w:szCs w:val="22"/>
        </w:rPr>
        <w:t>verload</w:t>
      </w:r>
      <w:r>
        <w:rPr>
          <w:szCs w:val="22"/>
        </w:rPr>
        <w:t>,</w:t>
      </w:r>
      <w:r w:rsidRPr="005E7C92">
        <w:rPr>
          <w:szCs w:val="22"/>
        </w:rPr>
        <w:t xml:space="preserve"> </w:t>
      </w:r>
      <w:r w:rsidRPr="005E7C92">
        <w:rPr>
          <w:szCs w:val="22"/>
          <w:u w:val="single"/>
        </w:rPr>
        <w:t>South African Medical Journal</w:t>
      </w:r>
      <w:r w:rsidRPr="0064099E">
        <w:rPr>
          <w:szCs w:val="22"/>
        </w:rPr>
        <w:t xml:space="preserve">, 2001, </w:t>
      </w:r>
      <w:r w:rsidRPr="005E7C92">
        <w:rPr>
          <w:szCs w:val="22"/>
        </w:rPr>
        <w:t xml:space="preserve">91, 852-857. </w:t>
      </w:r>
    </w:p>
    <w:p w:rsidR="0089067C" w:rsidRPr="007C2935" w:rsidRDefault="0089067C" w:rsidP="005C0710">
      <w:pPr>
        <w:pStyle w:val="ListParagraph"/>
        <w:numPr>
          <w:ilvl w:val="0"/>
          <w:numId w:val="8"/>
        </w:numPr>
        <w:spacing w:line="360" w:lineRule="auto"/>
        <w:jc w:val="both"/>
        <w:rPr>
          <w:noProof/>
        </w:rPr>
      </w:pPr>
      <w:r w:rsidRPr="007C2935">
        <w:rPr>
          <w:noProof/>
        </w:rPr>
        <w:t>Da Silva, A. and Fernandez, R.</w:t>
      </w:r>
      <w:r>
        <w:rPr>
          <w:noProof/>
        </w:rPr>
        <w:t>, Dehydration of Football Referees during a M</w:t>
      </w:r>
      <w:r w:rsidRPr="007C2935">
        <w:rPr>
          <w:noProof/>
        </w:rPr>
        <w:t>atch</w:t>
      </w:r>
      <w:r>
        <w:rPr>
          <w:noProof/>
        </w:rPr>
        <w:t>,</w:t>
      </w:r>
      <w:r w:rsidRPr="007C2935">
        <w:rPr>
          <w:noProof/>
        </w:rPr>
        <w:t xml:space="preserve"> </w:t>
      </w:r>
      <w:r w:rsidRPr="007C2935">
        <w:rPr>
          <w:noProof/>
          <w:u w:val="single"/>
        </w:rPr>
        <w:t>British Journal of Sports Medicine</w:t>
      </w:r>
      <w:r w:rsidRPr="007C2935">
        <w:rPr>
          <w:noProof/>
        </w:rPr>
        <w:t xml:space="preserve">, </w:t>
      </w:r>
      <w:r>
        <w:rPr>
          <w:noProof/>
        </w:rPr>
        <w:t xml:space="preserve">2003, </w:t>
      </w:r>
      <w:r w:rsidRPr="007C2935">
        <w:rPr>
          <w:noProof/>
        </w:rPr>
        <w:t>37, 502-506.</w:t>
      </w:r>
    </w:p>
    <w:p w:rsidR="00E47D2B" w:rsidRDefault="00E47D2B" w:rsidP="00E47D2B">
      <w:pPr>
        <w:spacing w:line="240" w:lineRule="auto"/>
        <w:rPr>
          <w:noProof/>
        </w:rPr>
      </w:pPr>
    </w:p>
    <w:p w:rsidR="003E2BA4" w:rsidRDefault="003E2BA4" w:rsidP="003E2BA4">
      <w:pPr>
        <w:spacing w:line="240" w:lineRule="auto"/>
        <w:rPr>
          <w:noProof/>
        </w:rPr>
      </w:pPr>
    </w:p>
    <w:p w:rsidR="00E47D2B" w:rsidRDefault="00E47D2B" w:rsidP="003E2BA4">
      <w:pPr>
        <w:spacing w:line="240" w:lineRule="auto"/>
        <w:rPr>
          <w:noProof/>
        </w:rPr>
      </w:pPr>
    </w:p>
    <w:p w:rsidR="00891DD6" w:rsidRDefault="00891DD6"/>
    <w:p w:rsidR="00BC1E94" w:rsidRDefault="00BC1E94"/>
    <w:p w:rsidR="00BC1E94" w:rsidRDefault="00BC1E94"/>
    <w:p w:rsidR="00BC1E94" w:rsidRDefault="00BC1E94"/>
    <w:p w:rsidR="00BC1E94" w:rsidRDefault="00BC1E94"/>
    <w:p w:rsidR="00BC1E94" w:rsidRDefault="00BC1E94"/>
    <w:p w:rsidR="00BC1E94" w:rsidRPr="00DF4536" w:rsidRDefault="00BC1E94" w:rsidP="00BC1E94">
      <w:pPr>
        <w:spacing w:line="240" w:lineRule="auto"/>
        <w:rPr>
          <w:sz w:val="20"/>
        </w:rPr>
      </w:pPr>
      <w:r w:rsidRPr="00DF4536">
        <w:rPr>
          <w:rFonts w:eastAsia="Calibri"/>
          <w:sz w:val="20"/>
        </w:rPr>
        <w:t xml:space="preserve">Table 1. Urine osmolality and urine output during Super League match play in professional </w:t>
      </w:r>
      <w:r w:rsidR="006E759D">
        <w:rPr>
          <w:rFonts w:eastAsia="Calibri"/>
          <w:sz w:val="20"/>
        </w:rPr>
        <w:t>RL</w:t>
      </w:r>
      <w:r w:rsidRPr="00DF4536">
        <w:rPr>
          <w:rFonts w:eastAsia="Calibri"/>
          <w:sz w:val="20"/>
        </w:rPr>
        <w:t xml:space="preserve"> referees </w:t>
      </w:r>
    </w:p>
    <w:tbl>
      <w:tblPr>
        <w:tblW w:w="9965" w:type="dxa"/>
        <w:jc w:val="center"/>
        <w:tblBorders>
          <w:top w:val="single" w:sz="4" w:space="0" w:color="auto"/>
          <w:bottom w:val="single" w:sz="4" w:space="0" w:color="auto"/>
        </w:tblBorders>
        <w:tblLook w:val="0600" w:firstRow="0" w:lastRow="0" w:firstColumn="0" w:lastColumn="0" w:noHBand="1" w:noVBand="1"/>
      </w:tblPr>
      <w:tblGrid>
        <w:gridCol w:w="1073"/>
        <w:gridCol w:w="1270"/>
        <w:gridCol w:w="1270"/>
        <w:gridCol w:w="1270"/>
        <w:gridCol w:w="1250"/>
        <w:gridCol w:w="1277"/>
        <w:gridCol w:w="14"/>
        <w:gridCol w:w="1263"/>
        <w:gridCol w:w="7"/>
        <w:gridCol w:w="1271"/>
      </w:tblGrid>
      <w:tr w:rsidR="00BC1E94" w:rsidRPr="00DF4536">
        <w:trPr>
          <w:trHeight w:val="116"/>
          <w:jc w:val="center"/>
        </w:trPr>
        <w:tc>
          <w:tcPr>
            <w:tcW w:w="1073" w:type="dxa"/>
            <w:tcBorders>
              <w:right w:val="nil"/>
            </w:tcBorders>
            <w:tcMar>
              <w:top w:w="180" w:type="dxa"/>
              <w:left w:w="180" w:type="dxa"/>
              <w:bottom w:w="180" w:type="dxa"/>
              <w:right w:w="180" w:type="dxa"/>
            </w:tcMar>
          </w:tcPr>
          <w:p w:rsidR="00BC1E94" w:rsidRPr="00DF4536" w:rsidRDefault="00BC1E94" w:rsidP="00A90FA4">
            <w:pPr>
              <w:spacing w:line="240" w:lineRule="auto"/>
              <w:jc w:val="center"/>
              <w:rPr>
                <w:rFonts w:eastAsia="Calibri"/>
                <w:sz w:val="20"/>
              </w:rPr>
            </w:pPr>
          </w:p>
        </w:tc>
        <w:tc>
          <w:tcPr>
            <w:tcW w:w="5060" w:type="dxa"/>
            <w:gridSpan w:val="4"/>
            <w:tcBorders>
              <w:top w:val="single" w:sz="4" w:space="0" w:color="auto"/>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rFonts w:eastAsia="Calibri"/>
                <w:sz w:val="20"/>
              </w:rPr>
            </w:pPr>
            <w:r w:rsidRPr="00DF4536">
              <w:rPr>
                <w:rFonts w:eastAsia="Calibri"/>
                <w:sz w:val="20"/>
              </w:rPr>
              <w:t>Urine Osmolality</w:t>
            </w:r>
          </w:p>
        </w:tc>
        <w:tc>
          <w:tcPr>
            <w:tcW w:w="3832" w:type="dxa"/>
            <w:gridSpan w:val="5"/>
            <w:tcBorders>
              <w:top w:val="single" w:sz="4" w:space="0" w:color="auto"/>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rFonts w:eastAsia="Calibri"/>
                <w:sz w:val="20"/>
              </w:rPr>
            </w:pPr>
            <w:r w:rsidRPr="00DF4536">
              <w:rPr>
                <w:rFonts w:eastAsia="Calibri"/>
                <w:sz w:val="20"/>
              </w:rPr>
              <w:t>Urine Output</w:t>
            </w:r>
          </w:p>
        </w:tc>
      </w:tr>
      <w:tr w:rsidR="00BC1E94" w:rsidRPr="00DF4536">
        <w:trPr>
          <w:trHeight w:val="182"/>
          <w:jc w:val="center"/>
        </w:trPr>
        <w:tc>
          <w:tcPr>
            <w:tcW w:w="1073" w:type="dxa"/>
            <w:vMerge w:val="restart"/>
            <w:tcBorders>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Referee</w:t>
            </w:r>
          </w:p>
          <w:p w:rsidR="00BC1E94" w:rsidRPr="00DF4536" w:rsidRDefault="00BC1E94" w:rsidP="00A90FA4">
            <w:pPr>
              <w:spacing w:line="240" w:lineRule="auto"/>
              <w:jc w:val="center"/>
              <w:rPr>
                <w:sz w:val="20"/>
              </w:rPr>
            </w:pPr>
            <w:r w:rsidRPr="00DF4536">
              <w:rPr>
                <w:rFonts w:eastAsia="Calibri"/>
                <w:sz w:val="20"/>
              </w:rPr>
              <w:t xml:space="preserve"> </w:t>
            </w:r>
          </w:p>
        </w:tc>
        <w:tc>
          <w:tcPr>
            <w:tcW w:w="1270" w:type="dxa"/>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 xml:space="preserve">Arrival </w:t>
            </w:r>
          </w:p>
        </w:tc>
        <w:tc>
          <w:tcPr>
            <w:tcW w:w="1270" w:type="dxa"/>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 xml:space="preserve">Pre-Match </w:t>
            </w:r>
          </w:p>
        </w:tc>
        <w:tc>
          <w:tcPr>
            <w:tcW w:w="1270" w:type="dxa"/>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 xml:space="preserve">Half-time </w:t>
            </w:r>
          </w:p>
        </w:tc>
        <w:tc>
          <w:tcPr>
            <w:tcW w:w="1250" w:type="dxa"/>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 xml:space="preserve">Post-match </w:t>
            </w:r>
          </w:p>
        </w:tc>
        <w:tc>
          <w:tcPr>
            <w:tcW w:w="1291" w:type="dxa"/>
            <w:gridSpan w:val="2"/>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 xml:space="preserve">Pre-Match </w:t>
            </w:r>
          </w:p>
        </w:tc>
        <w:tc>
          <w:tcPr>
            <w:tcW w:w="1270" w:type="dxa"/>
            <w:gridSpan w:val="2"/>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 xml:space="preserve">Half-time </w:t>
            </w:r>
          </w:p>
        </w:tc>
        <w:tc>
          <w:tcPr>
            <w:tcW w:w="1271" w:type="dxa"/>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 xml:space="preserve">Post-match </w:t>
            </w:r>
          </w:p>
        </w:tc>
      </w:tr>
      <w:tr w:rsidR="004A4B97" w:rsidRPr="00DF4536">
        <w:trPr>
          <w:trHeight w:val="71"/>
          <w:jc w:val="center"/>
        </w:trPr>
        <w:tc>
          <w:tcPr>
            <w:tcW w:w="1073" w:type="dxa"/>
            <w:vMerge/>
            <w:tcBorders>
              <w:bottom w:val="single" w:sz="4" w:space="0" w:color="auto"/>
              <w:right w:val="nil"/>
            </w:tcBorders>
            <w:tcMar>
              <w:top w:w="180" w:type="dxa"/>
              <w:left w:w="180" w:type="dxa"/>
              <w:bottom w:w="180" w:type="dxa"/>
              <w:right w:w="180" w:type="dxa"/>
            </w:tcMar>
          </w:tcPr>
          <w:p w:rsidR="004A4B97" w:rsidRPr="00DF4536" w:rsidRDefault="004A4B97" w:rsidP="00A90FA4">
            <w:pPr>
              <w:spacing w:line="240" w:lineRule="auto"/>
              <w:jc w:val="center"/>
              <w:rPr>
                <w:sz w:val="20"/>
              </w:rPr>
            </w:pPr>
          </w:p>
        </w:tc>
        <w:tc>
          <w:tcPr>
            <w:tcW w:w="5060" w:type="dxa"/>
            <w:gridSpan w:val="4"/>
            <w:tcBorders>
              <w:top w:val="nil"/>
              <w:left w:val="nil"/>
              <w:bottom w:val="single" w:sz="4" w:space="0" w:color="auto"/>
              <w:right w:val="nil"/>
            </w:tcBorders>
            <w:tcMar>
              <w:top w:w="180" w:type="dxa"/>
              <w:left w:w="180" w:type="dxa"/>
              <w:bottom w:w="180" w:type="dxa"/>
              <w:right w:w="180" w:type="dxa"/>
            </w:tcMar>
          </w:tcPr>
          <w:p w:rsidR="004A4B97" w:rsidRPr="00DF4536" w:rsidRDefault="004A4B97" w:rsidP="007C2935">
            <w:pPr>
              <w:spacing w:line="240" w:lineRule="auto"/>
              <w:jc w:val="center"/>
              <w:rPr>
                <w:sz w:val="20"/>
              </w:rPr>
            </w:pPr>
            <w:r w:rsidRPr="00DF4536">
              <w:rPr>
                <w:rFonts w:eastAsia="Calibri"/>
                <w:sz w:val="20"/>
              </w:rPr>
              <w:t>(mOsmol</w:t>
            </w:r>
            <w:r>
              <w:rPr>
                <w:rFonts w:eastAsia="Calibri"/>
                <w:sz w:val="20"/>
              </w:rPr>
              <w:t>·k</w:t>
            </w:r>
            <w:r w:rsidRPr="00DF4536">
              <w:rPr>
                <w:rFonts w:eastAsia="Calibri"/>
                <w:sz w:val="20"/>
              </w:rPr>
              <w:t>g</w:t>
            </w:r>
            <w:r w:rsidRPr="00DF4536">
              <w:rPr>
                <w:rFonts w:eastAsia="Calibri"/>
                <w:sz w:val="20"/>
                <w:vertAlign w:val="superscript"/>
              </w:rPr>
              <w:t>-1</w:t>
            </w:r>
            <w:r w:rsidRPr="00DF4536">
              <w:rPr>
                <w:rFonts w:eastAsia="Calibri"/>
                <w:sz w:val="20"/>
              </w:rPr>
              <w:t>)</w:t>
            </w:r>
          </w:p>
        </w:tc>
        <w:tc>
          <w:tcPr>
            <w:tcW w:w="1277" w:type="dxa"/>
            <w:tcBorders>
              <w:top w:val="nil"/>
              <w:left w:val="nil"/>
              <w:bottom w:val="single" w:sz="4" w:space="0" w:color="auto"/>
              <w:right w:val="nil"/>
            </w:tcBorders>
            <w:tcMar>
              <w:top w:w="180" w:type="dxa"/>
              <w:left w:w="180" w:type="dxa"/>
              <w:bottom w:w="180" w:type="dxa"/>
              <w:right w:w="180" w:type="dxa"/>
            </w:tcMar>
            <w:vAlign w:val="bottom"/>
          </w:tcPr>
          <w:p w:rsidR="004A4B97" w:rsidRPr="00DF4536" w:rsidRDefault="004A4B97" w:rsidP="00A90FA4">
            <w:pPr>
              <w:spacing w:line="240" w:lineRule="auto"/>
              <w:jc w:val="center"/>
              <w:rPr>
                <w:sz w:val="20"/>
              </w:rPr>
            </w:pPr>
            <w:r w:rsidRPr="00DF4536">
              <w:rPr>
                <w:rFonts w:eastAsia="Calibri"/>
                <w:sz w:val="20"/>
              </w:rPr>
              <w:t>(g)</w:t>
            </w:r>
          </w:p>
        </w:tc>
        <w:tc>
          <w:tcPr>
            <w:tcW w:w="1277" w:type="dxa"/>
            <w:gridSpan w:val="2"/>
            <w:tcBorders>
              <w:top w:val="nil"/>
              <w:left w:val="nil"/>
              <w:bottom w:val="single" w:sz="4" w:space="0" w:color="auto"/>
              <w:right w:val="nil"/>
            </w:tcBorders>
            <w:vAlign w:val="bottom"/>
          </w:tcPr>
          <w:p w:rsidR="004A4B97" w:rsidRPr="00DF4536" w:rsidRDefault="004A4B97" w:rsidP="00A90FA4">
            <w:pPr>
              <w:spacing w:line="240" w:lineRule="auto"/>
              <w:jc w:val="center"/>
              <w:rPr>
                <w:sz w:val="20"/>
              </w:rPr>
            </w:pPr>
            <w:r w:rsidRPr="00DF4536">
              <w:rPr>
                <w:rFonts w:eastAsia="Calibri"/>
                <w:sz w:val="20"/>
              </w:rPr>
              <w:t>(g)</w:t>
            </w:r>
          </w:p>
        </w:tc>
        <w:tc>
          <w:tcPr>
            <w:tcW w:w="1278" w:type="dxa"/>
            <w:gridSpan w:val="2"/>
            <w:tcBorders>
              <w:top w:val="nil"/>
              <w:left w:val="nil"/>
              <w:bottom w:val="single" w:sz="4" w:space="0" w:color="auto"/>
              <w:right w:val="nil"/>
            </w:tcBorders>
            <w:vAlign w:val="bottom"/>
          </w:tcPr>
          <w:p w:rsidR="004A4B97" w:rsidRPr="00DF4536" w:rsidRDefault="004A4B97" w:rsidP="00A90FA4">
            <w:pPr>
              <w:spacing w:line="240" w:lineRule="auto"/>
              <w:jc w:val="center"/>
              <w:rPr>
                <w:sz w:val="20"/>
              </w:rPr>
            </w:pPr>
            <w:r w:rsidRPr="00DF4536">
              <w:rPr>
                <w:rFonts w:eastAsia="Calibri"/>
                <w:sz w:val="20"/>
              </w:rPr>
              <w:t>(g)</w:t>
            </w:r>
          </w:p>
        </w:tc>
      </w:tr>
      <w:tr w:rsidR="00BC1E94" w:rsidRPr="00DF4536">
        <w:trPr>
          <w:trHeight w:val="544"/>
          <w:jc w:val="center"/>
        </w:trPr>
        <w:tc>
          <w:tcPr>
            <w:tcW w:w="1073" w:type="dxa"/>
            <w:tcBorders>
              <w:top w:val="single" w:sz="4" w:space="0" w:color="auto"/>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1</w:t>
            </w:r>
          </w:p>
        </w:tc>
        <w:tc>
          <w:tcPr>
            <w:tcW w:w="1270" w:type="dxa"/>
            <w:tcBorders>
              <w:top w:val="single" w:sz="4" w:space="0" w:color="auto"/>
              <w:left w:val="nil"/>
              <w:bottom w:val="nil"/>
              <w:right w:val="nil"/>
            </w:tcBorders>
            <w:tcMar>
              <w:top w:w="180" w:type="dxa"/>
              <w:left w:w="180" w:type="dxa"/>
              <w:bottom w:w="180" w:type="dxa"/>
              <w:right w:w="180" w:type="dxa"/>
            </w:tcMar>
            <w:vAlign w:val="bottom"/>
          </w:tcPr>
          <w:p w:rsidR="00BC1E94" w:rsidRPr="00DF4536" w:rsidRDefault="00BC1E94" w:rsidP="00A90FA4">
            <w:pPr>
              <w:spacing w:line="240" w:lineRule="auto"/>
              <w:jc w:val="center"/>
              <w:rPr>
                <w:sz w:val="20"/>
              </w:rPr>
            </w:pPr>
            <w:r w:rsidRPr="00DF4536">
              <w:rPr>
                <w:rFonts w:eastAsia="Calibri"/>
                <w:sz w:val="20"/>
              </w:rPr>
              <w:t>919 ± 265</w:t>
            </w:r>
          </w:p>
          <w:p w:rsidR="00BC1E94" w:rsidRPr="00DF4536" w:rsidRDefault="00BC1E94" w:rsidP="00A90FA4">
            <w:pPr>
              <w:spacing w:line="240" w:lineRule="auto"/>
              <w:jc w:val="center"/>
              <w:rPr>
                <w:sz w:val="20"/>
              </w:rPr>
            </w:pPr>
            <w:r w:rsidRPr="00DF4536">
              <w:rPr>
                <w:rFonts w:eastAsia="Calibri"/>
                <w:sz w:val="20"/>
              </w:rPr>
              <w:t>(n=4)</w:t>
            </w:r>
          </w:p>
        </w:tc>
        <w:tc>
          <w:tcPr>
            <w:tcW w:w="1270" w:type="dxa"/>
            <w:tcBorders>
              <w:top w:val="single" w:sz="4" w:space="0" w:color="auto"/>
              <w:left w:val="nil"/>
              <w:bottom w:val="nil"/>
              <w:right w:val="nil"/>
            </w:tcBorders>
            <w:tcMar>
              <w:top w:w="180" w:type="dxa"/>
              <w:left w:w="180" w:type="dxa"/>
              <w:bottom w:w="180" w:type="dxa"/>
              <w:right w:w="180" w:type="dxa"/>
            </w:tcMar>
            <w:vAlign w:val="bottom"/>
          </w:tcPr>
          <w:p w:rsidR="00BC1E94" w:rsidRPr="00DF4536" w:rsidRDefault="00BC1E94" w:rsidP="00A90FA4">
            <w:pPr>
              <w:spacing w:line="240" w:lineRule="auto"/>
              <w:jc w:val="center"/>
              <w:rPr>
                <w:sz w:val="20"/>
              </w:rPr>
            </w:pPr>
            <w:r w:rsidRPr="00DF4536">
              <w:rPr>
                <w:rFonts w:eastAsia="Calibri"/>
                <w:sz w:val="20"/>
              </w:rPr>
              <w:t>688 ± 401</w:t>
            </w:r>
          </w:p>
          <w:p w:rsidR="00BC1E94" w:rsidRPr="00DF4536" w:rsidRDefault="00BC1E94" w:rsidP="00A90FA4">
            <w:pPr>
              <w:spacing w:line="240" w:lineRule="auto"/>
              <w:jc w:val="center"/>
              <w:rPr>
                <w:sz w:val="20"/>
              </w:rPr>
            </w:pPr>
            <w:r w:rsidRPr="00DF4536">
              <w:rPr>
                <w:rFonts w:eastAsia="Calibri"/>
                <w:sz w:val="20"/>
              </w:rPr>
              <w:t>(n=4)</w:t>
            </w:r>
          </w:p>
        </w:tc>
        <w:tc>
          <w:tcPr>
            <w:tcW w:w="1270" w:type="dxa"/>
            <w:tcBorders>
              <w:top w:val="single" w:sz="4" w:space="0" w:color="auto"/>
              <w:left w:val="nil"/>
              <w:bottom w:val="nil"/>
              <w:right w:val="nil"/>
            </w:tcBorders>
            <w:tcMar>
              <w:top w:w="180" w:type="dxa"/>
              <w:left w:w="180" w:type="dxa"/>
              <w:bottom w:w="180" w:type="dxa"/>
              <w:right w:w="180" w:type="dxa"/>
            </w:tcMar>
            <w:vAlign w:val="bottom"/>
          </w:tcPr>
          <w:p w:rsidR="00BC1E94" w:rsidRPr="00DF4536" w:rsidRDefault="00BC1E94" w:rsidP="00A90FA4">
            <w:pPr>
              <w:spacing w:line="240" w:lineRule="auto"/>
              <w:jc w:val="center"/>
              <w:rPr>
                <w:sz w:val="20"/>
              </w:rPr>
            </w:pPr>
            <w:r w:rsidRPr="00DF4536">
              <w:rPr>
                <w:rFonts w:eastAsia="Calibri"/>
                <w:sz w:val="20"/>
              </w:rPr>
              <w:t>230 ± 29</w:t>
            </w:r>
          </w:p>
          <w:p w:rsidR="00BC1E94" w:rsidRPr="00DF4536" w:rsidRDefault="00BC1E94" w:rsidP="00A90FA4">
            <w:pPr>
              <w:spacing w:line="240" w:lineRule="auto"/>
              <w:jc w:val="center"/>
              <w:rPr>
                <w:sz w:val="20"/>
              </w:rPr>
            </w:pPr>
            <w:r w:rsidRPr="00DF4536">
              <w:rPr>
                <w:rFonts w:eastAsia="Calibri"/>
                <w:sz w:val="20"/>
              </w:rPr>
              <w:t>(n=2)</w:t>
            </w:r>
          </w:p>
        </w:tc>
        <w:tc>
          <w:tcPr>
            <w:tcW w:w="1250" w:type="dxa"/>
            <w:tcBorders>
              <w:top w:val="single" w:sz="4" w:space="0" w:color="auto"/>
              <w:left w:val="nil"/>
              <w:bottom w:val="nil"/>
              <w:right w:val="nil"/>
            </w:tcBorders>
            <w:tcMar>
              <w:top w:w="180" w:type="dxa"/>
              <w:left w:w="180" w:type="dxa"/>
              <w:bottom w:w="180" w:type="dxa"/>
              <w:right w:w="180" w:type="dxa"/>
            </w:tcMar>
            <w:vAlign w:val="bottom"/>
          </w:tcPr>
          <w:p w:rsidR="00BC1E94" w:rsidRPr="00DF4536" w:rsidRDefault="00BC1E94" w:rsidP="00A90FA4">
            <w:pPr>
              <w:spacing w:line="240" w:lineRule="auto"/>
              <w:jc w:val="center"/>
              <w:rPr>
                <w:sz w:val="20"/>
              </w:rPr>
            </w:pPr>
            <w:r w:rsidRPr="00DF4536">
              <w:rPr>
                <w:rFonts w:eastAsia="Calibri"/>
                <w:sz w:val="20"/>
              </w:rPr>
              <w:t>722 ± 147</w:t>
            </w:r>
          </w:p>
          <w:p w:rsidR="00BC1E94" w:rsidRPr="00DF4536" w:rsidRDefault="00BC1E94" w:rsidP="00A90FA4">
            <w:pPr>
              <w:spacing w:line="240" w:lineRule="auto"/>
              <w:jc w:val="center"/>
              <w:rPr>
                <w:sz w:val="20"/>
              </w:rPr>
            </w:pPr>
            <w:r w:rsidRPr="00DF4536">
              <w:rPr>
                <w:rFonts w:eastAsia="Calibri"/>
                <w:sz w:val="20"/>
              </w:rPr>
              <w:t>(n=3)</w:t>
            </w:r>
          </w:p>
        </w:tc>
        <w:tc>
          <w:tcPr>
            <w:tcW w:w="1291" w:type="dxa"/>
            <w:gridSpan w:val="2"/>
            <w:tcBorders>
              <w:top w:val="single" w:sz="4" w:space="0" w:color="auto"/>
              <w:left w:val="nil"/>
              <w:bottom w:val="nil"/>
              <w:right w:val="nil"/>
            </w:tcBorders>
            <w:tcMar>
              <w:top w:w="180" w:type="dxa"/>
              <w:left w:w="180" w:type="dxa"/>
              <w:bottom w:w="180" w:type="dxa"/>
              <w:right w:w="180" w:type="dxa"/>
            </w:tcMar>
            <w:vAlign w:val="bottom"/>
          </w:tcPr>
          <w:p w:rsidR="00BC1E94" w:rsidRPr="00DF4536" w:rsidRDefault="00BC1E94" w:rsidP="00A90FA4">
            <w:pPr>
              <w:spacing w:line="240" w:lineRule="auto"/>
              <w:jc w:val="center"/>
              <w:rPr>
                <w:sz w:val="20"/>
              </w:rPr>
            </w:pPr>
            <w:r w:rsidRPr="00DF4536">
              <w:rPr>
                <w:rFonts w:eastAsia="Calibri"/>
                <w:sz w:val="20"/>
              </w:rPr>
              <w:t>180 ± 152</w:t>
            </w:r>
          </w:p>
          <w:p w:rsidR="00BC1E94" w:rsidRPr="00DF4536" w:rsidRDefault="00BC1E94" w:rsidP="00A90FA4">
            <w:pPr>
              <w:spacing w:line="240" w:lineRule="auto"/>
              <w:jc w:val="center"/>
              <w:rPr>
                <w:sz w:val="20"/>
              </w:rPr>
            </w:pPr>
            <w:r w:rsidRPr="00DF4536">
              <w:rPr>
                <w:rFonts w:eastAsia="Calibri"/>
                <w:sz w:val="20"/>
              </w:rPr>
              <w:t>(n=4)</w:t>
            </w:r>
          </w:p>
        </w:tc>
        <w:tc>
          <w:tcPr>
            <w:tcW w:w="1270" w:type="dxa"/>
            <w:gridSpan w:val="2"/>
            <w:tcBorders>
              <w:top w:val="single" w:sz="4" w:space="0" w:color="auto"/>
              <w:left w:val="nil"/>
              <w:bottom w:val="nil"/>
              <w:right w:val="nil"/>
            </w:tcBorders>
            <w:tcMar>
              <w:top w:w="180" w:type="dxa"/>
              <w:left w:w="180" w:type="dxa"/>
              <w:bottom w:w="180" w:type="dxa"/>
              <w:right w:w="180" w:type="dxa"/>
            </w:tcMar>
            <w:vAlign w:val="bottom"/>
          </w:tcPr>
          <w:p w:rsidR="00BC1E94" w:rsidRPr="00DF4536" w:rsidRDefault="00BC1E94" w:rsidP="00A90FA4">
            <w:pPr>
              <w:spacing w:line="240" w:lineRule="auto"/>
              <w:jc w:val="center"/>
              <w:rPr>
                <w:sz w:val="20"/>
              </w:rPr>
            </w:pPr>
            <w:r w:rsidRPr="00DF4536">
              <w:rPr>
                <w:rFonts w:eastAsia="Calibri"/>
                <w:sz w:val="20"/>
              </w:rPr>
              <w:t>163 ± 30</w:t>
            </w:r>
          </w:p>
          <w:p w:rsidR="00BC1E94" w:rsidRPr="00DF4536" w:rsidRDefault="00BC1E94" w:rsidP="00A90FA4">
            <w:pPr>
              <w:spacing w:line="240" w:lineRule="auto"/>
              <w:jc w:val="center"/>
              <w:rPr>
                <w:sz w:val="20"/>
              </w:rPr>
            </w:pPr>
            <w:r w:rsidRPr="00DF4536">
              <w:rPr>
                <w:rFonts w:eastAsia="Calibri"/>
                <w:sz w:val="20"/>
              </w:rPr>
              <w:t>(n=2)</w:t>
            </w:r>
          </w:p>
        </w:tc>
        <w:tc>
          <w:tcPr>
            <w:tcW w:w="1271" w:type="dxa"/>
            <w:tcBorders>
              <w:top w:val="single" w:sz="4" w:space="0" w:color="auto"/>
              <w:left w:val="nil"/>
              <w:bottom w:val="nil"/>
              <w:right w:val="nil"/>
            </w:tcBorders>
            <w:tcMar>
              <w:top w:w="180" w:type="dxa"/>
              <w:left w:w="180" w:type="dxa"/>
              <w:bottom w:w="180" w:type="dxa"/>
              <w:right w:w="180" w:type="dxa"/>
            </w:tcMar>
            <w:vAlign w:val="bottom"/>
          </w:tcPr>
          <w:p w:rsidR="00BC1E94" w:rsidRPr="00DF4536" w:rsidRDefault="00BC1E94" w:rsidP="00A90FA4">
            <w:pPr>
              <w:spacing w:line="240" w:lineRule="auto"/>
              <w:jc w:val="center"/>
              <w:rPr>
                <w:sz w:val="20"/>
              </w:rPr>
            </w:pPr>
            <w:r w:rsidRPr="00DF4536">
              <w:rPr>
                <w:rFonts w:eastAsia="Calibri"/>
                <w:sz w:val="20"/>
              </w:rPr>
              <w:t>64 ± 33</w:t>
            </w:r>
          </w:p>
          <w:p w:rsidR="00BC1E94" w:rsidRPr="00DF4536" w:rsidRDefault="00BC1E94" w:rsidP="00A90FA4">
            <w:pPr>
              <w:spacing w:line="240" w:lineRule="auto"/>
              <w:jc w:val="center"/>
              <w:rPr>
                <w:sz w:val="20"/>
              </w:rPr>
            </w:pPr>
            <w:r w:rsidRPr="00DF4536">
              <w:rPr>
                <w:rFonts w:eastAsia="Calibri"/>
                <w:sz w:val="20"/>
              </w:rPr>
              <w:t>(n=3)</w:t>
            </w:r>
          </w:p>
        </w:tc>
      </w:tr>
      <w:tr w:rsidR="00BC1E94" w:rsidRPr="00DF4536">
        <w:trPr>
          <w:trHeight w:val="188"/>
          <w:jc w:val="center"/>
        </w:trPr>
        <w:tc>
          <w:tcPr>
            <w:tcW w:w="1073" w:type="dxa"/>
            <w:tcBorders>
              <w:top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2</w:t>
            </w:r>
          </w:p>
        </w:tc>
        <w:tc>
          <w:tcPr>
            <w:tcW w:w="1270" w:type="dxa"/>
            <w:tcBorders>
              <w:top w:val="nil"/>
              <w:left w:val="nil"/>
              <w:bottom w:val="nil"/>
              <w:right w:val="nil"/>
            </w:tcBorders>
            <w:tcMar>
              <w:top w:w="180" w:type="dxa"/>
              <w:left w:w="180" w:type="dxa"/>
              <w:bottom w:w="180" w:type="dxa"/>
              <w:right w:w="180" w:type="dxa"/>
            </w:tcMar>
            <w:vAlign w:val="bottom"/>
          </w:tcPr>
          <w:p w:rsidR="00BC1E94" w:rsidRPr="00DF4536" w:rsidRDefault="00BC1E94" w:rsidP="00A90FA4">
            <w:pPr>
              <w:spacing w:line="240" w:lineRule="auto"/>
              <w:jc w:val="center"/>
              <w:rPr>
                <w:sz w:val="20"/>
              </w:rPr>
            </w:pPr>
            <w:r w:rsidRPr="00DF4536">
              <w:rPr>
                <w:rFonts w:eastAsia="Calibri"/>
                <w:sz w:val="20"/>
              </w:rPr>
              <w:t>346 ± 172</w:t>
            </w:r>
          </w:p>
          <w:p w:rsidR="00BC1E94" w:rsidRPr="00DF4536" w:rsidRDefault="00BC1E94" w:rsidP="00A90FA4">
            <w:pPr>
              <w:spacing w:line="240" w:lineRule="auto"/>
              <w:jc w:val="center"/>
              <w:rPr>
                <w:sz w:val="20"/>
              </w:rPr>
            </w:pPr>
            <w:r w:rsidRPr="00DF4536">
              <w:rPr>
                <w:rFonts w:eastAsia="Calibri"/>
                <w:sz w:val="20"/>
              </w:rPr>
              <w:t>(n=4)</w:t>
            </w:r>
          </w:p>
        </w:tc>
        <w:tc>
          <w:tcPr>
            <w:tcW w:w="1270" w:type="dxa"/>
            <w:tcBorders>
              <w:top w:val="nil"/>
              <w:left w:val="nil"/>
              <w:bottom w:val="nil"/>
              <w:right w:val="nil"/>
            </w:tcBorders>
            <w:tcMar>
              <w:top w:w="180" w:type="dxa"/>
              <w:left w:w="180" w:type="dxa"/>
              <w:bottom w:w="180" w:type="dxa"/>
              <w:right w:w="180" w:type="dxa"/>
            </w:tcMar>
            <w:vAlign w:val="bottom"/>
          </w:tcPr>
          <w:p w:rsidR="00BC1E94" w:rsidRPr="00DF4536" w:rsidRDefault="00BC1E94" w:rsidP="00A90FA4">
            <w:pPr>
              <w:spacing w:line="240" w:lineRule="auto"/>
              <w:jc w:val="center"/>
              <w:rPr>
                <w:sz w:val="20"/>
              </w:rPr>
            </w:pPr>
            <w:r w:rsidRPr="00DF4536">
              <w:rPr>
                <w:rFonts w:eastAsia="Calibri"/>
                <w:sz w:val="20"/>
              </w:rPr>
              <w:t>261 ± 91</w:t>
            </w:r>
          </w:p>
          <w:p w:rsidR="00BC1E94" w:rsidRPr="00DF4536" w:rsidRDefault="00BC1E94" w:rsidP="00A90FA4">
            <w:pPr>
              <w:spacing w:line="240" w:lineRule="auto"/>
              <w:jc w:val="center"/>
              <w:rPr>
                <w:sz w:val="20"/>
              </w:rPr>
            </w:pPr>
            <w:r w:rsidRPr="00DF4536">
              <w:rPr>
                <w:rFonts w:eastAsia="Calibri"/>
                <w:sz w:val="20"/>
              </w:rPr>
              <w:t>(n=4)</w:t>
            </w:r>
          </w:p>
        </w:tc>
        <w:tc>
          <w:tcPr>
            <w:tcW w:w="1270" w:type="dxa"/>
            <w:tcBorders>
              <w:top w:val="nil"/>
              <w:left w:val="nil"/>
              <w:bottom w:val="nil"/>
              <w:right w:val="nil"/>
            </w:tcBorders>
            <w:tcMar>
              <w:top w:w="180" w:type="dxa"/>
              <w:left w:w="180" w:type="dxa"/>
              <w:bottom w:w="180" w:type="dxa"/>
              <w:right w:w="180" w:type="dxa"/>
            </w:tcMar>
            <w:vAlign w:val="bottom"/>
          </w:tcPr>
          <w:p w:rsidR="00BC1E94" w:rsidRPr="00DF4536" w:rsidRDefault="00BC1E94" w:rsidP="00A90FA4">
            <w:pPr>
              <w:spacing w:line="240" w:lineRule="auto"/>
              <w:jc w:val="center"/>
              <w:rPr>
                <w:sz w:val="20"/>
              </w:rPr>
            </w:pPr>
            <w:r w:rsidRPr="00DF4536">
              <w:rPr>
                <w:rFonts w:eastAsia="Calibri"/>
                <w:sz w:val="20"/>
              </w:rPr>
              <w:t>259 ± 53</w:t>
            </w:r>
          </w:p>
          <w:p w:rsidR="00BC1E94" w:rsidRPr="00DF4536" w:rsidRDefault="00BC1E94" w:rsidP="00A90FA4">
            <w:pPr>
              <w:spacing w:line="240" w:lineRule="auto"/>
              <w:jc w:val="center"/>
              <w:rPr>
                <w:sz w:val="20"/>
              </w:rPr>
            </w:pPr>
            <w:r w:rsidRPr="00DF4536">
              <w:rPr>
                <w:rFonts w:eastAsia="Calibri"/>
                <w:sz w:val="20"/>
              </w:rPr>
              <w:t>(n=3)</w:t>
            </w:r>
          </w:p>
        </w:tc>
        <w:tc>
          <w:tcPr>
            <w:tcW w:w="1250" w:type="dxa"/>
            <w:tcBorders>
              <w:top w:val="nil"/>
              <w:left w:val="nil"/>
              <w:bottom w:val="nil"/>
              <w:right w:val="nil"/>
            </w:tcBorders>
            <w:tcMar>
              <w:top w:w="180" w:type="dxa"/>
              <w:left w:w="180" w:type="dxa"/>
              <w:bottom w:w="180" w:type="dxa"/>
              <w:right w:w="180" w:type="dxa"/>
            </w:tcMar>
            <w:vAlign w:val="bottom"/>
          </w:tcPr>
          <w:p w:rsidR="00BC1E94" w:rsidRPr="00DF4536" w:rsidRDefault="00BC1E94" w:rsidP="00A90FA4">
            <w:pPr>
              <w:spacing w:line="240" w:lineRule="auto"/>
              <w:jc w:val="center"/>
              <w:rPr>
                <w:sz w:val="20"/>
              </w:rPr>
            </w:pPr>
            <w:r w:rsidRPr="00DF4536">
              <w:rPr>
                <w:rFonts w:eastAsia="Calibri"/>
                <w:sz w:val="20"/>
              </w:rPr>
              <w:t>(n=0)</w:t>
            </w:r>
          </w:p>
        </w:tc>
        <w:tc>
          <w:tcPr>
            <w:tcW w:w="1291" w:type="dxa"/>
            <w:gridSpan w:val="2"/>
            <w:tcBorders>
              <w:top w:val="nil"/>
              <w:left w:val="nil"/>
              <w:bottom w:val="nil"/>
              <w:right w:val="nil"/>
            </w:tcBorders>
            <w:tcMar>
              <w:top w:w="180" w:type="dxa"/>
              <w:left w:w="180" w:type="dxa"/>
              <w:bottom w:w="180" w:type="dxa"/>
              <w:right w:w="180" w:type="dxa"/>
            </w:tcMar>
            <w:vAlign w:val="bottom"/>
          </w:tcPr>
          <w:p w:rsidR="00BC1E94" w:rsidRPr="00DF4536" w:rsidRDefault="00BC1E94" w:rsidP="00A90FA4">
            <w:pPr>
              <w:spacing w:line="240" w:lineRule="auto"/>
              <w:jc w:val="center"/>
              <w:rPr>
                <w:sz w:val="20"/>
              </w:rPr>
            </w:pPr>
            <w:r w:rsidRPr="00DF4536">
              <w:rPr>
                <w:rFonts w:eastAsia="Calibri"/>
                <w:sz w:val="20"/>
              </w:rPr>
              <w:t>382 ± 102</w:t>
            </w:r>
          </w:p>
          <w:p w:rsidR="00BC1E94" w:rsidRPr="00DF4536" w:rsidRDefault="00BC1E94" w:rsidP="00A90FA4">
            <w:pPr>
              <w:spacing w:line="240" w:lineRule="auto"/>
              <w:jc w:val="center"/>
              <w:rPr>
                <w:sz w:val="20"/>
              </w:rPr>
            </w:pPr>
            <w:r w:rsidRPr="00DF4536">
              <w:rPr>
                <w:rFonts w:eastAsia="Calibri"/>
                <w:sz w:val="20"/>
              </w:rPr>
              <w:t>(n=4)</w:t>
            </w:r>
          </w:p>
        </w:tc>
        <w:tc>
          <w:tcPr>
            <w:tcW w:w="1270" w:type="dxa"/>
            <w:gridSpan w:val="2"/>
            <w:tcBorders>
              <w:top w:val="nil"/>
              <w:left w:val="nil"/>
              <w:bottom w:val="nil"/>
              <w:right w:val="nil"/>
            </w:tcBorders>
            <w:tcMar>
              <w:top w:w="180" w:type="dxa"/>
              <w:left w:w="180" w:type="dxa"/>
              <w:bottom w:w="180" w:type="dxa"/>
              <w:right w:w="180" w:type="dxa"/>
            </w:tcMar>
            <w:vAlign w:val="bottom"/>
          </w:tcPr>
          <w:p w:rsidR="00BC1E94" w:rsidRPr="00DF4536" w:rsidRDefault="00BC1E94" w:rsidP="00A90FA4">
            <w:pPr>
              <w:spacing w:line="240" w:lineRule="auto"/>
              <w:jc w:val="center"/>
              <w:rPr>
                <w:sz w:val="20"/>
              </w:rPr>
            </w:pPr>
            <w:r w:rsidRPr="00DF4536">
              <w:rPr>
                <w:rFonts w:eastAsia="Calibri"/>
                <w:sz w:val="20"/>
              </w:rPr>
              <w:t>101 ± 50</w:t>
            </w:r>
          </w:p>
          <w:p w:rsidR="00BC1E94" w:rsidRPr="00DF4536" w:rsidRDefault="00BC1E94" w:rsidP="00A90FA4">
            <w:pPr>
              <w:spacing w:line="240" w:lineRule="auto"/>
              <w:jc w:val="center"/>
              <w:rPr>
                <w:sz w:val="20"/>
              </w:rPr>
            </w:pPr>
            <w:r w:rsidRPr="00DF4536">
              <w:rPr>
                <w:rFonts w:eastAsia="Calibri"/>
                <w:sz w:val="20"/>
              </w:rPr>
              <w:t>(n=3)</w:t>
            </w:r>
          </w:p>
        </w:tc>
        <w:tc>
          <w:tcPr>
            <w:tcW w:w="1271" w:type="dxa"/>
            <w:tcBorders>
              <w:top w:val="nil"/>
              <w:left w:val="nil"/>
              <w:bottom w:val="nil"/>
              <w:right w:val="nil"/>
            </w:tcBorders>
            <w:tcMar>
              <w:top w:w="180" w:type="dxa"/>
              <w:left w:w="180" w:type="dxa"/>
              <w:bottom w:w="180" w:type="dxa"/>
              <w:right w:w="180" w:type="dxa"/>
            </w:tcMar>
            <w:vAlign w:val="bottom"/>
          </w:tcPr>
          <w:p w:rsidR="00BC1E94" w:rsidRPr="00DF4536" w:rsidRDefault="00BC1E94" w:rsidP="00A90FA4">
            <w:pPr>
              <w:spacing w:line="240" w:lineRule="auto"/>
              <w:jc w:val="center"/>
              <w:rPr>
                <w:sz w:val="20"/>
              </w:rPr>
            </w:pPr>
            <w:r w:rsidRPr="00DF4536">
              <w:rPr>
                <w:rFonts w:eastAsia="Calibri"/>
                <w:sz w:val="20"/>
              </w:rPr>
              <w:t>(n=0)</w:t>
            </w:r>
          </w:p>
        </w:tc>
      </w:tr>
      <w:tr w:rsidR="00BC1E94" w:rsidRPr="00DF4536">
        <w:trPr>
          <w:jc w:val="center"/>
        </w:trPr>
        <w:tc>
          <w:tcPr>
            <w:tcW w:w="1073" w:type="dxa"/>
            <w:tcBorders>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3</w:t>
            </w:r>
          </w:p>
        </w:tc>
        <w:tc>
          <w:tcPr>
            <w:tcW w:w="1270" w:type="dxa"/>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502 ± 157</w:t>
            </w:r>
          </w:p>
          <w:p w:rsidR="00BC1E94" w:rsidRPr="00DF4536" w:rsidRDefault="00BC1E94" w:rsidP="00A90FA4">
            <w:pPr>
              <w:spacing w:line="240" w:lineRule="auto"/>
              <w:jc w:val="center"/>
              <w:rPr>
                <w:sz w:val="20"/>
              </w:rPr>
            </w:pPr>
            <w:r w:rsidRPr="00DF4536">
              <w:rPr>
                <w:rFonts w:eastAsia="Calibri"/>
                <w:sz w:val="20"/>
              </w:rPr>
              <w:t>(n=5)</w:t>
            </w:r>
          </w:p>
        </w:tc>
        <w:tc>
          <w:tcPr>
            <w:tcW w:w="1270" w:type="dxa"/>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399 ± 282</w:t>
            </w:r>
          </w:p>
          <w:p w:rsidR="00BC1E94" w:rsidRPr="00DF4536" w:rsidRDefault="00BC1E94" w:rsidP="00A90FA4">
            <w:pPr>
              <w:spacing w:line="240" w:lineRule="auto"/>
              <w:jc w:val="center"/>
              <w:rPr>
                <w:sz w:val="20"/>
              </w:rPr>
            </w:pPr>
            <w:r w:rsidRPr="00DF4536">
              <w:rPr>
                <w:rFonts w:eastAsia="Calibri"/>
                <w:sz w:val="20"/>
              </w:rPr>
              <w:t>(n=5)</w:t>
            </w:r>
          </w:p>
        </w:tc>
        <w:tc>
          <w:tcPr>
            <w:tcW w:w="1270" w:type="dxa"/>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244 ± 172</w:t>
            </w:r>
          </w:p>
          <w:p w:rsidR="00BC1E94" w:rsidRPr="00DF4536" w:rsidRDefault="00BC1E94" w:rsidP="00A90FA4">
            <w:pPr>
              <w:spacing w:line="240" w:lineRule="auto"/>
              <w:jc w:val="center"/>
              <w:rPr>
                <w:sz w:val="20"/>
              </w:rPr>
            </w:pPr>
            <w:r w:rsidRPr="00DF4536">
              <w:rPr>
                <w:rFonts w:eastAsia="Calibri"/>
                <w:sz w:val="20"/>
              </w:rPr>
              <w:t>(n=5)</w:t>
            </w:r>
          </w:p>
        </w:tc>
        <w:tc>
          <w:tcPr>
            <w:tcW w:w="1250" w:type="dxa"/>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226 ± 82</w:t>
            </w:r>
          </w:p>
          <w:p w:rsidR="00BC1E94" w:rsidRPr="00DF4536" w:rsidRDefault="00BC1E94" w:rsidP="00A90FA4">
            <w:pPr>
              <w:spacing w:line="240" w:lineRule="auto"/>
              <w:jc w:val="center"/>
              <w:rPr>
                <w:sz w:val="20"/>
              </w:rPr>
            </w:pPr>
            <w:r w:rsidRPr="00DF4536">
              <w:rPr>
                <w:rFonts w:eastAsia="Calibri"/>
                <w:sz w:val="20"/>
              </w:rPr>
              <w:t>(n=5)</w:t>
            </w:r>
          </w:p>
        </w:tc>
        <w:tc>
          <w:tcPr>
            <w:tcW w:w="1291" w:type="dxa"/>
            <w:gridSpan w:val="2"/>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312 ± 125</w:t>
            </w:r>
          </w:p>
          <w:p w:rsidR="00BC1E94" w:rsidRPr="00DF4536" w:rsidRDefault="00BC1E94" w:rsidP="00A90FA4">
            <w:pPr>
              <w:spacing w:line="240" w:lineRule="auto"/>
              <w:jc w:val="center"/>
              <w:rPr>
                <w:sz w:val="20"/>
              </w:rPr>
            </w:pPr>
            <w:r w:rsidRPr="00DF4536">
              <w:rPr>
                <w:rFonts w:eastAsia="Calibri"/>
                <w:sz w:val="20"/>
              </w:rPr>
              <w:t>(n=5)</w:t>
            </w:r>
          </w:p>
        </w:tc>
        <w:tc>
          <w:tcPr>
            <w:tcW w:w="1270" w:type="dxa"/>
            <w:gridSpan w:val="2"/>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183 ± 51</w:t>
            </w:r>
          </w:p>
          <w:p w:rsidR="00BC1E94" w:rsidRPr="00DF4536" w:rsidRDefault="00BC1E94" w:rsidP="00A90FA4">
            <w:pPr>
              <w:spacing w:line="240" w:lineRule="auto"/>
              <w:jc w:val="center"/>
              <w:rPr>
                <w:sz w:val="20"/>
              </w:rPr>
            </w:pPr>
            <w:r w:rsidRPr="00DF4536">
              <w:rPr>
                <w:rFonts w:eastAsia="Calibri"/>
                <w:sz w:val="20"/>
              </w:rPr>
              <w:t>(n=5)</w:t>
            </w:r>
          </w:p>
        </w:tc>
        <w:tc>
          <w:tcPr>
            <w:tcW w:w="1271" w:type="dxa"/>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191 ± 107</w:t>
            </w:r>
          </w:p>
          <w:p w:rsidR="00BC1E94" w:rsidRPr="00DF4536" w:rsidRDefault="00BC1E94" w:rsidP="00A90FA4">
            <w:pPr>
              <w:spacing w:line="240" w:lineRule="auto"/>
              <w:jc w:val="center"/>
              <w:rPr>
                <w:sz w:val="20"/>
              </w:rPr>
            </w:pPr>
            <w:r w:rsidRPr="00DF4536">
              <w:rPr>
                <w:rFonts w:eastAsia="Calibri"/>
                <w:sz w:val="20"/>
              </w:rPr>
              <w:t>(n=5)</w:t>
            </w:r>
          </w:p>
        </w:tc>
      </w:tr>
      <w:tr w:rsidR="00BC1E94" w:rsidRPr="00DF4536">
        <w:trPr>
          <w:jc w:val="center"/>
        </w:trPr>
        <w:tc>
          <w:tcPr>
            <w:tcW w:w="1073" w:type="dxa"/>
            <w:tcBorders>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4</w:t>
            </w:r>
          </w:p>
        </w:tc>
        <w:tc>
          <w:tcPr>
            <w:tcW w:w="1270" w:type="dxa"/>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760 ± 28</w:t>
            </w:r>
          </w:p>
          <w:p w:rsidR="00BC1E94" w:rsidRPr="00DF4536" w:rsidRDefault="00BC1E94" w:rsidP="00A90FA4">
            <w:pPr>
              <w:spacing w:line="240" w:lineRule="auto"/>
              <w:jc w:val="center"/>
              <w:rPr>
                <w:sz w:val="20"/>
              </w:rPr>
            </w:pPr>
            <w:r w:rsidRPr="00DF4536">
              <w:rPr>
                <w:rFonts w:eastAsia="Calibri"/>
                <w:sz w:val="20"/>
              </w:rPr>
              <w:t>(n=4)</w:t>
            </w:r>
          </w:p>
        </w:tc>
        <w:tc>
          <w:tcPr>
            <w:tcW w:w="1270" w:type="dxa"/>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688 ± 90</w:t>
            </w:r>
          </w:p>
          <w:p w:rsidR="00BC1E94" w:rsidRPr="00DF4536" w:rsidRDefault="00BC1E94" w:rsidP="00A90FA4">
            <w:pPr>
              <w:spacing w:line="240" w:lineRule="auto"/>
              <w:jc w:val="center"/>
              <w:rPr>
                <w:sz w:val="20"/>
              </w:rPr>
            </w:pPr>
            <w:r w:rsidRPr="00DF4536">
              <w:rPr>
                <w:rFonts w:eastAsia="Calibri"/>
                <w:sz w:val="20"/>
              </w:rPr>
              <w:t>(n=4)</w:t>
            </w:r>
          </w:p>
        </w:tc>
        <w:tc>
          <w:tcPr>
            <w:tcW w:w="1270" w:type="dxa"/>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661 ± 51</w:t>
            </w:r>
          </w:p>
          <w:p w:rsidR="00BC1E94" w:rsidRPr="00DF4536" w:rsidRDefault="00BC1E94" w:rsidP="00A90FA4">
            <w:pPr>
              <w:spacing w:line="240" w:lineRule="auto"/>
              <w:jc w:val="center"/>
              <w:rPr>
                <w:sz w:val="20"/>
              </w:rPr>
            </w:pPr>
            <w:r w:rsidRPr="00DF4536">
              <w:rPr>
                <w:rFonts w:eastAsia="Calibri"/>
                <w:sz w:val="20"/>
              </w:rPr>
              <w:t>(n=4)</w:t>
            </w:r>
          </w:p>
        </w:tc>
        <w:tc>
          <w:tcPr>
            <w:tcW w:w="1250" w:type="dxa"/>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749 ± 57</w:t>
            </w:r>
          </w:p>
          <w:p w:rsidR="00BC1E94" w:rsidRPr="00DF4536" w:rsidRDefault="00BC1E94" w:rsidP="00A90FA4">
            <w:pPr>
              <w:spacing w:line="240" w:lineRule="auto"/>
              <w:jc w:val="center"/>
              <w:rPr>
                <w:sz w:val="20"/>
              </w:rPr>
            </w:pPr>
            <w:r w:rsidRPr="00DF4536">
              <w:rPr>
                <w:rFonts w:eastAsia="Calibri"/>
                <w:sz w:val="20"/>
              </w:rPr>
              <w:t>(n=2)</w:t>
            </w:r>
          </w:p>
        </w:tc>
        <w:tc>
          <w:tcPr>
            <w:tcW w:w="1291" w:type="dxa"/>
            <w:gridSpan w:val="2"/>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209 ± 83</w:t>
            </w:r>
          </w:p>
          <w:p w:rsidR="00BC1E94" w:rsidRPr="00DF4536" w:rsidRDefault="00BC1E94" w:rsidP="00A90FA4">
            <w:pPr>
              <w:spacing w:line="240" w:lineRule="auto"/>
              <w:jc w:val="center"/>
              <w:rPr>
                <w:sz w:val="20"/>
              </w:rPr>
            </w:pPr>
            <w:r w:rsidRPr="00DF4536">
              <w:rPr>
                <w:rFonts w:eastAsia="Calibri"/>
                <w:sz w:val="20"/>
              </w:rPr>
              <w:t>(n=4)</w:t>
            </w:r>
          </w:p>
        </w:tc>
        <w:tc>
          <w:tcPr>
            <w:tcW w:w="1270" w:type="dxa"/>
            <w:gridSpan w:val="2"/>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86 ± 42</w:t>
            </w:r>
          </w:p>
          <w:p w:rsidR="00BC1E94" w:rsidRPr="00DF4536" w:rsidRDefault="00BC1E94" w:rsidP="00A90FA4">
            <w:pPr>
              <w:spacing w:line="240" w:lineRule="auto"/>
              <w:jc w:val="center"/>
              <w:rPr>
                <w:sz w:val="20"/>
              </w:rPr>
            </w:pPr>
            <w:r w:rsidRPr="00DF4536">
              <w:rPr>
                <w:rFonts w:eastAsia="Calibri"/>
                <w:sz w:val="20"/>
              </w:rPr>
              <w:t>(n=4)</w:t>
            </w:r>
          </w:p>
        </w:tc>
        <w:tc>
          <w:tcPr>
            <w:tcW w:w="1271" w:type="dxa"/>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90 ± 82</w:t>
            </w:r>
          </w:p>
          <w:p w:rsidR="00BC1E94" w:rsidRPr="00DF4536" w:rsidRDefault="00BC1E94" w:rsidP="00A90FA4">
            <w:pPr>
              <w:spacing w:line="240" w:lineRule="auto"/>
              <w:jc w:val="center"/>
              <w:rPr>
                <w:sz w:val="20"/>
              </w:rPr>
            </w:pPr>
            <w:r w:rsidRPr="00DF4536">
              <w:rPr>
                <w:rFonts w:eastAsia="Calibri"/>
                <w:sz w:val="20"/>
              </w:rPr>
              <w:t>(n=2)</w:t>
            </w:r>
          </w:p>
        </w:tc>
      </w:tr>
      <w:tr w:rsidR="00BC1E94" w:rsidRPr="00DF4536">
        <w:trPr>
          <w:jc w:val="center"/>
        </w:trPr>
        <w:tc>
          <w:tcPr>
            <w:tcW w:w="1073" w:type="dxa"/>
            <w:tcBorders>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5</w:t>
            </w:r>
          </w:p>
        </w:tc>
        <w:tc>
          <w:tcPr>
            <w:tcW w:w="1270" w:type="dxa"/>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457 ± 28</w:t>
            </w:r>
          </w:p>
          <w:p w:rsidR="00BC1E94" w:rsidRPr="00DF4536" w:rsidRDefault="00BC1E94" w:rsidP="00A90FA4">
            <w:pPr>
              <w:spacing w:line="240" w:lineRule="auto"/>
              <w:jc w:val="center"/>
              <w:rPr>
                <w:sz w:val="20"/>
              </w:rPr>
            </w:pPr>
            <w:r w:rsidRPr="00DF4536">
              <w:rPr>
                <w:rFonts w:eastAsia="Calibri"/>
                <w:sz w:val="20"/>
              </w:rPr>
              <w:t>(n=6)</w:t>
            </w:r>
          </w:p>
        </w:tc>
        <w:tc>
          <w:tcPr>
            <w:tcW w:w="1270" w:type="dxa"/>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531 ± 430</w:t>
            </w:r>
          </w:p>
          <w:p w:rsidR="00BC1E94" w:rsidRPr="00DF4536" w:rsidRDefault="00BC1E94" w:rsidP="00A90FA4">
            <w:pPr>
              <w:spacing w:line="240" w:lineRule="auto"/>
              <w:jc w:val="center"/>
              <w:rPr>
                <w:sz w:val="20"/>
              </w:rPr>
            </w:pPr>
            <w:r w:rsidRPr="00DF4536">
              <w:rPr>
                <w:rFonts w:eastAsia="Calibri"/>
                <w:sz w:val="20"/>
              </w:rPr>
              <w:t>(n=6)</w:t>
            </w:r>
          </w:p>
        </w:tc>
        <w:tc>
          <w:tcPr>
            <w:tcW w:w="1270" w:type="dxa"/>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416 ± 339</w:t>
            </w:r>
          </w:p>
          <w:p w:rsidR="00BC1E94" w:rsidRPr="00DF4536" w:rsidRDefault="00BC1E94" w:rsidP="00A90FA4">
            <w:pPr>
              <w:spacing w:line="240" w:lineRule="auto"/>
              <w:jc w:val="center"/>
              <w:rPr>
                <w:sz w:val="20"/>
              </w:rPr>
            </w:pPr>
            <w:r w:rsidRPr="00DF4536">
              <w:rPr>
                <w:rFonts w:eastAsia="Calibri"/>
                <w:sz w:val="20"/>
              </w:rPr>
              <w:t>(n=5)</w:t>
            </w:r>
          </w:p>
        </w:tc>
        <w:tc>
          <w:tcPr>
            <w:tcW w:w="1250" w:type="dxa"/>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487 ± 353</w:t>
            </w:r>
          </w:p>
          <w:p w:rsidR="00BC1E94" w:rsidRPr="00DF4536" w:rsidRDefault="00BC1E94" w:rsidP="00A90FA4">
            <w:pPr>
              <w:spacing w:line="240" w:lineRule="auto"/>
              <w:jc w:val="center"/>
              <w:rPr>
                <w:sz w:val="20"/>
              </w:rPr>
            </w:pPr>
            <w:r w:rsidRPr="00DF4536">
              <w:rPr>
                <w:rFonts w:eastAsia="Calibri"/>
                <w:sz w:val="20"/>
              </w:rPr>
              <w:t>(n=5)</w:t>
            </w:r>
          </w:p>
        </w:tc>
        <w:tc>
          <w:tcPr>
            <w:tcW w:w="1291" w:type="dxa"/>
            <w:gridSpan w:val="2"/>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183 ± 68</w:t>
            </w:r>
          </w:p>
          <w:p w:rsidR="00BC1E94" w:rsidRPr="00DF4536" w:rsidRDefault="00BC1E94" w:rsidP="00A90FA4">
            <w:pPr>
              <w:spacing w:line="240" w:lineRule="auto"/>
              <w:jc w:val="center"/>
              <w:rPr>
                <w:sz w:val="20"/>
              </w:rPr>
            </w:pPr>
            <w:r w:rsidRPr="00DF4536">
              <w:rPr>
                <w:rFonts w:eastAsia="Calibri"/>
                <w:sz w:val="20"/>
              </w:rPr>
              <w:t>(n=6)</w:t>
            </w:r>
          </w:p>
        </w:tc>
        <w:tc>
          <w:tcPr>
            <w:tcW w:w="1270" w:type="dxa"/>
            <w:gridSpan w:val="2"/>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85 ± 42</w:t>
            </w:r>
          </w:p>
          <w:p w:rsidR="00BC1E94" w:rsidRPr="00DF4536" w:rsidRDefault="00BC1E94" w:rsidP="00A90FA4">
            <w:pPr>
              <w:spacing w:line="240" w:lineRule="auto"/>
              <w:jc w:val="center"/>
              <w:rPr>
                <w:sz w:val="20"/>
              </w:rPr>
            </w:pPr>
            <w:r w:rsidRPr="00DF4536">
              <w:rPr>
                <w:rFonts w:eastAsia="Calibri"/>
                <w:sz w:val="20"/>
              </w:rPr>
              <w:t>(n=5)</w:t>
            </w:r>
          </w:p>
        </w:tc>
        <w:tc>
          <w:tcPr>
            <w:tcW w:w="1271" w:type="dxa"/>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119 ± 42</w:t>
            </w:r>
          </w:p>
          <w:p w:rsidR="00BC1E94" w:rsidRPr="00DF4536" w:rsidRDefault="00BC1E94" w:rsidP="00A90FA4">
            <w:pPr>
              <w:spacing w:line="240" w:lineRule="auto"/>
              <w:jc w:val="center"/>
              <w:rPr>
                <w:sz w:val="20"/>
              </w:rPr>
            </w:pPr>
            <w:r w:rsidRPr="00DF4536">
              <w:rPr>
                <w:rFonts w:eastAsia="Calibri"/>
                <w:sz w:val="20"/>
              </w:rPr>
              <w:t>(n=5)</w:t>
            </w:r>
          </w:p>
        </w:tc>
      </w:tr>
      <w:tr w:rsidR="00BC1E94" w:rsidRPr="00DF4536">
        <w:trPr>
          <w:jc w:val="center"/>
        </w:trPr>
        <w:tc>
          <w:tcPr>
            <w:tcW w:w="1073" w:type="dxa"/>
            <w:tcBorders>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6</w:t>
            </w:r>
          </w:p>
        </w:tc>
        <w:tc>
          <w:tcPr>
            <w:tcW w:w="1270" w:type="dxa"/>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771 ± 76</w:t>
            </w:r>
          </w:p>
          <w:p w:rsidR="00BC1E94" w:rsidRPr="00DF4536" w:rsidRDefault="00BC1E94" w:rsidP="00A90FA4">
            <w:pPr>
              <w:spacing w:line="240" w:lineRule="auto"/>
              <w:jc w:val="center"/>
              <w:rPr>
                <w:sz w:val="20"/>
              </w:rPr>
            </w:pPr>
            <w:r w:rsidRPr="00DF4536">
              <w:rPr>
                <w:rFonts w:eastAsia="Calibri"/>
                <w:sz w:val="20"/>
              </w:rPr>
              <w:t>(n=2)</w:t>
            </w:r>
          </w:p>
        </w:tc>
        <w:tc>
          <w:tcPr>
            <w:tcW w:w="1270" w:type="dxa"/>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556 ± 41</w:t>
            </w:r>
          </w:p>
          <w:p w:rsidR="00BC1E94" w:rsidRPr="00DF4536" w:rsidRDefault="00BC1E94" w:rsidP="00A90FA4">
            <w:pPr>
              <w:spacing w:line="240" w:lineRule="auto"/>
              <w:jc w:val="center"/>
              <w:rPr>
                <w:sz w:val="20"/>
              </w:rPr>
            </w:pPr>
            <w:r w:rsidRPr="00DF4536">
              <w:rPr>
                <w:rFonts w:eastAsia="Calibri"/>
                <w:sz w:val="20"/>
              </w:rPr>
              <w:t>(n=2)</w:t>
            </w:r>
          </w:p>
        </w:tc>
        <w:tc>
          <w:tcPr>
            <w:tcW w:w="1270" w:type="dxa"/>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245 ± 85</w:t>
            </w:r>
          </w:p>
          <w:p w:rsidR="00BC1E94" w:rsidRPr="00DF4536" w:rsidRDefault="00BC1E94" w:rsidP="00A90FA4">
            <w:pPr>
              <w:spacing w:line="240" w:lineRule="auto"/>
              <w:jc w:val="center"/>
              <w:rPr>
                <w:sz w:val="20"/>
              </w:rPr>
            </w:pPr>
            <w:r w:rsidRPr="00DF4536">
              <w:rPr>
                <w:rFonts w:eastAsia="Calibri"/>
                <w:sz w:val="20"/>
              </w:rPr>
              <w:t>(n=2)</w:t>
            </w:r>
          </w:p>
        </w:tc>
        <w:tc>
          <w:tcPr>
            <w:tcW w:w="1250" w:type="dxa"/>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202 ± 93</w:t>
            </w:r>
          </w:p>
          <w:p w:rsidR="00BC1E94" w:rsidRPr="00DF4536" w:rsidRDefault="00BC1E94" w:rsidP="00A90FA4">
            <w:pPr>
              <w:spacing w:line="240" w:lineRule="auto"/>
              <w:jc w:val="center"/>
              <w:rPr>
                <w:sz w:val="20"/>
              </w:rPr>
            </w:pPr>
            <w:r w:rsidRPr="00DF4536">
              <w:rPr>
                <w:rFonts w:eastAsia="Calibri"/>
                <w:sz w:val="20"/>
              </w:rPr>
              <w:t>(n=2)</w:t>
            </w:r>
          </w:p>
        </w:tc>
        <w:tc>
          <w:tcPr>
            <w:tcW w:w="1291" w:type="dxa"/>
            <w:gridSpan w:val="2"/>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155 ± 81</w:t>
            </w:r>
          </w:p>
          <w:p w:rsidR="00BC1E94" w:rsidRPr="00DF4536" w:rsidRDefault="00BC1E94" w:rsidP="00A90FA4">
            <w:pPr>
              <w:spacing w:line="240" w:lineRule="auto"/>
              <w:jc w:val="center"/>
              <w:rPr>
                <w:sz w:val="20"/>
              </w:rPr>
            </w:pPr>
            <w:r w:rsidRPr="00DF4536">
              <w:rPr>
                <w:rFonts w:eastAsia="Calibri"/>
                <w:sz w:val="20"/>
              </w:rPr>
              <w:t>(n=2)</w:t>
            </w:r>
          </w:p>
        </w:tc>
        <w:tc>
          <w:tcPr>
            <w:tcW w:w="1270" w:type="dxa"/>
            <w:gridSpan w:val="2"/>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173 ± 194</w:t>
            </w:r>
          </w:p>
          <w:p w:rsidR="00BC1E94" w:rsidRPr="00DF4536" w:rsidRDefault="00BC1E94" w:rsidP="00A90FA4">
            <w:pPr>
              <w:spacing w:line="240" w:lineRule="auto"/>
              <w:jc w:val="center"/>
              <w:rPr>
                <w:sz w:val="20"/>
              </w:rPr>
            </w:pPr>
            <w:r w:rsidRPr="00DF4536">
              <w:rPr>
                <w:rFonts w:eastAsia="Calibri"/>
                <w:sz w:val="20"/>
              </w:rPr>
              <w:t>(n=2)</w:t>
            </w:r>
          </w:p>
        </w:tc>
        <w:tc>
          <w:tcPr>
            <w:tcW w:w="1271" w:type="dxa"/>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269 ± 214</w:t>
            </w:r>
          </w:p>
          <w:p w:rsidR="00BC1E94" w:rsidRPr="00DF4536" w:rsidRDefault="00BC1E94" w:rsidP="00A90FA4">
            <w:pPr>
              <w:spacing w:line="240" w:lineRule="auto"/>
              <w:jc w:val="center"/>
              <w:rPr>
                <w:sz w:val="20"/>
              </w:rPr>
            </w:pPr>
            <w:r w:rsidRPr="00DF4536">
              <w:rPr>
                <w:rFonts w:eastAsia="Calibri"/>
                <w:sz w:val="20"/>
              </w:rPr>
              <w:t>(n=2)</w:t>
            </w:r>
          </w:p>
        </w:tc>
      </w:tr>
      <w:tr w:rsidR="00BC1E94" w:rsidRPr="00DF4536">
        <w:trPr>
          <w:jc w:val="center"/>
        </w:trPr>
        <w:tc>
          <w:tcPr>
            <w:tcW w:w="1073" w:type="dxa"/>
            <w:tcBorders>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7</w:t>
            </w:r>
          </w:p>
        </w:tc>
        <w:tc>
          <w:tcPr>
            <w:tcW w:w="1270" w:type="dxa"/>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432 ± 438</w:t>
            </w:r>
          </w:p>
          <w:p w:rsidR="00BC1E94" w:rsidRPr="00DF4536" w:rsidRDefault="00BC1E94" w:rsidP="00A90FA4">
            <w:pPr>
              <w:spacing w:line="240" w:lineRule="auto"/>
              <w:jc w:val="center"/>
              <w:rPr>
                <w:sz w:val="20"/>
              </w:rPr>
            </w:pPr>
            <w:r w:rsidRPr="00DF4536">
              <w:rPr>
                <w:rFonts w:eastAsia="Calibri"/>
                <w:sz w:val="20"/>
              </w:rPr>
              <w:t>(n=5)</w:t>
            </w:r>
          </w:p>
        </w:tc>
        <w:tc>
          <w:tcPr>
            <w:tcW w:w="1270" w:type="dxa"/>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194 ± 133</w:t>
            </w:r>
          </w:p>
          <w:p w:rsidR="00BC1E94" w:rsidRPr="00DF4536" w:rsidRDefault="00BC1E94" w:rsidP="00A90FA4">
            <w:pPr>
              <w:spacing w:line="240" w:lineRule="auto"/>
              <w:jc w:val="center"/>
              <w:rPr>
                <w:sz w:val="20"/>
              </w:rPr>
            </w:pPr>
            <w:r w:rsidRPr="00DF4536">
              <w:rPr>
                <w:rFonts w:eastAsia="Calibri"/>
                <w:sz w:val="20"/>
              </w:rPr>
              <w:t>(n=5)</w:t>
            </w:r>
          </w:p>
        </w:tc>
        <w:tc>
          <w:tcPr>
            <w:tcW w:w="1270" w:type="dxa"/>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286 ± 30</w:t>
            </w:r>
          </w:p>
          <w:p w:rsidR="00BC1E94" w:rsidRPr="00DF4536" w:rsidRDefault="00BC1E94" w:rsidP="00A90FA4">
            <w:pPr>
              <w:spacing w:line="240" w:lineRule="auto"/>
              <w:jc w:val="center"/>
              <w:rPr>
                <w:sz w:val="20"/>
              </w:rPr>
            </w:pPr>
            <w:r w:rsidRPr="00DF4536">
              <w:rPr>
                <w:rFonts w:eastAsia="Calibri"/>
                <w:sz w:val="20"/>
              </w:rPr>
              <w:t>(n=4)</w:t>
            </w:r>
          </w:p>
        </w:tc>
        <w:tc>
          <w:tcPr>
            <w:tcW w:w="1250" w:type="dxa"/>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496</w:t>
            </w:r>
          </w:p>
          <w:p w:rsidR="00BC1E94" w:rsidRPr="00DF4536" w:rsidRDefault="00BC1E94" w:rsidP="00A90FA4">
            <w:pPr>
              <w:spacing w:line="240" w:lineRule="auto"/>
              <w:jc w:val="center"/>
              <w:rPr>
                <w:sz w:val="20"/>
              </w:rPr>
            </w:pPr>
            <w:r w:rsidRPr="00DF4536">
              <w:rPr>
                <w:rFonts w:eastAsia="Calibri"/>
                <w:sz w:val="20"/>
              </w:rPr>
              <w:t>(n=1)</w:t>
            </w:r>
          </w:p>
        </w:tc>
        <w:tc>
          <w:tcPr>
            <w:tcW w:w="1291" w:type="dxa"/>
            <w:gridSpan w:val="2"/>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396 ± 199</w:t>
            </w:r>
          </w:p>
          <w:p w:rsidR="00BC1E94" w:rsidRPr="00DF4536" w:rsidRDefault="00BC1E94" w:rsidP="00A90FA4">
            <w:pPr>
              <w:spacing w:line="240" w:lineRule="auto"/>
              <w:jc w:val="center"/>
              <w:rPr>
                <w:sz w:val="20"/>
              </w:rPr>
            </w:pPr>
            <w:r w:rsidRPr="00DF4536">
              <w:rPr>
                <w:rFonts w:eastAsia="Calibri"/>
                <w:sz w:val="20"/>
              </w:rPr>
              <w:t>(n=5)</w:t>
            </w:r>
          </w:p>
        </w:tc>
        <w:tc>
          <w:tcPr>
            <w:tcW w:w="1270" w:type="dxa"/>
            <w:gridSpan w:val="2"/>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94 ± 43</w:t>
            </w:r>
          </w:p>
          <w:p w:rsidR="00BC1E94" w:rsidRPr="00DF4536" w:rsidRDefault="00BC1E94" w:rsidP="00A90FA4">
            <w:pPr>
              <w:spacing w:line="240" w:lineRule="auto"/>
              <w:jc w:val="center"/>
              <w:rPr>
                <w:sz w:val="20"/>
              </w:rPr>
            </w:pPr>
            <w:r w:rsidRPr="00DF4536">
              <w:rPr>
                <w:rFonts w:eastAsia="Calibri"/>
                <w:sz w:val="20"/>
              </w:rPr>
              <w:t>(n=4)</w:t>
            </w:r>
          </w:p>
        </w:tc>
        <w:tc>
          <w:tcPr>
            <w:tcW w:w="1271" w:type="dxa"/>
            <w:tcBorders>
              <w:top w:val="nil"/>
              <w:left w:val="nil"/>
              <w:bottom w:val="nil"/>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106</w:t>
            </w:r>
          </w:p>
          <w:p w:rsidR="00BC1E94" w:rsidRPr="00DF4536" w:rsidRDefault="00BC1E94" w:rsidP="00A90FA4">
            <w:pPr>
              <w:spacing w:line="240" w:lineRule="auto"/>
              <w:jc w:val="center"/>
              <w:rPr>
                <w:sz w:val="20"/>
              </w:rPr>
            </w:pPr>
            <w:r w:rsidRPr="00DF4536">
              <w:rPr>
                <w:rFonts w:eastAsia="Calibri"/>
                <w:sz w:val="20"/>
              </w:rPr>
              <w:t>(n=1)</w:t>
            </w:r>
          </w:p>
        </w:tc>
      </w:tr>
      <w:tr w:rsidR="00BC1E94" w:rsidRPr="00DF4536">
        <w:trPr>
          <w:jc w:val="center"/>
        </w:trPr>
        <w:tc>
          <w:tcPr>
            <w:tcW w:w="1073" w:type="dxa"/>
            <w:tcBorders>
              <w:bottom w:val="single" w:sz="4" w:space="0" w:color="auto"/>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8</w:t>
            </w:r>
          </w:p>
        </w:tc>
        <w:tc>
          <w:tcPr>
            <w:tcW w:w="1270" w:type="dxa"/>
            <w:tcBorders>
              <w:top w:val="nil"/>
              <w:left w:val="nil"/>
              <w:bottom w:val="single" w:sz="4" w:space="0" w:color="auto"/>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136</w:t>
            </w:r>
          </w:p>
          <w:p w:rsidR="00BC1E94" w:rsidRPr="00DF4536" w:rsidRDefault="00BC1E94" w:rsidP="00A90FA4">
            <w:pPr>
              <w:spacing w:line="240" w:lineRule="auto"/>
              <w:jc w:val="center"/>
              <w:rPr>
                <w:sz w:val="20"/>
              </w:rPr>
            </w:pPr>
            <w:r w:rsidRPr="00DF4536">
              <w:rPr>
                <w:rFonts w:eastAsia="Calibri"/>
                <w:sz w:val="20"/>
              </w:rPr>
              <w:t>(n=1)</w:t>
            </w:r>
          </w:p>
        </w:tc>
        <w:tc>
          <w:tcPr>
            <w:tcW w:w="1270" w:type="dxa"/>
            <w:tcBorders>
              <w:top w:val="nil"/>
              <w:left w:val="nil"/>
              <w:bottom w:val="single" w:sz="4" w:space="0" w:color="auto"/>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161</w:t>
            </w:r>
          </w:p>
          <w:p w:rsidR="00BC1E94" w:rsidRPr="00DF4536" w:rsidRDefault="00BC1E94" w:rsidP="00A90FA4">
            <w:pPr>
              <w:spacing w:line="240" w:lineRule="auto"/>
              <w:jc w:val="center"/>
              <w:rPr>
                <w:sz w:val="20"/>
              </w:rPr>
            </w:pPr>
            <w:r w:rsidRPr="00DF4536">
              <w:rPr>
                <w:rFonts w:eastAsia="Calibri"/>
                <w:sz w:val="20"/>
              </w:rPr>
              <w:t>(n=1)</w:t>
            </w:r>
          </w:p>
        </w:tc>
        <w:tc>
          <w:tcPr>
            <w:tcW w:w="1270" w:type="dxa"/>
            <w:tcBorders>
              <w:top w:val="nil"/>
              <w:left w:val="nil"/>
              <w:bottom w:val="single" w:sz="4" w:space="0" w:color="auto"/>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365</w:t>
            </w:r>
          </w:p>
          <w:p w:rsidR="00BC1E94" w:rsidRPr="00DF4536" w:rsidRDefault="00BC1E94" w:rsidP="00A90FA4">
            <w:pPr>
              <w:spacing w:line="240" w:lineRule="auto"/>
              <w:jc w:val="center"/>
              <w:rPr>
                <w:sz w:val="20"/>
              </w:rPr>
            </w:pPr>
            <w:r w:rsidRPr="00DF4536">
              <w:rPr>
                <w:rFonts w:eastAsia="Calibri"/>
                <w:sz w:val="20"/>
              </w:rPr>
              <w:t>(n=1)</w:t>
            </w:r>
          </w:p>
        </w:tc>
        <w:tc>
          <w:tcPr>
            <w:tcW w:w="1250" w:type="dxa"/>
            <w:tcBorders>
              <w:top w:val="nil"/>
              <w:left w:val="nil"/>
              <w:bottom w:val="single" w:sz="4" w:space="0" w:color="auto"/>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734</w:t>
            </w:r>
          </w:p>
          <w:p w:rsidR="00BC1E94" w:rsidRPr="00DF4536" w:rsidRDefault="00BC1E94" w:rsidP="00A90FA4">
            <w:pPr>
              <w:spacing w:line="240" w:lineRule="auto"/>
              <w:jc w:val="center"/>
              <w:rPr>
                <w:sz w:val="20"/>
              </w:rPr>
            </w:pPr>
            <w:r w:rsidRPr="00DF4536">
              <w:rPr>
                <w:rFonts w:eastAsia="Calibri"/>
                <w:sz w:val="20"/>
              </w:rPr>
              <w:t>(n=1)</w:t>
            </w:r>
          </w:p>
        </w:tc>
        <w:tc>
          <w:tcPr>
            <w:tcW w:w="1291" w:type="dxa"/>
            <w:gridSpan w:val="2"/>
            <w:tcBorders>
              <w:top w:val="nil"/>
              <w:left w:val="nil"/>
              <w:bottom w:val="single" w:sz="4" w:space="0" w:color="auto"/>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554</w:t>
            </w:r>
          </w:p>
          <w:p w:rsidR="00BC1E94" w:rsidRPr="00DF4536" w:rsidRDefault="00BC1E94" w:rsidP="00A90FA4">
            <w:pPr>
              <w:spacing w:line="240" w:lineRule="auto"/>
              <w:jc w:val="center"/>
              <w:rPr>
                <w:sz w:val="20"/>
              </w:rPr>
            </w:pPr>
            <w:r w:rsidRPr="00DF4536">
              <w:rPr>
                <w:rFonts w:eastAsia="Calibri"/>
                <w:sz w:val="20"/>
              </w:rPr>
              <w:t>(n=1)</w:t>
            </w:r>
          </w:p>
        </w:tc>
        <w:tc>
          <w:tcPr>
            <w:tcW w:w="1270" w:type="dxa"/>
            <w:gridSpan w:val="2"/>
            <w:tcBorders>
              <w:top w:val="nil"/>
              <w:left w:val="nil"/>
              <w:bottom w:val="single" w:sz="4" w:space="0" w:color="auto"/>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154</w:t>
            </w:r>
          </w:p>
          <w:p w:rsidR="00BC1E94" w:rsidRPr="00DF4536" w:rsidRDefault="00BC1E94" w:rsidP="00A90FA4">
            <w:pPr>
              <w:spacing w:line="240" w:lineRule="auto"/>
              <w:jc w:val="center"/>
              <w:rPr>
                <w:sz w:val="20"/>
              </w:rPr>
            </w:pPr>
            <w:r w:rsidRPr="00DF4536">
              <w:rPr>
                <w:rFonts w:eastAsia="Calibri"/>
                <w:sz w:val="20"/>
              </w:rPr>
              <w:t>(n=1)</w:t>
            </w:r>
          </w:p>
        </w:tc>
        <w:tc>
          <w:tcPr>
            <w:tcW w:w="1271" w:type="dxa"/>
            <w:tcBorders>
              <w:top w:val="nil"/>
              <w:left w:val="nil"/>
              <w:bottom w:val="single" w:sz="4" w:space="0" w:color="auto"/>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116</w:t>
            </w:r>
          </w:p>
          <w:p w:rsidR="00BC1E94" w:rsidRPr="00DF4536" w:rsidRDefault="00BC1E94" w:rsidP="00A90FA4">
            <w:pPr>
              <w:spacing w:line="240" w:lineRule="auto"/>
              <w:jc w:val="center"/>
              <w:rPr>
                <w:sz w:val="20"/>
              </w:rPr>
            </w:pPr>
            <w:r w:rsidRPr="00DF4536">
              <w:rPr>
                <w:rFonts w:eastAsia="Calibri"/>
                <w:sz w:val="20"/>
              </w:rPr>
              <w:t>(n=1)</w:t>
            </w:r>
          </w:p>
        </w:tc>
      </w:tr>
      <w:tr w:rsidR="00BC1E94" w:rsidRPr="00DF4536">
        <w:trPr>
          <w:jc w:val="center"/>
        </w:trPr>
        <w:tc>
          <w:tcPr>
            <w:tcW w:w="1073" w:type="dxa"/>
            <w:tcBorders>
              <w:top w:val="single" w:sz="4" w:space="0" w:color="auto"/>
              <w:bottom w:val="single" w:sz="4" w:space="0" w:color="auto"/>
              <w:right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Mean ± SD</w:t>
            </w:r>
          </w:p>
        </w:tc>
        <w:tc>
          <w:tcPr>
            <w:tcW w:w="1270" w:type="dxa"/>
            <w:tcBorders>
              <w:top w:val="single" w:sz="4" w:space="0" w:color="auto"/>
              <w:left w:val="nil"/>
              <w:bottom w:val="single" w:sz="4" w:space="0" w:color="auto"/>
              <w:right w:val="nil"/>
            </w:tcBorders>
            <w:tcMar>
              <w:top w:w="180" w:type="dxa"/>
              <w:left w:w="180" w:type="dxa"/>
              <w:bottom w:w="180" w:type="dxa"/>
              <w:right w:w="180" w:type="dxa"/>
            </w:tcMar>
          </w:tcPr>
          <w:p w:rsidR="007C2935" w:rsidRDefault="00BC1E94" w:rsidP="00A90FA4">
            <w:pPr>
              <w:spacing w:line="240" w:lineRule="auto"/>
              <w:jc w:val="center"/>
              <w:rPr>
                <w:rFonts w:eastAsia="Calibri"/>
                <w:sz w:val="20"/>
              </w:rPr>
            </w:pPr>
            <w:r w:rsidRPr="00DF4536">
              <w:rPr>
                <w:rFonts w:eastAsia="Calibri"/>
                <w:sz w:val="20"/>
              </w:rPr>
              <w:t xml:space="preserve">558 ± </w:t>
            </w:r>
          </w:p>
          <w:p w:rsidR="00BC1E94" w:rsidRPr="00DF4536" w:rsidRDefault="00BC1E94" w:rsidP="00A90FA4">
            <w:pPr>
              <w:spacing w:line="240" w:lineRule="auto"/>
              <w:jc w:val="center"/>
              <w:rPr>
                <w:sz w:val="20"/>
              </w:rPr>
            </w:pPr>
            <w:r w:rsidRPr="00DF4536">
              <w:rPr>
                <w:rFonts w:eastAsia="Calibri"/>
                <w:sz w:val="20"/>
              </w:rPr>
              <w:t>310</w:t>
            </w:r>
          </w:p>
          <w:p w:rsidR="00BC1E94" w:rsidRPr="00DF4536" w:rsidRDefault="00BC1E94" w:rsidP="00A90FA4">
            <w:pPr>
              <w:spacing w:line="240" w:lineRule="auto"/>
              <w:jc w:val="center"/>
              <w:rPr>
                <w:sz w:val="20"/>
              </w:rPr>
            </w:pPr>
            <w:r w:rsidRPr="00DF4536">
              <w:rPr>
                <w:rFonts w:eastAsia="Calibri"/>
                <w:sz w:val="20"/>
              </w:rPr>
              <w:t>(n=31)</w:t>
            </w:r>
          </w:p>
        </w:tc>
        <w:tc>
          <w:tcPr>
            <w:tcW w:w="1270" w:type="dxa"/>
            <w:tcBorders>
              <w:top w:val="single" w:sz="4" w:space="0" w:color="auto"/>
              <w:left w:val="nil"/>
              <w:bottom w:val="single" w:sz="4" w:space="0" w:color="auto"/>
              <w:right w:val="nil"/>
            </w:tcBorders>
            <w:tcMar>
              <w:top w:w="180" w:type="dxa"/>
              <w:left w:w="180" w:type="dxa"/>
              <w:bottom w:w="180" w:type="dxa"/>
              <w:right w:w="180" w:type="dxa"/>
            </w:tcMar>
          </w:tcPr>
          <w:p w:rsidR="00D147C7" w:rsidRDefault="00BC1E94" w:rsidP="00A90FA4">
            <w:pPr>
              <w:spacing w:line="240" w:lineRule="auto"/>
              <w:jc w:val="center"/>
              <w:rPr>
                <w:rFonts w:eastAsia="Calibri"/>
                <w:sz w:val="20"/>
              </w:rPr>
            </w:pPr>
            <w:r w:rsidRPr="00DF4536">
              <w:rPr>
                <w:rFonts w:eastAsia="Calibri"/>
                <w:sz w:val="20"/>
              </w:rPr>
              <w:t xml:space="preserve">448 </w:t>
            </w:r>
          </w:p>
          <w:p w:rsidR="00BC1E94" w:rsidRPr="00DF4536" w:rsidRDefault="00BC1E94" w:rsidP="00A90FA4">
            <w:pPr>
              <w:spacing w:line="240" w:lineRule="auto"/>
              <w:jc w:val="center"/>
              <w:rPr>
                <w:sz w:val="20"/>
              </w:rPr>
            </w:pPr>
            <w:r w:rsidRPr="00DF4536">
              <w:rPr>
                <w:rFonts w:eastAsia="Calibri"/>
                <w:sz w:val="20"/>
              </w:rPr>
              <w:t>± 307</w:t>
            </w:r>
          </w:p>
          <w:p w:rsidR="00BC1E94" w:rsidRPr="00DF4536" w:rsidRDefault="00BC1E94" w:rsidP="00A90FA4">
            <w:pPr>
              <w:spacing w:line="240" w:lineRule="auto"/>
              <w:jc w:val="center"/>
              <w:rPr>
                <w:sz w:val="20"/>
              </w:rPr>
            </w:pPr>
            <w:r w:rsidRPr="00DF4536">
              <w:rPr>
                <w:rFonts w:eastAsia="Calibri"/>
                <w:sz w:val="20"/>
              </w:rPr>
              <w:t>(n=31)</w:t>
            </w:r>
          </w:p>
        </w:tc>
        <w:tc>
          <w:tcPr>
            <w:tcW w:w="1270" w:type="dxa"/>
            <w:tcBorders>
              <w:top w:val="single" w:sz="4" w:space="0" w:color="auto"/>
              <w:left w:val="nil"/>
              <w:bottom w:val="single" w:sz="4" w:space="0" w:color="auto"/>
              <w:right w:val="nil"/>
            </w:tcBorders>
            <w:tcMar>
              <w:top w:w="180" w:type="dxa"/>
              <w:left w:w="180" w:type="dxa"/>
              <w:bottom w:w="180" w:type="dxa"/>
              <w:right w:w="180" w:type="dxa"/>
            </w:tcMar>
          </w:tcPr>
          <w:p w:rsidR="007C2935" w:rsidRDefault="00BC1E94" w:rsidP="00A90FA4">
            <w:pPr>
              <w:spacing w:line="240" w:lineRule="auto"/>
              <w:jc w:val="center"/>
              <w:rPr>
                <w:rFonts w:eastAsia="Calibri"/>
                <w:sz w:val="20"/>
              </w:rPr>
            </w:pPr>
            <w:r w:rsidRPr="00DF4536">
              <w:rPr>
                <w:rFonts w:eastAsia="Calibri"/>
                <w:sz w:val="20"/>
              </w:rPr>
              <w:t xml:space="preserve">353 ± </w:t>
            </w:r>
          </w:p>
          <w:p w:rsidR="00BC1E94" w:rsidRPr="00DF4536" w:rsidRDefault="00BC1E94" w:rsidP="00A90FA4">
            <w:pPr>
              <w:spacing w:line="240" w:lineRule="auto"/>
              <w:jc w:val="center"/>
              <w:rPr>
                <w:sz w:val="20"/>
              </w:rPr>
            </w:pPr>
            <w:r w:rsidRPr="00DF4536">
              <w:rPr>
                <w:rFonts w:eastAsia="Calibri"/>
                <w:sz w:val="20"/>
              </w:rPr>
              <w:t>216</w:t>
            </w:r>
          </w:p>
          <w:p w:rsidR="00BC1E94" w:rsidRPr="00DF4536" w:rsidRDefault="00BC1E94" w:rsidP="00A90FA4">
            <w:pPr>
              <w:spacing w:line="240" w:lineRule="auto"/>
              <w:jc w:val="center"/>
              <w:rPr>
                <w:sz w:val="20"/>
              </w:rPr>
            </w:pPr>
            <w:r w:rsidRPr="00DF4536">
              <w:rPr>
                <w:rFonts w:eastAsia="Calibri"/>
                <w:sz w:val="20"/>
              </w:rPr>
              <w:t>(n=26)</w:t>
            </w:r>
          </w:p>
        </w:tc>
        <w:tc>
          <w:tcPr>
            <w:tcW w:w="1250" w:type="dxa"/>
            <w:tcBorders>
              <w:top w:val="single" w:sz="4" w:space="0" w:color="auto"/>
              <w:left w:val="nil"/>
              <w:bottom w:val="single" w:sz="4" w:space="0" w:color="auto"/>
              <w:right w:val="nil"/>
            </w:tcBorders>
            <w:tcMar>
              <w:top w:w="180" w:type="dxa"/>
              <w:left w:w="180" w:type="dxa"/>
              <w:bottom w:w="180" w:type="dxa"/>
              <w:right w:w="180" w:type="dxa"/>
            </w:tcMar>
          </w:tcPr>
          <w:p w:rsidR="007C2935" w:rsidRDefault="00BC1E94" w:rsidP="00A90FA4">
            <w:pPr>
              <w:spacing w:line="240" w:lineRule="auto"/>
              <w:jc w:val="center"/>
              <w:rPr>
                <w:rFonts w:eastAsia="Calibri"/>
                <w:sz w:val="20"/>
              </w:rPr>
            </w:pPr>
            <w:r w:rsidRPr="00DF4536">
              <w:rPr>
                <w:rFonts w:eastAsia="Calibri"/>
                <w:sz w:val="20"/>
              </w:rPr>
              <w:t xml:space="preserve">466 ± </w:t>
            </w:r>
          </w:p>
          <w:p w:rsidR="00BC1E94" w:rsidRPr="00DF4536" w:rsidRDefault="00BC1E94" w:rsidP="00A90FA4">
            <w:pPr>
              <w:spacing w:line="240" w:lineRule="auto"/>
              <w:jc w:val="center"/>
              <w:rPr>
                <w:sz w:val="20"/>
              </w:rPr>
            </w:pPr>
            <w:r w:rsidRPr="00DF4536">
              <w:rPr>
                <w:rFonts w:eastAsia="Calibri"/>
                <w:sz w:val="20"/>
              </w:rPr>
              <w:t>283</w:t>
            </w:r>
          </w:p>
          <w:p w:rsidR="00BC1E94" w:rsidRPr="00DF4536" w:rsidRDefault="00BC1E94" w:rsidP="00A90FA4">
            <w:pPr>
              <w:spacing w:line="240" w:lineRule="auto"/>
              <w:jc w:val="center"/>
              <w:rPr>
                <w:sz w:val="20"/>
              </w:rPr>
            </w:pPr>
            <w:r w:rsidRPr="00DF4536">
              <w:rPr>
                <w:rFonts w:eastAsia="Calibri"/>
                <w:sz w:val="20"/>
              </w:rPr>
              <w:t>(n=19)</w:t>
            </w:r>
          </w:p>
        </w:tc>
        <w:tc>
          <w:tcPr>
            <w:tcW w:w="1291" w:type="dxa"/>
            <w:gridSpan w:val="2"/>
            <w:tcBorders>
              <w:top w:val="single" w:sz="4" w:space="0" w:color="auto"/>
              <w:left w:val="nil"/>
              <w:bottom w:val="single" w:sz="4" w:space="0" w:color="auto"/>
              <w:right w:val="nil"/>
            </w:tcBorders>
            <w:tcMar>
              <w:top w:w="180" w:type="dxa"/>
              <w:left w:w="180" w:type="dxa"/>
              <w:bottom w:w="180" w:type="dxa"/>
              <w:right w:w="180" w:type="dxa"/>
            </w:tcMar>
          </w:tcPr>
          <w:p w:rsidR="00D147C7" w:rsidRDefault="00BC1E94" w:rsidP="00A90FA4">
            <w:pPr>
              <w:spacing w:line="240" w:lineRule="auto"/>
              <w:jc w:val="center"/>
              <w:rPr>
                <w:rFonts w:eastAsia="Calibri"/>
                <w:sz w:val="20"/>
              </w:rPr>
            </w:pPr>
            <w:r w:rsidRPr="00DF4536">
              <w:rPr>
                <w:rFonts w:eastAsia="Calibri"/>
                <w:sz w:val="20"/>
              </w:rPr>
              <w:t>280 ±</w:t>
            </w:r>
          </w:p>
          <w:p w:rsidR="00BC1E94" w:rsidRPr="00DF4536" w:rsidRDefault="00BC1E94" w:rsidP="00A90FA4">
            <w:pPr>
              <w:spacing w:line="240" w:lineRule="auto"/>
              <w:jc w:val="center"/>
              <w:rPr>
                <w:sz w:val="20"/>
              </w:rPr>
            </w:pPr>
            <w:r w:rsidRPr="00DF4536">
              <w:rPr>
                <w:rFonts w:eastAsia="Calibri"/>
                <w:sz w:val="20"/>
              </w:rPr>
              <w:t xml:space="preserve"> 155</w:t>
            </w:r>
            <w:r w:rsidR="00D147C7" w:rsidRPr="00DF4536">
              <w:rPr>
                <w:rFonts w:eastAsia="Calibri"/>
                <w:sz w:val="20"/>
                <w:vertAlign w:val="superscript"/>
              </w:rPr>
              <w:t>a</w:t>
            </w:r>
          </w:p>
          <w:p w:rsidR="00BC1E94" w:rsidRPr="00DF4536" w:rsidRDefault="00BC1E94" w:rsidP="00A90FA4">
            <w:pPr>
              <w:spacing w:line="240" w:lineRule="auto"/>
              <w:jc w:val="center"/>
              <w:rPr>
                <w:sz w:val="20"/>
              </w:rPr>
            </w:pPr>
            <w:r w:rsidRPr="00DF4536">
              <w:rPr>
                <w:rFonts w:eastAsia="Calibri"/>
                <w:sz w:val="20"/>
              </w:rPr>
              <w:t>(n=31)</w:t>
            </w:r>
          </w:p>
        </w:tc>
        <w:tc>
          <w:tcPr>
            <w:tcW w:w="1270" w:type="dxa"/>
            <w:gridSpan w:val="2"/>
            <w:tcBorders>
              <w:top w:val="single" w:sz="4" w:space="0" w:color="auto"/>
              <w:left w:val="nil"/>
              <w:bottom w:val="single" w:sz="4" w:space="0" w:color="auto"/>
              <w:right w:val="nil"/>
            </w:tcBorders>
            <w:tcMar>
              <w:top w:w="180" w:type="dxa"/>
              <w:left w:w="180" w:type="dxa"/>
              <w:bottom w:w="180" w:type="dxa"/>
              <w:right w:w="180" w:type="dxa"/>
            </w:tcMar>
          </w:tcPr>
          <w:p w:rsidR="007C2935" w:rsidRDefault="00BC1E94" w:rsidP="00A90FA4">
            <w:pPr>
              <w:spacing w:line="240" w:lineRule="auto"/>
              <w:jc w:val="center"/>
              <w:rPr>
                <w:rFonts w:eastAsia="Calibri"/>
                <w:sz w:val="20"/>
              </w:rPr>
            </w:pPr>
            <w:r w:rsidRPr="00DF4536">
              <w:rPr>
                <w:rFonts w:eastAsia="Calibri"/>
                <w:sz w:val="20"/>
              </w:rPr>
              <w:t xml:space="preserve">121 ± </w:t>
            </w:r>
          </w:p>
          <w:p w:rsidR="00BC1E94" w:rsidRPr="00DF4536" w:rsidRDefault="00BC1E94" w:rsidP="00A90FA4">
            <w:pPr>
              <w:spacing w:line="240" w:lineRule="auto"/>
              <w:jc w:val="center"/>
              <w:rPr>
                <w:sz w:val="20"/>
              </w:rPr>
            </w:pPr>
            <w:r w:rsidRPr="00DF4536">
              <w:rPr>
                <w:rFonts w:eastAsia="Calibri"/>
                <w:sz w:val="20"/>
              </w:rPr>
              <w:t>68</w:t>
            </w:r>
          </w:p>
          <w:p w:rsidR="00BC1E94" w:rsidRPr="00DF4536" w:rsidRDefault="00BC1E94" w:rsidP="00A90FA4">
            <w:pPr>
              <w:spacing w:line="240" w:lineRule="auto"/>
              <w:jc w:val="center"/>
              <w:rPr>
                <w:sz w:val="20"/>
              </w:rPr>
            </w:pPr>
            <w:r w:rsidRPr="00DF4536">
              <w:rPr>
                <w:rFonts w:eastAsia="Calibri"/>
                <w:sz w:val="20"/>
              </w:rPr>
              <w:t>(n=26)</w:t>
            </w:r>
          </w:p>
        </w:tc>
        <w:tc>
          <w:tcPr>
            <w:tcW w:w="1271" w:type="dxa"/>
            <w:tcBorders>
              <w:top w:val="single" w:sz="4" w:space="0" w:color="auto"/>
              <w:left w:val="nil"/>
              <w:bottom w:val="single" w:sz="4" w:space="0" w:color="auto"/>
              <w:right w:val="nil"/>
            </w:tcBorders>
            <w:tcMar>
              <w:top w:w="180" w:type="dxa"/>
              <w:left w:w="180" w:type="dxa"/>
              <w:bottom w:w="180" w:type="dxa"/>
              <w:right w:w="180" w:type="dxa"/>
            </w:tcMar>
          </w:tcPr>
          <w:p w:rsidR="007C2935" w:rsidRDefault="00BC1E94" w:rsidP="00A90FA4">
            <w:pPr>
              <w:spacing w:line="240" w:lineRule="auto"/>
              <w:jc w:val="center"/>
              <w:rPr>
                <w:rFonts w:eastAsia="Calibri"/>
                <w:sz w:val="20"/>
              </w:rPr>
            </w:pPr>
            <w:r w:rsidRPr="00DF4536">
              <w:rPr>
                <w:rFonts w:eastAsia="Calibri"/>
                <w:sz w:val="20"/>
              </w:rPr>
              <w:t xml:space="preserve">114 ± </w:t>
            </w:r>
          </w:p>
          <w:p w:rsidR="00BC1E94" w:rsidRPr="00DF4536" w:rsidRDefault="00BC1E94" w:rsidP="00A90FA4">
            <w:pPr>
              <w:spacing w:line="240" w:lineRule="auto"/>
              <w:jc w:val="center"/>
              <w:rPr>
                <w:sz w:val="20"/>
              </w:rPr>
            </w:pPr>
            <w:r w:rsidRPr="00DF4536">
              <w:rPr>
                <w:rFonts w:eastAsia="Calibri"/>
                <w:sz w:val="20"/>
              </w:rPr>
              <w:t>100</w:t>
            </w:r>
          </w:p>
          <w:p w:rsidR="00BC1E94" w:rsidRPr="00DF4536" w:rsidRDefault="00BC1E94" w:rsidP="00A90FA4">
            <w:pPr>
              <w:spacing w:line="240" w:lineRule="auto"/>
              <w:jc w:val="center"/>
              <w:rPr>
                <w:sz w:val="20"/>
              </w:rPr>
            </w:pPr>
            <w:r w:rsidRPr="00DF4536">
              <w:rPr>
                <w:rFonts w:eastAsia="Calibri"/>
                <w:sz w:val="20"/>
              </w:rPr>
              <w:t>(n=19)</w:t>
            </w:r>
          </w:p>
        </w:tc>
      </w:tr>
    </w:tbl>
    <w:p w:rsidR="00BC1E94" w:rsidRPr="00DF4536" w:rsidRDefault="00BC1E94" w:rsidP="00BC1E94">
      <w:pPr>
        <w:spacing w:line="240" w:lineRule="auto"/>
        <w:jc w:val="center"/>
        <w:rPr>
          <w:sz w:val="20"/>
        </w:rPr>
      </w:pPr>
    </w:p>
    <w:p w:rsidR="00BC1E94" w:rsidRPr="00DF4536" w:rsidRDefault="00BC1E94" w:rsidP="00BC1E94">
      <w:pPr>
        <w:spacing w:line="240" w:lineRule="auto"/>
        <w:rPr>
          <w:sz w:val="20"/>
        </w:rPr>
      </w:pPr>
      <w:r w:rsidRPr="00DF4536">
        <w:rPr>
          <w:rFonts w:eastAsia="Calibri"/>
          <w:sz w:val="20"/>
          <w:vertAlign w:val="superscript"/>
        </w:rPr>
        <w:t>a</w:t>
      </w:r>
      <w:r w:rsidRPr="00DF4536">
        <w:rPr>
          <w:rFonts w:eastAsia="Calibri"/>
          <w:sz w:val="20"/>
        </w:rPr>
        <w:t xml:space="preserve"> significantly different to half-time</w:t>
      </w:r>
      <w:r w:rsidR="00472CB8">
        <w:rPr>
          <w:rFonts w:eastAsia="Calibri"/>
          <w:sz w:val="20"/>
        </w:rPr>
        <w:t xml:space="preserve"> (P=0.003) and post-match (P=0.033)</w:t>
      </w:r>
      <w:r w:rsidRPr="00DF4536">
        <w:rPr>
          <w:rFonts w:eastAsia="Calibri"/>
          <w:sz w:val="20"/>
        </w:rPr>
        <w:t xml:space="preserve">.  </w:t>
      </w:r>
    </w:p>
    <w:p w:rsidR="00BC1E94" w:rsidRPr="00DF4536" w:rsidRDefault="00BC1E94" w:rsidP="00BC1E94">
      <w:pPr>
        <w:spacing w:line="240" w:lineRule="auto"/>
        <w:rPr>
          <w:sz w:val="20"/>
        </w:rPr>
      </w:pPr>
      <w:r w:rsidRPr="00DF4536">
        <w:rPr>
          <w:rFonts w:eastAsia="Calibri"/>
          <w:sz w:val="20"/>
        </w:rPr>
        <w:t xml:space="preserve"> </w:t>
      </w:r>
    </w:p>
    <w:p w:rsidR="00BC1E94" w:rsidRPr="00DF4536" w:rsidRDefault="00BC1E94" w:rsidP="00BC1E94">
      <w:pPr>
        <w:spacing w:line="240" w:lineRule="auto"/>
        <w:rPr>
          <w:rFonts w:eastAsia="Calibri"/>
          <w:sz w:val="20"/>
        </w:rPr>
      </w:pPr>
    </w:p>
    <w:p w:rsidR="009428F3" w:rsidRDefault="009428F3">
      <w:pPr>
        <w:rPr>
          <w:rFonts w:eastAsia="Calibri"/>
          <w:sz w:val="20"/>
        </w:rPr>
      </w:pPr>
      <w:r>
        <w:rPr>
          <w:rFonts w:eastAsia="Calibri"/>
          <w:sz w:val="20"/>
        </w:rPr>
        <w:br w:type="page"/>
      </w:r>
    </w:p>
    <w:p w:rsidR="009428F3" w:rsidRDefault="009428F3" w:rsidP="00BC1E94">
      <w:pPr>
        <w:spacing w:line="240" w:lineRule="auto"/>
        <w:rPr>
          <w:rFonts w:eastAsia="Calibri"/>
          <w:sz w:val="20"/>
        </w:rPr>
        <w:sectPr w:rsidR="009428F3" w:rsidSect="00CD1FEE">
          <w:footerReference w:type="default" r:id="rId18"/>
          <w:pgSz w:w="12240" w:h="15840"/>
          <w:pgMar w:top="1440" w:right="1440" w:bottom="1440" w:left="1440" w:header="720" w:footer="720" w:gutter="0"/>
          <w:cols w:space="720"/>
          <w:docGrid w:linePitch="299"/>
        </w:sectPr>
      </w:pPr>
    </w:p>
    <w:p w:rsidR="00BC1E94" w:rsidRPr="00DF4536" w:rsidRDefault="00BC1E94" w:rsidP="00BC1E94">
      <w:pPr>
        <w:spacing w:line="240" w:lineRule="auto"/>
        <w:rPr>
          <w:sz w:val="20"/>
        </w:rPr>
      </w:pPr>
      <w:r w:rsidRPr="00DF4536">
        <w:rPr>
          <w:rFonts w:eastAsia="Calibri"/>
          <w:sz w:val="20"/>
        </w:rPr>
        <w:lastRenderedPageBreak/>
        <w:t xml:space="preserve">Table 2. Percentage </w:t>
      </w:r>
      <w:r w:rsidR="00406382">
        <w:rPr>
          <w:rFonts w:eastAsia="Calibri"/>
          <w:sz w:val="20"/>
        </w:rPr>
        <w:t>BM</w:t>
      </w:r>
      <w:r w:rsidRPr="00DF4536">
        <w:rPr>
          <w:rFonts w:eastAsia="Calibri"/>
          <w:sz w:val="20"/>
        </w:rPr>
        <w:t xml:space="preserve"> change, fluid loss and fluid intake during Super League match play in professional </w:t>
      </w:r>
      <w:r w:rsidR="006E759D">
        <w:rPr>
          <w:rFonts w:eastAsia="Calibri"/>
          <w:sz w:val="20"/>
        </w:rPr>
        <w:t>RL</w:t>
      </w:r>
      <w:r w:rsidRPr="00DF4536">
        <w:rPr>
          <w:rFonts w:eastAsia="Calibri"/>
          <w:sz w:val="20"/>
        </w:rPr>
        <w:t xml:space="preserve"> referees</w:t>
      </w:r>
    </w:p>
    <w:p w:rsidR="00BC1E94" w:rsidRPr="00DF4536" w:rsidRDefault="00BC1E94" w:rsidP="00BC1E94">
      <w:pPr>
        <w:spacing w:line="240" w:lineRule="auto"/>
        <w:rPr>
          <w:sz w:val="20"/>
        </w:rPr>
      </w:pPr>
      <w:r w:rsidRPr="00DF4536">
        <w:rPr>
          <w:rFonts w:eastAsia="Calibri"/>
          <w:sz w:val="20"/>
        </w:rPr>
        <w:t xml:space="preserve"> </w:t>
      </w:r>
    </w:p>
    <w:tbl>
      <w:tblPr>
        <w:tblW w:w="13020" w:type="dxa"/>
        <w:tblBorders>
          <w:top w:val="single" w:sz="4" w:space="0" w:color="auto"/>
          <w:bottom w:val="single" w:sz="4" w:space="0" w:color="auto"/>
        </w:tblBorders>
        <w:tblLayout w:type="fixed"/>
        <w:tblLook w:val="0600" w:firstRow="0" w:lastRow="0" w:firstColumn="0" w:lastColumn="0" w:noHBand="1" w:noVBand="1"/>
      </w:tblPr>
      <w:tblGrid>
        <w:gridCol w:w="2160"/>
        <w:gridCol w:w="2115"/>
        <w:gridCol w:w="1749"/>
        <w:gridCol w:w="66"/>
        <w:gridCol w:w="1683"/>
        <w:gridCol w:w="327"/>
        <w:gridCol w:w="1422"/>
        <w:gridCol w:w="153"/>
        <w:gridCol w:w="1596"/>
        <w:gridCol w:w="9"/>
        <w:gridCol w:w="1740"/>
      </w:tblGrid>
      <w:tr w:rsidR="00BC1E94" w:rsidRPr="00DF4536">
        <w:tc>
          <w:tcPr>
            <w:tcW w:w="2160" w:type="dxa"/>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Referee</w:t>
            </w:r>
          </w:p>
        </w:tc>
        <w:tc>
          <w:tcPr>
            <w:tcW w:w="2115" w:type="dxa"/>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 xml:space="preserve">Percentage </w:t>
            </w:r>
            <w:r w:rsidR="00406382">
              <w:rPr>
                <w:rFonts w:eastAsia="Calibri"/>
                <w:sz w:val="20"/>
              </w:rPr>
              <w:t>BM</w:t>
            </w:r>
            <w:r w:rsidRPr="00DF4536">
              <w:rPr>
                <w:rFonts w:eastAsia="Calibri"/>
                <w:sz w:val="20"/>
              </w:rPr>
              <w:t xml:space="preserve"> Change</w:t>
            </w:r>
          </w:p>
        </w:tc>
        <w:tc>
          <w:tcPr>
            <w:tcW w:w="1815" w:type="dxa"/>
            <w:gridSpan w:val="2"/>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Calculated Fluid Loss</w:t>
            </w:r>
          </w:p>
        </w:tc>
        <w:tc>
          <w:tcPr>
            <w:tcW w:w="2010" w:type="dxa"/>
            <w:gridSpan w:val="2"/>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Prematch Fluid Intake</w:t>
            </w:r>
          </w:p>
        </w:tc>
        <w:tc>
          <w:tcPr>
            <w:tcW w:w="1575" w:type="dxa"/>
            <w:gridSpan w:val="2"/>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First-half Fluid Intake</w:t>
            </w:r>
          </w:p>
        </w:tc>
        <w:tc>
          <w:tcPr>
            <w:tcW w:w="1605" w:type="dxa"/>
            <w:gridSpan w:val="2"/>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Half-time Fluid Intake</w:t>
            </w:r>
          </w:p>
        </w:tc>
        <w:tc>
          <w:tcPr>
            <w:tcW w:w="1740" w:type="dxa"/>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Second-half Fluid Intake</w:t>
            </w:r>
          </w:p>
        </w:tc>
      </w:tr>
      <w:tr w:rsidR="004A4B97" w:rsidRPr="00DF4536">
        <w:tc>
          <w:tcPr>
            <w:tcW w:w="2160" w:type="dxa"/>
            <w:tcBorders>
              <w:bottom w:val="single" w:sz="4" w:space="0" w:color="auto"/>
            </w:tcBorders>
            <w:tcMar>
              <w:top w:w="180" w:type="dxa"/>
              <w:left w:w="180" w:type="dxa"/>
              <w:bottom w:w="180" w:type="dxa"/>
              <w:right w:w="180" w:type="dxa"/>
            </w:tcMar>
          </w:tcPr>
          <w:p w:rsidR="004A4B97" w:rsidRPr="00DF4536" w:rsidRDefault="004A4B97" w:rsidP="00A90FA4">
            <w:pPr>
              <w:spacing w:line="240" w:lineRule="auto"/>
              <w:rPr>
                <w:sz w:val="20"/>
              </w:rPr>
            </w:pPr>
            <w:r w:rsidRPr="00DF4536">
              <w:rPr>
                <w:rFonts w:eastAsia="Calibri"/>
                <w:sz w:val="20"/>
              </w:rPr>
              <w:t xml:space="preserve"> </w:t>
            </w:r>
          </w:p>
        </w:tc>
        <w:tc>
          <w:tcPr>
            <w:tcW w:w="2115" w:type="dxa"/>
            <w:tcBorders>
              <w:bottom w:val="single" w:sz="4" w:space="0" w:color="auto"/>
            </w:tcBorders>
            <w:tcMar>
              <w:top w:w="180" w:type="dxa"/>
              <w:left w:w="180" w:type="dxa"/>
              <w:bottom w:w="180" w:type="dxa"/>
              <w:right w:w="180" w:type="dxa"/>
            </w:tcMar>
            <w:vAlign w:val="bottom"/>
          </w:tcPr>
          <w:p w:rsidR="004A4B97" w:rsidRPr="00DF4536" w:rsidRDefault="004A4B97" w:rsidP="00A90FA4">
            <w:pPr>
              <w:spacing w:line="240" w:lineRule="auto"/>
              <w:jc w:val="center"/>
              <w:rPr>
                <w:sz w:val="20"/>
              </w:rPr>
            </w:pPr>
            <w:r w:rsidRPr="00DF4536">
              <w:rPr>
                <w:rFonts w:eastAsia="Calibri"/>
                <w:sz w:val="20"/>
              </w:rPr>
              <w:t>(%)</w:t>
            </w:r>
          </w:p>
        </w:tc>
        <w:tc>
          <w:tcPr>
            <w:tcW w:w="1749" w:type="dxa"/>
            <w:tcBorders>
              <w:bottom w:val="single" w:sz="4" w:space="0" w:color="auto"/>
            </w:tcBorders>
            <w:tcMar>
              <w:top w:w="180" w:type="dxa"/>
              <w:left w:w="180" w:type="dxa"/>
              <w:bottom w:w="180" w:type="dxa"/>
              <w:right w:w="180" w:type="dxa"/>
            </w:tcMar>
          </w:tcPr>
          <w:p w:rsidR="004A4B97" w:rsidRPr="00DF4536" w:rsidRDefault="004A4B97" w:rsidP="00A90FA4">
            <w:pPr>
              <w:spacing w:line="240" w:lineRule="auto"/>
              <w:jc w:val="center"/>
              <w:rPr>
                <w:sz w:val="20"/>
              </w:rPr>
            </w:pPr>
            <w:r w:rsidRPr="00DF4536">
              <w:rPr>
                <w:rFonts w:eastAsia="Calibri"/>
                <w:sz w:val="20"/>
              </w:rPr>
              <w:t>(g)</w:t>
            </w:r>
          </w:p>
        </w:tc>
        <w:tc>
          <w:tcPr>
            <w:tcW w:w="1749" w:type="dxa"/>
            <w:gridSpan w:val="2"/>
            <w:tcBorders>
              <w:bottom w:val="single" w:sz="4" w:space="0" w:color="auto"/>
            </w:tcBorders>
          </w:tcPr>
          <w:p w:rsidR="004A4B97" w:rsidRPr="00DF4536" w:rsidRDefault="004A4B97" w:rsidP="00A90FA4">
            <w:pPr>
              <w:spacing w:line="240" w:lineRule="auto"/>
              <w:jc w:val="center"/>
              <w:rPr>
                <w:sz w:val="20"/>
              </w:rPr>
            </w:pPr>
            <w:r w:rsidRPr="00DF4536">
              <w:rPr>
                <w:rFonts w:eastAsia="Calibri"/>
                <w:sz w:val="20"/>
              </w:rPr>
              <w:t>(g)</w:t>
            </w:r>
          </w:p>
        </w:tc>
        <w:tc>
          <w:tcPr>
            <w:tcW w:w="1749" w:type="dxa"/>
            <w:gridSpan w:val="2"/>
            <w:tcBorders>
              <w:bottom w:val="single" w:sz="4" w:space="0" w:color="auto"/>
            </w:tcBorders>
          </w:tcPr>
          <w:p w:rsidR="004A4B97" w:rsidRPr="00DF4536" w:rsidRDefault="004A4B97" w:rsidP="00A90FA4">
            <w:pPr>
              <w:spacing w:line="240" w:lineRule="auto"/>
              <w:jc w:val="center"/>
              <w:rPr>
                <w:sz w:val="20"/>
              </w:rPr>
            </w:pPr>
            <w:r w:rsidRPr="00DF4536">
              <w:rPr>
                <w:rFonts w:eastAsia="Calibri"/>
                <w:sz w:val="20"/>
              </w:rPr>
              <w:t>(g)</w:t>
            </w:r>
          </w:p>
        </w:tc>
        <w:tc>
          <w:tcPr>
            <w:tcW w:w="1749" w:type="dxa"/>
            <w:gridSpan w:val="2"/>
            <w:tcBorders>
              <w:bottom w:val="single" w:sz="4" w:space="0" w:color="auto"/>
            </w:tcBorders>
          </w:tcPr>
          <w:p w:rsidR="004A4B97" w:rsidRPr="00DF4536" w:rsidRDefault="004A4B97" w:rsidP="00A90FA4">
            <w:pPr>
              <w:spacing w:line="240" w:lineRule="auto"/>
              <w:jc w:val="center"/>
              <w:rPr>
                <w:sz w:val="20"/>
              </w:rPr>
            </w:pPr>
            <w:r w:rsidRPr="00DF4536">
              <w:rPr>
                <w:rFonts w:eastAsia="Calibri"/>
                <w:sz w:val="20"/>
              </w:rPr>
              <w:t>(g)</w:t>
            </w:r>
          </w:p>
        </w:tc>
        <w:tc>
          <w:tcPr>
            <w:tcW w:w="1749" w:type="dxa"/>
            <w:gridSpan w:val="2"/>
            <w:tcBorders>
              <w:bottom w:val="single" w:sz="4" w:space="0" w:color="auto"/>
            </w:tcBorders>
          </w:tcPr>
          <w:p w:rsidR="004A4B97" w:rsidRPr="00DF4536" w:rsidRDefault="004A4B97" w:rsidP="00A90FA4">
            <w:pPr>
              <w:spacing w:line="240" w:lineRule="auto"/>
              <w:jc w:val="center"/>
              <w:rPr>
                <w:sz w:val="20"/>
              </w:rPr>
            </w:pPr>
            <w:r w:rsidRPr="00DF4536">
              <w:rPr>
                <w:rFonts w:eastAsia="Calibri"/>
                <w:sz w:val="20"/>
              </w:rPr>
              <w:t>(g)</w:t>
            </w:r>
          </w:p>
        </w:tc>
      </w:tr>
      <w:tr w:rsidR="00BC1E94" w:rsidRPr="00DF4536">
        <w:tc>
          <w:tcPr>
            <w:tcW w:w="2160" w:type="dxa"/>
            <w:tcBorders>
              <w:top w:val="single" w:sz="4" w:space="0" w:color="auto"/>
              <w:bottom w:val="nil"/>
            </w:tcBorders>
            <w:tcMar>
              <w:top w:w="180" w:type="dxa"/>
              <w:left w:w="180" w:type="dxa"/>
              <w:bottom w:w="180" w:type="dxa"/>
              <w:right w:w="180" w:type="dxa"/>
            </w:tcMar>
          </w:tcPr>
          <w:p w:rsidR="00BC1E94" w:rsidRPr="00DF4536" w:rsidRDefault="00BC1E94" w:rsidP="00A90FA4">
            <w:pPr>
              <w:spacing w:line="240" w:lineRule="auto"/>
              <w:rPr>
                <w:sz w:val="20"/>
              </w:rPr>
            </w:pPr>
            <w:r w:rsidRPr="00DF4536">
              <w:rPr>
                <w:rFonts w:eastAsia="Calibri"/>
                <w:sz w:val="20"/>
              </w:rPr>
              <w:t>1 (n=4)</w:t>
            </w:r>
          </w:p>
        </w:tc>
        <w:tc>
          <w:tcPr>
            <w:tcW w:w="2115" w:type="dxa"/>
            <w:tcBorders>
              <w:top w:val="single" w:sz="4" w:space="0" w:color="auto"/>
              <w:bottom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-0.4 ± 0.7</w:t>
            </w:r>
          </w:p>
        </w:tc>
        <w:tc>
          <w:tcPr>
            <w:tcW w:w="1815" w:type="dxa"/>
            <w:gridSpan w:val="2"/>
            <w:tcBorders>
              <w:top w:val="single" w:sz="4" w:space="0" w:color="auto"/>
              <w:bottom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924 ± 351</w:t>
            </w:r>
          </w:p>
        </w:tc>
        <w:tc>
          <w:tcPr>
            <w:tcW w:w="2010" w:type="dxa"/>
            <w:gridSpan w:val="2"/>
            <w:tcBorders>
              <w:top w:val="single" w:sz="4" w:space="0" w:color="auto"/>
              <w:bottom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349 ± 40</w:t>
            </w:r>
          </w:p>
        </w:tc>
        <w:tc>
          <w:tcPr>
            <w:tcW w:w="1575" w:type="dxa"/>
            <w:gridSpan w:val="2"/>
            <w:tcBorders>
              <w:top w:val="single" w:sz="4" w:space="0" w:color="auto"/>
              <w:bottom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491 ± 158</w:t>
            </w:r>
          </w:p>
        </w:tc>
        <w:tc>
          <w:tcPr>
            <w:tcW w:w="1605" w:type="dxa"/>
            <w:gridSpan w:val="2"/>
            <w:tcBorders>
              <w:top w:val="single" w:sz="4" w:space="0" w:color="auto"/>
              <w:bottom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214 ± 29</w:t>
            </w:r>
          </w:p>
        </w:tc>
        <w:tc>
          <w:tcPr>
            <w:tcW w:w="1740" w:type="dxa"/>
            <w:tcBorders>
              <w:top w:val="single" w:sz="4" w:space="0" w:color="auto"/>
              <w:bottom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394 ± 154</w:t>
            </w:r>
          </w:p>
        </w:tc>
      </w:tr>
      <w:tr w:rsidR="00BC1E94" w:rsidRPr="00DF4536">
        <w:tc>
          <w:tcPr>
            <w:tcW w:w="2160" w:type="dxa"/>
            <w:tcBorders>
              <w:top w:val="nil"/>
            </w:tcBorders>
            <w:tcMar>
              <w:top w:w="180" w:type="dxa"/>
              <w:left w:w="180" w:type="dxa"/>
              <w:bottom w:w="180" w:type="dxa"/>
              <w:right w:w="180" w:type="dxa"/>
            </w:tcMar>
          </w:tcPr>
          <w:p w:rsidR="00BC1E94" w:rsidRPr="00DF4536" w:rsidRDefault="00BC1E94" w:rsidP="00A90FA4">
            <w:pPr>
              <w:spacing w:line="240" w:lineRule="auto"/>
              <w:rPr>
                <w:sz w:val="20"/>
              </w:rPr>
            </w:pPr>
            <w:r w:rsidRPr="00DF4536">
              <w:rPr>
                <w:rFonts w:eastAsia="Calibri"/>
                <w:sz w:val="20"/>
              </w:rPr>
              <w:t>2 (n=4)</w:t>
            </w:r>
          </w:p>
        </w:tc>
        <w:tc>
          <w:tcPr>
            <w:tcW w:w="2115" w:type="dxa"/>
            <w:tcBorders>
              <w:top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-0.6 ± 1.0</w:t>
            </w:r>
          </w:p>
        </w:tc>
        <w:tc>
          <w:tcPr>
            <w:tcW w:w="1815" w:type="dxa"/>
            <w:gridSpan w:val="2"/>
            <w:tcBorders>
              <w:top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871 ± 460</w:t>
            </w:r>
          </w:p>
        </w:tc>
        <w:tc>
          <w:tcPr>
            <w:tcW w:w="2010" w:type="dxa"/>
            <w:gridSpan w:val="2"/>
            <w:tcBorders>
              <w:top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325 ± 124</w:t>
            </w:r>
          </w:p>
        </w:tc>
        <w:tc>
          <w:tcPr>
            <w:tcW w:w="1575" w:type="dxa"/>
            <w:gridSpan w:val="2"/>
            <w:tcBorders>
              <w:top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503 ± 158</w:t>
            </w:r>
          </w:p>
        </w:tc>
        <w:tc>
          <w:tcPr>
            <w:tcW w:w="1605" w:type="dxa"/>
            <w:gridSpan w:val="2"/>
            <w:tcBorders>
              <w:top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319 ± 75</w:t>
            </w:r>
          </w:p>
        </w:tc>
        <w:tc>
          <w:tcPr>
            <w:tcW w:w="1740" w:type="dxa"/>
            <w:tcBorders>
              <w:top w:val="nil"/>
            </w:tcBorders>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502 ± 258</w:t>
            </w:r>
          </w:p>
        </w:tc>
      </w:tr>
      <w:tr w:rsidR="00BC1E94" w:rsidRPr="00DF4536">
        <w:tc>
          <w:tcPr>
            <w:tcW w:w="2160" w:type="dxa"/>
            <w:tcMar>
              <w:top w:w="180" w:type="dxa"/>
              <w:left w:w="180" w:type="dxa"/>
              <w:bottom w:w="180" w:type="dxa"/>
              <w:right w:w="180" w:type="dxa"/>
            </w:tcMar>
          </w:tcPr>
          <w:p w:rsidR="00BC1E94" w:rsidRPr="00DF4536" w:rsidRDefault="00BC1E94" w:rsidP="00A90FA4">
            <w:pPr>
              <w:spacing w:line="240" w:lineRule="auto"/>
              <w:rPr>
                <w:sz w:val="20"/>
              </w:rPr>
            </w:pPr>
            <w:r w:rsidRPr="00DF4536">
              <w:rPr>
                <w:rFonts w:eastAsia="Calibri"/>
                <w:sz w:val="20"/>
              </w:rPr>
              <w:t>3 (n=5)</w:t>
            </w:r>
          </w:p>
        </w:tc>
        <w:tc>
          <w:tcPr>
            <w:tcW w:w="2115" w:type="dxa"/>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-0.6 ± 0.6</w:t>
            </w:r>
          </w:p>
        </w:tc>
        <w:tc>
          <w:tcPr>
            <w:tcW w:w="1815" w:type="dxa"/>
            <w:gridSpan w:val="2"/>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651 ± 128</w:t>
            </w:r>
          </w:p>
        </w:tc>
        <w:tc>
          <w:tcPr>
            <w:tcW w:w="2010" w:type="dxa"/>
            <w:gridSpan w:val="2"/>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374 ± 65</w:t>
            </w:r>
          </w:p>
        </w:tc>
        <w:tc>
          <w:tcPr>
            <w:tcW w:w="1575" w:type="dxa"/>
            <w:gridSpan w:val="2"/>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442 ± 212</w:t>
            </w:r>
          </w:p>
        </w:tc>
        <w:tc>
          <w:tcPr>
            <w:tcW w:w="1605" w:type="dxa"/>
            <w:gridSpan w:val="2"/>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184 ± 55</w:t>
            </w:r>
          </w:p>
        </w:tc>
        <w:tc>
          <w:tcPr>
            <w:tcW w:w="1740" w:type="dxa"/>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521 ± 163</w:t>
            </w:r>
          </w:p>
        </w:tc>
      </w:tr>
      <w:tr w:rsidR="00BC1E94" w:rsidRPr="00DF4536">
        <w:tc>
          <w:tcPr>
            <w:tcW w:w="2160" w:type="dxa"/>
            <w:tcMar>
              <w:top w:w="180" w:type="dxa"/>
              <w:left w:w="180" w:type="dxa"/>
              <w:bottom w:w="180" w:type="dxa"/>
              <w:right w:w="180" w:type="dxa"/>
            </w:tcMar>
          </w:tcPr>
          <w:p w:rsidR="00BC1E94" w:rsidRPr="00DF4536" w:rsidRDefault="00BC1E94" w:rsidP="00A90FA4">
            <w:pPr>
              <w:spacing w:line="240" w:lineRule="auto"/>
              <w:rPr>
                <w:sz w:val="20"/>
              </w:rPr>
            </w:pPr>
            <w:r w:rsidRPr="00DF4536">
              <w:rPr>
                <w:rFonts w:eastAsia="Calibri"/>
                <w:sz w:val="20"/>
              </w:rPr>
              <w:t>4 (n=4)</w:t>
            </w:r>
          </w:p>
        </w:tc>
        <w:tc>
          <w:tcPr>
            <w:tcW w:w="2115" w:type="dxa"/>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-1.0 ± 0.5</w:t>
            </w:r>
          </w:p>
        </w:tc>
        <w:tc>
          <w:tcPr>
            <w:tcW w:w="1815" w:type="dxa"/>
            <w:gridSpan w:val="2"/>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1094 ± 537</w:t>
            </w:r>
          </w:p>
        </w:tc>
        <w:tc>
          <w:tcPr>
            <w:tcW w:w="2010" w:type="dxa"/>
            <w:gridSpan w:val="2"/>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408 ± 160</w:t>
            </w:r>
          </w:p>
        </w:tc>
        <w:tc>
          <w:tcPr>
            <w:tcW w:w="1575" w:type="dxa"/>
            <w:gridSpan w:val="2"/>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567 ± 248</w:t>
            </w:r>
          </w:p>
        </w:tc>
        <w:tc>
          <w:tcPr>
            <w:tcW w:w="1605" w:type="dxa"/>
            <w:gridSpan w:val="2"/>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0 ± 0</w:t>
            </w:r>
          </w:p>
        </w:tc>
        <w:tc>
          <w:tcPr>
            <w:tcW w:w="1740" w:type="dxa"/>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458 ± 321</w:t>
            </w:r>
          </w:p>
        </w:tc>
      </w:tr>
      <w:tr w:rsidR="00BC1E94" w:rsidRPr="00DF4536">
        <w:tc>
          <w:tcPr>
            <w:tcW w:w="2160" w:type="dxa"/>
            <w:tcMar>
              <w:top w:w="180" w:type="dxa"/>
              <w:left w:w="180" w:type="dxa"/>
              <w:bottom w:w="180" w:type="dxa"/>
              <w:right w:w="180" w:type="dxa"/>
            </w:tcMar>
          </w:tcPr>
          <w:p w:rsidR="00BC1E94" w:rsidRPr="00DF4536" w:rsidRDefault="00BC1E94" w:rsidP="00A90FA4">
            <w:pPr>
              <w:spacing w:line="240" w:lineRule="auto"/>
              <w:rPr>
                <w:sz w:val="20"/>
              </w:rPr>
            </w:pPr>
            <w:r w:rsidRPr="00DF4536">
              <w:rPr>
                <w:rFonts w:eastAsia="Calibri"/>
                <w:sz w:val="20"/>
              </w:rPr>
              <w:t>5 (n=6)</w:t>
            </w:r>
          </w:p>
        </w:tc>
        <w:tc>
          <w:tcPr>
            <w:tcW w:w="2115" w:type="dxa"/>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-1.0 ± 1.0</w:t>
            </w:r>
          </w:p>
        </w:tc>
        <w:tc>
          <w:tcPr>
            <w:tcW w:w="1815" w:type="dxa"/>
            <w:gridSpan w:val="2"/>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950 ± 543</w:t>
            </w:r>
          </w:p>
        </w:tc>
        <w:tc>
          <w:tcPr>
            <w:tcW w:w="2010" w:type="dxa"/>
            <w:gridSpan w:val="2"/>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445 ± 76</w:t>
            </w:r>
          </w:p>
        </w:tc>
        <w:tc>
          <w:tcPr>
            <w:tcW w:w="1575" w:type="dxa"/>
            <w:gridSpan w:val="2"/>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392 ± 167</w:t>
            </w:r>
          </w:p>
        </w:tc>
        <w:tc>
          <w:tcPr>
            <w:tcW w:w="1605" w:type="dxa"/>
            <w:gridSpan w:val="2"/>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223 ± 54</w:t>
            </w:r>
          </w:p>
        </w:tc>
        <w:tc>
          <w:tcPr>
            <w:tcW w:w="1740" w:type="dxa"/>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449 ± 264</w:t>
            </w:r>
          </w:p>
        </w:tc>
      </w:tr>
      <w:tr w:rsidR="00BC1E94" w:rsidRPr="00DF4536">
        <w:tc>
          <w:tcPr>
            <w:tcW w:w="2160" w:type="dxa"/>
            <w:tcMar>
              <w:top w:w="180" w:type="dxa"/>
              <w:left w:w="180" w:type="dxa"/>
              <w:bottom w:w="180" w:type="dxa"/>
              <w:right w:w="180" w:type="dxa"/>
            </w:tcMar>
          </w:tcPr>
          <w:p w:rsidR="00BC1E94" w:rsidRPr="00DF4536" w:rsidRDefault="00BC1E94" w:rsidP="00A90FA4">
            <w:pPr>
              <w:spacing w:line="240" w:lineRule="auto"/>
              <w:rPr>
                <w:sz w:val="20"/>
              </w:rPr>
            </w:pPr>
            <w:r w:rsidRPr="00DF4536">
              <w:rPr>
                <w:rFonts w:eastAsia="Calibri"/>
                <w:sz w:val="20"/>
              </w:rPr>
              <w:t>6 (n=2)</w:t>
            </w:r>
          </w:p>
        </w:tc>
        <w:tc>
          <w:tcPr>
            <w:tcW w:w="2115" w:type="dxa"/>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-0.9 ± 0.4</w:t>
            </w:r>
          </w:p>
        </w:tc>
        <w:tc>
          <w:tcPr>
            <w:tcW w:w="1815" w:type="dxa"/>
            <w:gridSpan w:val="2"/>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907 ± 869</w:t>
            </w:r>
          </w:p>
        </w:tc>
        <w:tc>
          <w:tcPr>
            <w:tcW w:w="2010" w:type="dxa"/>
            <w:gridSpan w:val="2"/>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765 ± 256</w:t>
            </w:r>
          </w:p>
        </w:tc>
        <w:tc>
          <w:tcPr>
            <w:tcW w:w="1575" w:type="dxa"/>
            <w:gridSpan w:val="2"/>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401 ± 38</w:t>
            </w:r>
          </w:p>
        </w:tc>
        <w:tc>
          <w:tcPr>
            <w:tcW w:w="1605" w:type="dxa"/>
            <w:gridSpan w:val="2"/>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193 ± 38</w:t>
            </w:r>
          </w:p>
        </w:tc>
        <w:tc>
          <w:tcPr>
            <w:tcW w:w="1740" w:type="dxa"/>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337 ± 162</w:t>
            </w:r>
          </w:p>
        </w:tc>
      </w:tr>
      <w:tr w:rsidR="00BC1E94" w:rsidRPr="00DF4536">
        <w:tc>
          <w:tcPr>
            <w:tcW w:w="2160" w:type="dxa"/>
            <w:tcMar>
              <w:top w:w="180" w:type="dxa"/>
              <w:left w:w="180" w:type="dxa"/>
              <w:bottom w:w="180" w:type="dxa"/>
              <w:right w:w="180" w:type="dxa"/>
            </w:tcMar>
          </w:tcPr>
          <w:p w:rsidR="00BC1E94" w:rsidRPr="00DF4536" w:rsidRDefault="00BC1E94" w:rsidP="00A90FA4">
            <w:pPr>
              <w:spacing w:line="240" w:lineRule="auto"/>
              <w:rPr>
                <w:sz w:val="20"/>
              </w:rPr>
            </w:pPr>
            <w:r w:rsidRPr="00DF4536">
              <w:rPr>
                <w:rFonts w:eastAsia="Calibri"/>
                <w:sz w:val="20"/>
              </w:rPr>
              <w:t>7 (n=5)</w:t>
            </w:r>
          </w:p>
        </w:tc>
        <w:tc>
          <w:tcPr>
            <w:tcW w:w="2115" w:type="dxa"/>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-0.5 ± 1.0</w:t>
            </w:r>
          </w:p>
        </w:tc>
        <w:tc>
          <w:tcPr>
            <w:tcW w:w="1815" w:type="dxa"/>
            <w:gridSpan w:val="2"/>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1036 ± 272</w:t>
            </w:r>
          </w:p>
        </w:tc>
        <w:tc>
          <w:tcPr>
            <w:tcW w:w="2010" w:type="dxa"/>
            <w:gridSpan w:val="2"/>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559 ± 216</w:t>
            </w:r>
          </w:p>
        </w:tc>
        <w:tc>
          <w:tcPr>
            <w:tcW w:w="1575" w:type="dxa"/>
            <w:gridSpan w:val="2"/>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393 ± 169</w:t>
            </w:r>
          </w:p>
        </w:tc>
        <w:tc>
          <w:tcPr>
            <w:tcW w:w="1605" w:type="dxa"/>
            <w:gridSpan w:val="2"/>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540 ± 23</w:t>
            </w:r>
          </w:p>
        </w:tc>
        <w:tc>
          <w:tcPr>
            <w:tcW w:w="1740" w:type="dxa"/>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576 ± 251</w:t>
            </w:r>
          </w:p>
        </w:tc>
      </w:tr>
      <w:tr w:rsidR="00BC1E94" w:rsidRPr="00DF4536">
        <w:tc>
          <w:tcPr>
            <w:tcW w:w="2160" w:type="dxa"/>
            <w:tcMar>
              <w:top w:w="180" w:type="dxa"/>
              <w:left w:w="180" w:type="dxa"/>
              <w:bottom w:w="180" w:type="dxa"/>
              <w:right w:w="180" w:type="dxa"/>
            </w:tcMar>
          </w:tcPr>
          <w:p w:rsidR="00BC1E94" w:rsidRPr="00DF4536" w:rsidRDefault="00BC1E94" w:rsidP="00A90FA4">
            <w:pPr>
              <w:spacing w:line="240" w:lineRule="auto"/>
              <w:rPr>
                <w:sz w:val="20"/>
              </w:rPr>
            </w:pPr>
            <w:r w:rsidRPr="00DF4536">
              <w:rPr>
                <w:rFonts w:eastAsia="Calibri"/>
                <w:sz w:val="20"/>
              </w:rPr>
              <w:t>8 (n=1)</w:t>
            </w:r>
          </w:p>
        </w:tc>
        <w:tc>
          <w:tcPr>
            <w:tcW w:w="2115" w:type="dxa"/>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-0.7</w:t>
            </w:r>
          </w:p>
        </w:tc>
        <w:tc>
          <w:tcPr>
            <w:tcW w:w="1815" w:type="dxa"/>
            <w:gridSpan w:val="2"/>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88</w:t>
            </w:r>
          </w:p>
        </w:tc>
        <w:tc>
          <w:tcPr>
            <w:tcW w:w="2010" w:type="dxa"/>
            <w:gridSpan w:val="2"/>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576</w:t>
            </w:r>
          </w:p>
        </w:tc>
        <w:tc>
          <w:tcPr>
            <w:tcW w:w="1575" w:type="dxa"/>
            <w:gridSpan w:val="2"/>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0</w:t>
            </w:r>
          </w:p>
        </w:tc>
        <w:tc>
          <w:tcPr>
            <w:tcW w:w="1605" w:type="dxa"/>
            <w:gridSpan w:val="2"/>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494</w:t>
            </w:r>
          </w:p>
        </w:tc>
        <w:tc>
          <w:tcPr>
            <w:tcW w:w="1740" w:type="dxa"/>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336</w:t>
            </w:r>
          </w:p>
        </w:tc>
      </w:tr>
      <w:tr w:rsidR="00BC1E94" w:rsidRPr="00DF4536">
        <w:tc>
          <w:tcPr>
            <w:tcW w:w="2160" w:type="dxa"/>
            <w:tcMar>
              <w:top w:w="180" w:type="dxa"/>
              <w:left w:w="180" w:type="dxa"/>
              <w:bottom w:w="180" w:type="dxa"/>
              <w:right w:w="180" w:type="dxa"/>
            </w:tcMar>
          </w:tcPr>
          <w:p w:rsidR="00BC1E94" w:rsidRPr="00DF4536" w:rsidRDefault="00BC1E94" w:rsidP="00A90FA4">
            <w:pPr>
              <w:spacing w:line="240" w:lineRule="auto"/>
              <w:rPr>
                <w:sz w:val="20"/>
              </w:rPr>
            </w:pPr>
            <w:r w:rsidRPr="00DF4536">
              <w:rPr>
                <w:rFonts w:eastAsia="Calibri"/>
                <w:sz w:val="20"/>
              </w:rPr>
              <w:t>Mean ± SD (n = 31)</w:t>
            </w:r>
          </w:p>
        </w:tc>
        <w:tc>
          <w:tcPr>
            <w:tcW w:w="2115" w:type="dxa"/>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-0.7 ± 0.8</w:t>
            </w:r>
          </w:p>
        </w:tc>
        <w:tc>
          <w:tcPr>
            <w:tcW w:w="1815" w:type="dxa"/>
            <w:gridSpan w:val="2"/>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890 ± 435</w:t>
            </w:r>
          </w:p>
        </w:tc>
        <w:tc>
          <w:tcPr>
            <w:tcW w:w="2010" w:type="dxa"/>
            <w:gridSpan w:val="2"/>
            <w:tcMar>
              <w:top w:w="180" w:type="dxa"/>
              <w:left w:w="180" w:type="dxa"/>
              <w:bottom w:w="180" w:type="dxa"/>
              <w:right w:w="180" w:type="dxa"/>
            </w:tcMar>
          </w:tcPr>
          <w:p w:rsidR="00BC1E94" w:rsidRPr="00DF4536" w:rsidRDefault="00BC1E94" w:rsidP="0052188E">
            <w:pPr>
              <w:spacing w:line="240" w:lineRule="auto"/>
              <w:jc w:val="center"/>
              <w:rPr>
                <w:sz w:val="20"/>
              </w:rPr>
            </w:pPr>
            <w:r w:rsidRPr="00DF4536">
              <w:rPr>
                <w:rFonts w:eastAsia="Calibri"/>
                <w:sz w:val="20"/>
              </w:rPr>
              <w:t>444 ± 167</w:t>
            </w:r>
          </w:p>
        </w:tc>
        <w:tc>
          <w:tcPr>
            <w:tcW w:w="1575" w:type="dxa"/>
            <w:gridSpan w:val="2"/>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438 ± 190</w:t>
            </w:r>
          </w:p>
        </w:tc>
        <w:tc>
          <w:tcPr>
            <w:tcW w:w="1605" w:type="dxa"/>
            <w:gridSpan w:val="2"/>
            <w:tcMar>
              <w:top w:w="180" w:type="dxa"/>
              <w:left w:w="180" w:type="dxa"/>
              <w:bottom w:w="180" w:type="dxa"/>
              <w:right w:w="180" w:type="dxa"/>
            </w:tcMar>
          </w:tcPr>
          <w:p w:rsidR="00BC1E94" w:rsidRPr="00DF4536" w:rsidRDefault="00BC1E94" w:rsidP="00A90FA4">
            <w:pPr>
              <w:spacing w:line="240" w:lineRule="auto"/>
              <w:jc w:val="center"/>
              <w:rPr>
                <w:sz w:val="20"/>
              </w:rPr>
            </w:pPr>
            <w:r w:rsidRPr="00DF4536">
              <w:rPr>
                <w:rFonts w:eastAsia="Calibri"/>
                <w:sz w:val="20"/>
              </w:rPr>
              <w:t>254 ± 108</w:t>
            </w:r>
            <w:r w:rsidR="0052188E" w:rsidRPr="00DF4536">
              <w:rPr>
                <w:rFonts w:eastAsia="Calibri"/>
                <w:sz w:val="20"/>
                <w:vertAlign w:val="superscript"/>
              </w:rPr>
              <w:t>a</w:t>
            </w:r>
          </w:p>
        </w:tc>
        <w:tc>
          <w:tcPr>
            <w:tcW w:w="1740" w:type="dxa"/>
            <w:tcMar>
              <w:top w:w="180" w:type="dxa"/>
              <w:left w:w="180" w:type="dxa"/>
              <w:bottom w:w="180" w:type="dxa"/>
              <w:right w:w="180" w:type="dxa"/>
            </w:tcMar>
          </w:tcPr>
          <w:p w:rsidR="00BC1E94" w:rsidRPr="00DF4536" w:rsidRDefault="00BC1E94" w:rsidP="0052188E">
            <w:pPr>
              <w:spacing w:line="240" w:lineRule="auto"/>
              <w:jc w:val="center"/>
              <w:rPr>
                <w:sz w:val="20"/>
              </w:rPr>
            </w:pPr>
            <w:r w:rsidRPr="00DF4536">
              <w:rPr>
                <w:rFonts w:eastAsia="Calibri"/>
                <w:sz w:val="20"/>
              </w:rPr>
              <w:t>471 ± 221</w:t>
            </w:r>
          </w:p>
        </w:tc>
      </w:tr>
    </w:tbl>
    <w:p w:rsidR="00BC1E94" w:rsidRDefault="00BC1E94" w:rsidP="00D613E9">
      <w:pPr>
        <w:spacing w:line="240" w:lineRule="auto"/>
      </w:pPr>
      <w:r w:rsidRPr="00DF4536">
        <w:rPr>
          <w:rFonts w:eastAsia="Calibri"/>
          <w:sz w:val="20"/>
          <w:vertAlign w:val="superscript"/>
        </w:rPr>
        <w:t>a</w:t>
      </w:r>
      <w:r w:rsidRPr="00DF4536">
        <w:rPr>
          <w:rFonts w:eastAsia="Calibri"/>
          <w:sz w:val="20"/>
        </w:rPr>
        <w:t xml:space="preserve"> significantly different to </w:t>
      </w:r>
      <w:r w:rsidR="00472CB8">
        <w:rPr>
          <w:rFonts w:eastAsia="Calibri"/>
          <w:sz w:val="20"/>
        </w:rPr>
        <w:t>pre-match (P&lt;0.001), first-half (P=0.013) and second-half (P&lt;0.001).</w:t>
      </w:r>
      <w:r w:rsidR="00D613E9">
        <w:t xml:space="preserve"> </w:t>
      </w:r>
    </w:p>
    <w:sectPr w:rsidR="00BC1E94" w:rsidSect="009428F3">
      <w:pgSz w:w="15840" w:h="12240" w:orient="landscape"/>
      <w:pgMar w:top="1440" w:right="1440" w:bottom="1440" w:left="1440" w:header="720" w:footer="720" w:gutter="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982" w:rsidRDefault="00AF1982" w:rsidP="00E34881">
      <w:pPr>
        <w:spacing w:line="240" w:lineRule="auto"/>
      </w:pPr>
      <w:r>
        <w:separator/>
      </w:r>
    </w:p>
  </w:endnote>
  <w:endnote w:type="continuationSeparator" w:id="0">
    <w:p w:rsidR="00AF1982" w:rsidRDefault="00AF1982" w:rsidP="00E348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516531"/>
      <w:docPartObj>
        <w:docPartGallery w:val="Page Numbers (Bottom of Page)"/>
        <w:docPartUnique/>
      </w:docPartObj>
    </w:sdtPr>
    <w:sdtEndPr>
      <w:rPr>
        <w:noProof/>
      </w:rPr>
    </w:sdtEndPr>
    <w:sdtContent>
      <w:p w:rsidR="0089067C" w:rsidRDefault="008E51A6">
        <w:pPr>
          <w:pStyle w:val="Footer"/>
          <w:jc w:val="center"/>
        </w:pPr>
        <w:r>
          <w:fldChar w:fldCharType="begin"/>
        </w:r>
        <w:r>
          <w:instrText xml:space="preserve"> PAGE   \* MERGEFORMAT </w:instrText>
        </w:r>
        <w:r>
          <w:fldChar w:fldCharType="separate"/>
        </w:r>
        <w:r w:rsidR="00CD1FEE">
          <w:rPr>
            <w:noProof/>
          </w:rPr>
          <w:t>1</w:t>
        </w:r>
        <w:r>
          <w:rPr>
            <w:noProof/>
          </w:rPr>
          <w:fldChar w:fldCharType="end"/>
        </w:r>
      </w:p>
    </w:sdtContent>
  </w:sdt>
  <w:p w:rsidR="0089067C" w:rsidRDefault="008906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982" w:rsidRDefault="00AF1982" w:rsidP="00E34881">
      <w:pPr>
        <w:spacing w:line="240" w:lineRule="auto"/>
      </w:pPr>
      <w:r>
        <w:separator/>
      </w:r>
    </w:p>
  </w:footnote>
  <w:footnote w:type="continuationSeparator" w:id="0">
    <w:p w:rsidR="00AF1982" w:rsidRDefault="00AF1982" w:rsidP="00E348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45B2"/>
    <w:multiLevelType w:val="hybridMultilevel"/>
    <w:tmpl w:val="1CE03E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104524"/>
    <w:multiLevelType w:val="hybridMultilevel"/>
    <w:tmpl w:val="4858E6CE"/>
    <w:lvl w:ilvl="0" w:tplc="6F86D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A56D2C"/>
    <w:multiLevelType w:val="hybridMultilevel"/>
    <w:tmpl w:val="FA507C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8F41624"/>
    <w:multiLevelType w:val="hybridMultilevel"/>
    <w:tmpl w:val="45543B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0843BA0"/>
    <w:multiLevelType w:val="hybridMultilevel"/>
    <w:tmpl w:val="5B2E7A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D876DA2"/>
    <w:multiLevelType w:val="hybridMultilevel"/>
    <w:tmpl w:val="446C6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C1C55E5"/>
    <w:multiLevelType w:val="hybridMultilevel"/>
    <w:tmpl w:val="13D2A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E40397"/>
    <w:multiLevelType w:val="hybridMultilevel"/>
    <w:tmpl w:val="E548A3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0"/>
  </w:num>
  <w:num w:numId="5">
    <w:abstractNumId w:val="5"/>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Harvar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vz0t5fatxs0arez024ptt960vxvtawt920f&quot;&gt;Hydration&lt;record-ids&gt;&lt;item&gt;39&lt;/item&gt;&lt;item&gt;50&lt;/item&gt;&lt;item&gt;147&lt;/item&gt;&lt;item&gt;165&lt;/item&gt;&lt;item&gt;301&lt;/item&gt;&lt;item&gt;651&lt;/item&gt;&lt;item&gt;753&lt;/item&gt;&lt;item&gt;758&lt;/item&gt;&lt;item&gt;759&lt;/item&gt;&lt;item&gt;763&lt;/item&gt;&lt;item&gt;767&lt;/item&gt;&lt;item&gt;771&lt;/item&gt;&lt;item&gt;772&lt;/item&gt;&lt;item&gt;784&lt;/item&gt;&lt;item&gt;801&lt;/item&gt;&lt;item&gt;803&lt;/item&gt;&lt;/record-ids&gt;&lt;/item&gt;&lt;/Libraries&gt;"/>
  </w:docVars>
  <w:rsids>
    <w:rsidRoot w:val="00AB011A"/>
    <w:rsid w:val="00015CF2"/>
    <w:rsid w:val="000238DF"/>
    <w:rsid w:val="000309B2"/>
    <w:rsid w:val="00030E5C"/>
    <w:rsid w:val="00035949"/>
    <w:rsid w:val="000371AC"/>
    <w:rsid w:val="00037C15"/>
    <w:rsid w:val="000509FD"/>
    <w:rsid w:val="00091DE3"/>
    <w:rsid w:val="000C0792"/>
    <w:rsid w:val="000C3420"/>
    <w:rsid w:val="000E08CD"/>
    <w:rsid w:val="000E3B8A"/>
    <w:rsid w:val="000E42D7"/>
    <w:rsid w:val="000E695F"/>
    <w:rsid w:val="0010451D"/>
    <w:rsid w:val="00112172"/>
    <w:rsid w:val="00121869"/>
    <w:rsid w:val="00125333"/>
    <w:rsid w:val="0013000D"/>
    <w:rsid w:val="001347AA"/>
    <w:rsid w:val="00144005"/>
    <w:rsid w:val="00153F79"/>
    <w:rsid w:val="00162AAC"/>
    <w:rsid w:val="001917A5"/>
    <w:rsid w:val="00192243"/>
    <w:rsid w:val="00197B84"/>
    <w:rsid w:val="00197DC3"/>
    <w:rsid w:val="001A3EDE"/>
    <w:rsid w:val="001A5F63"/>
    <w:rsid w:val="001A685A"/>
    <w:rsid w:val="001C0FAE"/>
    <w:rsid w:val="001C744D"/>
    <w:rsid w:val="001E299A"/>
    <w:rsid w:val="001E3CE3"/>
    <w:rsid w:val="001F2154"/>
    <w:rsid w:val="001F7C52"/>
    <w:rsid w:val="00200792"/>
    <w:rsid w:val="0020451B"/>
    <w:rsid w:val="00213484"/>
    <w:rsid w:val="00216349"/>
    <w:rsid w:val="00217309"/>
    <w:rsid w:val="00221A4B"/>
    <w:rsid w:val="00275A41"/>
    <w:rsid w:val="003042F6"/>
    <w:rsid w:val="00305608"/>
    <w:rsid w:val="00306DF7"/>
    <w:rsid w:val="00317C77"/>
    <w:rsid w:val="00322E34"/>
    <w:rsid w:val="003476BB"/>
    <w:rsid w:val="003520FB"/>
    <w:rsid w:val="00353A3A"/>
    <w:rsid w:val="003667A8"/>
    <w:rsid w:val="00381003"/>
    <w:rsid w:val="00393C8B"/>
    <w:rsid w:val="00396158"/>
    <w:rsid w:val="003A7871"/>
    <w:rsid w:val="003D6CD8"/>
    <w:rsid w:val="003E2BA4"/>
    <w:rsid w:val="003E624F"/>
    <w:rsid w:val="00400104"/>
    <w:rsid w:val="00405362"/>
    <w:rsid w:val="00406382"/>
    <w:rsid w:val="00430FD5"/>
    <w:rsid w:val="00441F36"/>
    <w:rsid w:val="004615BF"/>
    <w:rsid w:val="00462DB5"/>
    <w:rsid w:val="00472CB8"/>
    <w:rsid w:val="00475D38"/>
    <w:rsid w:val="004864BE"/>
    <w:rsid w:val="00495B68"/>
    <w:rsid w:val="004A4B97"/>
    <w:rsid w:val="004B704E"/>
    <w:rsid w:val="004D0A99"/>
    <w:rsid w:val="004D49C2"/>
    <w:rsid w:val="004E0045"/>
    <w:rsid w:val="004E450B"/>
    <w:rsid w:val="0051001B"/>
    <w:rsid w:val="0052188E"/>
    <w:rsid w:val="00522413"/>
    <w:rsid w:val="00542557"/>
    <w:rsid w:val="005678BD"/>
    <w:rsid w:val="00570AFB"/>
    <w:rsid w:val="00570DF9"/>
    <w:rsid w:val="005A31F1"/>
    <w:rsid w:val="005C0507"/>
    <w:rsid w:val="005C0710"/>
    <w:rsid w:val="005C4FC4"/>
    <w:rsid w:val="005D6844"/>
    <w:rsid w:val="005D7BCF"/>
    <w:rsid w:val="005F7CA3"/>
    <w:rsid w:val="00614D39"/>
    <w:rsid w:val="00617BFF"/>
    <w:rsid w:val="0064099E"/>
    <w:rsid w:val="00670A33"/>
    <w:rsid w:val="00695ABC"/>
    <w:rsid w:val="00695BE4"/>
    <w:rsid w:val="006B0DD1"/>
    <w:rsid w:val="006B280B"/>
    <w:rsid w:val="006E759D"/>
    <w:rsid w:val="006F259F"/>
    <w:rsid w:val="00701FAC"/>
    <w:rsid w:val="00702E28"/>
    <w:rsid w:val="007058F8"/>
    <w:rsid w:val="0071436A"/>
    <w:rsid w:val="00716391"/>
    <w:rsid w:val="00727493"/>
    <w:rsid w:val="0074475F"/>
    <w:rsid w:val="00751781"/>
    <w:rsid w:val="00770A99"/>
    <w:rsid w:val="00791004"/>
    <w:rsid w:val="00794B83"/>
    <w:rsid w:val="00797BD5"/>
    <w:rsid w:val="007A53D5"/>
    <w:rsid w:val="007B58FF"/>
    <w:rsid w:val="007B7E14"/>
    <w:rsid w:val="007C2935"/>
    <w:rsid w:val="007E58B7"/>
    <w:rsid w:val="007E7B14"/>
    <w:rsid w:val="008122B2"/>
    <w:rsid w:val="00831A9B"/>
    <w:rsid w:val="00837675"/>
    <w:rsid w:val="008439D5"/>
    <w:rsid w:val="0084406C"/>
    <w:rsid w:val="008457F6"/>
    <w:rsid w:val="00863907"/>
    <w:rsid w:val="0086465A"/>
    <w:rsid w:val="00870F06"/>
    <w:rsid w:val="0087266D"/>
    <w:rsid w:val="00885BCA"/>
    <w:rsid w:val="0088710D"/>
    <w:rsid w:val="0089067C"/>
    <w:rsid w:val="0089162D"/>
    <w:rsid w:val="00891DD6"/>
    <w:rsid w:val="008963B2"/>
    <w:rsid w:val="008A2D9D"/>
    <w:rsid w:val="008E51A6"/>
    <w:rsid w:val="008E752D"/>
    <w:rsid w:val="00901537"/>
    <w:rsid w:val="00915C32"/>
    <w:rsid w:val="00935CD5"/>
    <w:rsid w:val="009428F3"/>
    <w:rsid w:val="00943F30"/>
    <w:rsid w:val="0094568E"/>
    <w:rsid w:val="00966E3F"/>
    <w:rsid w:val="009739C9"/>
    <w:rsid w:val="00986B17"/>
    <w:rsid w:val="009C037C"/>
    <w:rsid w:val="009C19B3"/>
    <w:rsid w:val="009D3F54"/>
    <w:rsid w:val="009D4ACA"/>
    <w:rsid w:val="009D5208"/>
    <w:rsid w:val="009F6CC2"/>
    <w:rsid w:val="00A02E98"/>
    <w:rsid w:val="00A06DB7"/>
    <w:rsid w:val="00A14A75"/>
    <w:rsid w:val="00A14C17"/>
    <w:rsid w:val="00A247EA"/>
    <w:rsid w:val="00A33BE9"/>
    <w:rsid w:val="00A56F94"/>
    <w:rsid w:val="00A62CCC"/>
    <w:rsid w:val="00A637BB"/>
    <w:rsid w:val="00A90FA4"/>
    <w:rsid w:val="00AA1420"/>
    <w:rsid w:val="00AA247E"/>
    <w:rsid w:val="00AA2D27"/>
    <w:rsid w:val="00AB011A"/>
    <w:rsid w:val="00AD1802"/>
    <w:rsid w:val="00AD1B97"/>
    <w:rsid w:val="00AD69FD"/>
    <w:rsid w:val="00AD7084"/>
    <w:rsid w:val="00AF1982"/>
    <w:rsid w:val="00AF37D0"/>
    <w:rsid w:val="00AF39EC"/>
    <w:rsid w:val="00B01C5B"/>
    <w:rsid w:val="00B1600F"/>
    <w:rsid w:val="00B2595D"/>
    <w:rsid w:val="00B3631F"/>
    <w:rsid w:val="00B80844"/>
    <w:rsid w:val="00B8330E"/>
    <w:rsid w:val="00BB0668"/>
    <w:rsid w:val="00BB5134"/>
    <w:rsid w:val="00BC1E94"/>
    <w:rsid w:val="00BC2EC6"/>
    <w:rsid w:val="00BE458A"/>
    <w:rsid w:val="00BF0C02"/>
    <w:rsid w:val="00C139BB"/>
    <w:rsid w:val="00C174D5"/>
    <w:rsid w:val="00C23F66"/>
    <w:rsid w:val="00C31C0C"/>
    <w:rsid w:val="00C4112D"/>
    <w:rsid w:val="00C5497D"/>
    <w:rsid w:val="00C6072D"/>
    <w:rsid w:val="00C76D88"/>
    <w:rsid w:val="00C812C2"/>
    <w:rsid w:val="00C844C4"/>
    <w:rsid w:val="00C8480A"/>
    <w:rsid w:val="00C97FE2"/>
    <w:rsid w:val="00CA0613"/>
    <w:rsid w:val="00CA1578"/>
    <w:rsid w:val="00CA4BE2"/>
    <w:rsid w:val="00CB2ED5"/>
    <w:rsid w:val="00CB4D18"/>
    <w:rsid w:val="00CB51A1"/>
    <w:rsid w:val="00CB76C8"/>
    <w:rsid w:val="00CC5420"/>
    <w:rsid w:val="00CD1F3A"/>
    <w:rsid w:val="00CD1FEE"/>
    <w:rsid w:val="00CE5B44"/>
    <w:rsid w:val="00CE7072"/>
    <w:rsid w:val="00D004E3"/>
    <w:rsid w:val="00D02F35"/>
    <w:rsid w:val="00D05314"/>
    <w:rsid w:val="00D1214B"/>
    <w:rsid w:val="00D147C7"/>
    <w:rsid w:val="00D30B39"/>
    <w:rsid w:val="00D31D9E"/>
    <w:rsid w:val="00D35A2D"/>
    <w:rsid w:val="00D420B7"/>
    <w:rsid w:val="00D45191"/>
    <w:rsid w:val="00D613E9"/>
    <w:rsid w:val="00D77C1C"/>
    <w:rsid w:val="00D8080B"/>
    <w:rsid w:val="00D906E0"/>
    <w:rsid w:val="00DA1D54"/>
    <w:rsid w:val="00DA3D1F"/>
    <w:rsid w:val="00DA61B0"/>
    <w:rsid w:val="00DB1DCB"/>
    <w:rsid w:val="00DB72B5"/>
    <w:rsid w:val="00DC0D0C"/>
    <w:rsid w:val="00DC495A"/>
    <w:rsid w:val="00DD6164"/>
    <w:rsid w:val="00DE12B8"/>
    <w:rsid w:val="00DE135B"/>
    <w:rsid w:val="00DE1EEF"/>
    <w:rsid w:val="00DE6432"/>
    <w:rsid w:val="00DF1081"/>
    <w:rsid w:val="00DF7977"/>
    <w:rsid w:val="00E05461"/>
    <w:rsid w:val="00E12057"/>
    <w:rsid w:val="00E12F10"/>
    <w:rsid w:val="00E34881"/>
    <w:rsid w:val="00E47D2B"/>
    <w:rsid w:val="00E7000E"/>
    <w:rsid w:val="00E754B5"/>
    <w:rsid w:val="00E8784B"/>
    <w:rsid w:val="00E90D90"/>
    <w:rsid w:val="00EA16E3"/>
    <w:rsid w:val="00ED0A9F"/>
    <w:rsid w:val="00EE4494"/>
    <w:rsid w:val="00EE73F2"/>
    <w:rsid w:val="00F02E0B"/>
    <w:rsid w:val="00F05DCD"/>
    <w:rsid w:val="00F1598A"/>
    <w:rsid w:val="00F17D6B"/>
    <w:rsid w:val="00F30141"/>
    <w:rsid w:val="00F36DC1"/>
    <w:rsid w:val="00F526F8"/>
    <w:rsid w:val="00F55A31"/>
    <w:rsid w:val="00F60806"/>
    <w:rsid w:val="00F71FF6"/>
    <w:rsid w:val="00F772C0"/>
    <w:rsid w:val="00F853B2"/>
    <w:rsid w:val="00F94E00"/>
    <w:rsid w:val="00F965B7"/>
    <w:rsid w:val="00FA1702"/>
    <w:rsid w:val="00FB0FA6"/>
    <w:rsid w:val="00FD2137"/>
    <w:rsid w:val="00FD6202"/>
    <w:rsid w:val="00FE188E"/>
    <w:rsid w:val="00FE18B6"/>
    <w:rsid w:val="00FF03FC"/>
    <w:rsid w:val="00FF22AF"/>
    <w:rsid w:val="00FF346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0806"/>
  </w:style>
  <w:style w:type="paragraph" w:styleId="Heading1">
    <w:name w:val="heading 1"/>
    <w:basedOn w:val="Normal"/>
    <w:next w:val="Normal"/>
    <w:link w:val="Heading1Char"/>
    <w:rsid w:val="00F60806"/>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link w:val="Heading2Char"/>
    <w:rsid w:val="00F60806"/>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link w:val="Heading3Char"/>
    <w:rsid w:val="00F60806"/>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link w:val="Heading4Char"/>
    <w:rsid w:val="00F60806"/>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link w:val="Heading5Char"/>
    <w:rsid w:val="00F60806"/>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link w:val="Heading6Char"/>
    <w:rsid w:val="00F60806"/>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67C"/>
    <w:rPr>
      <w:rFonts w:ascii="Trebuchet MS" w:eastAsia="Trebuchet MS" w:hAnsi="Trebuchet MS" w:cs="Trebuchet MS"/>
      <w:sz w:val="32"/>
    </w:rPr>
  </w:style>
  <w:style w:type="character" w:customStyle="1" w:styleId="Heading2Char">
    <w:name w:val="Heading 2 Char"/>
    <w:basedOn w:val="DefaultParagraphFont"/>
    <w:link w:val="Heading2"/>
    <w:rsid w:val="0089067C"/>
    <w:rPr>
      <w:rFonts w:ascii="Trebuchet MS" w:eastAsia="Trebuchet MS" w:hAnsi="Trebuchet MS" w:cs="Trebuchet MS"/>
      <w:b/>
      <w:sz w:val="26"/>
    </w:rPr>
  </w:style>
  <w:style w:type="character" w:customStyle="1" w:styleId="Heading3Char">
    <w:name w:val="Heading 3 Char"/>
    <w:basedOn w:val="DefaultParagraphFont"/>
    <w:link w:val="Heading3"/>
    <w:rsid w:val="0089067C"/>
    <w:rPr>
      <w:rFonts w:ascii="Trebuchet MS" w:eastAsia="Trebuchet MS" w:hAnsi="Trebuchet MS" w:cs="Trebuchet MS"/>
      <w:b/>
      <w:color w:val="666666"/>
      <w:sz w:val="24"/>
    </w:rPr>
  </w:style>
  <w:style w:type="character" w:customStyle="1" w:styleId="Heading4Char">
    <w:name w:val="Heading 4 Char"/>
    <w:basedOn w:val="DefaultParagraphFont"/>
    <w:link w:val="Heading4"/>
    <w:rsid w:val="0089067C"/>
    <w:rPr>
      <w:rFonts w:ascii="Trebuchet MS" w:eastAsia="Trebuchet MS" w:hAnsi="Trebuchet MS" w:cs="Trebuchet MS"/>
      <w:color w:val="666666"/>
      <w:u w:val="single"/>
    </w:rPr>
  </w:style>
  <w:style w:type="character" w:customStyle="1" w:styleId="Heading5Char">
    <w:name w:val="Heading 5 Char"/>
    <w:basedOn w:val="DefaultParagraphFont"/>
    <w:link w:val="Heading5"/>
    <w:rsid w:val="0089067C"/>
    <w:rPr>
      <w:rFonts w:ascii="Trebuchet MS" w:eastAsia="Trebuchet MS" w:hAnsi="Trebuchet MS" w:cs="Trebuchet MS"/>
      <w:color w:val="666666"/>
    </w:rPr>
  </w:style>
  <w:style w:type="character" w:customStyle="1" w:styleId="Heading6Char">
    <w:name w:val="Heading 6 Char"/>
    <w:basedOn w:val="DefaultParagraphFont"/>
    <w:link w:val="Heading6"/>
    <w:rsid w:val="0089067C"/>
    <w:rPr>
      <w:rFonts w:ascii="Trebuchet MS" w:eastAsia="Trebuchet MS" w:hAnsi="Trebuchet MS" w:cs="Trebuchet MS"/>
      <w:i/>
      <w:color w:val="666666"/>
    </w:rPr>
  </w:style>
  <w:style w:type="paragraph" w:styleId="Title">
    <w:name w:val="Title"/>
    <w:basedOn w:val="Normal"/>
    <w:next w:val="Normal"/>
    <w:link w:val="TitleChar"/>
    <w:rsid w:val="00F60806"/>
    <w:pPr>
      <w:keepNext/>
      <w:keepLines/>
      <w:contextualSpacing/>
    </w:pPr>
    <w:rPr>
      <w:rFonts w:ascii="Trebuchet MS" w:eastAsia="Trebuchet MS" w:hAnsi="Trebuchet MS" w:cs="Trebuchet MS"/>
      <w:sz w:val="42"/>
    </w:rPr>
  </w:style>
  <w:style w:type="character" w:customStyle="1" w:styleId="TitleChar">
    <w:name w:val="Title Char"/>
    <w:basedOn w:val="DefaultParagraphFont"/>
    <w:link w:val="Title"/>
    <w:rsid w:val="0089067C"/>
    <w:rPr>
      <w:rFonts w:ascii="Trebuchet MS" w:eastAsia="Trebuchet MS" w:hAnsi="Trebuchet MS" w:cs="Trebuchet MS"/>
      <w:sz w:val="42"/>
    </w:rPr>
  </w:style>
  <w:style w:type="paragraph" w:styleId="Subtitle">
    <w:name w:val="Subtitle"/>
    <w:basedOn w:val="Normal"/>
    <w:next w:val="Normal"/>
    <w:link w:val="SubtitleChar"/>
    <w:rsid w:val="00F60806"/>
    <w:pPr>
      <w:keepNext/>
      <w:keepLines/>
      <w:spacing w:after="200"/>
      <w:contextualSpacing/>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89067C"/>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rsid w:val="00F60806"/>
    <w:pPr>
      <w:spacing w:line="240" w:lineRule="auto"/>
    </w:pPr>
    <w:rPr>
      <w:sz w:val="20"/>
    </w:rPr>
  </w:style>
  <w:style w:type="character" w:customStyle="1" w:styleId="CommentTextChar">
    <w:name w:val="Comment Text Char"/>
    <w:basedOn w:val="DefaultParagraphFont"/>
    <w:link w:val="CommentText"/>
    <w:uiPriority w:val="99"/>
    <w:semiHidden/>
    <w:rsid w:val="00F60806"/>
    <w:rPr>
      <w:sz w:val="20"/>
    </w:rPr>
  </w:style>
  <w:style w:type="character" w:styleId="CommentReference">
    <w:name w:val="annotation reference"/>
    <w:basedOn w:val="DefaultParagraphFont"/>
    <w:uiPriority w:val="99"/>
    <w:semiHidden/>
    <w:unhideWhenUsed/>
    <w:rsid w:val="00F60806"/>
    <w:rPr>
      <w:sz w:val="16"/>
      <w:szCs w:val="16"/>
    </w:rPr>
  </w:style>
  <w:style w:type="paragraph" w:styleId="BalloonText">
    <w:name w:val="Balloon Text"/>
    <w:basedOn w:val="Normal"/>
    <w:link w:val="BalloonTextChar"/>
    <w:uiPriority w:val="99"/>
    <w:semiHidden/>
    <w:unhideWhenUsed/>
    <w:rsid w:val="00FD21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137"/>
    <w:rPr>
      <w:rFonts w:ascii="Tahoma" w:hAnsi="Tahoma" w:cs="Tahoma"/>
      <w:sz w:val="16"/>
      <w:szCs w:val="16"/>
    </w:rPr>
  </w:style>
  <w:style w:type="character" w:styleId="Hyperlink">
    <w:name w:val="Hyperlink"/>
    <w:basedOn w:val="DefaultParagraphFont"/>
    <w:uiPriority w:val="99"/>
    <w:unhideWhenUsed/>
    <w:rsid w:val="003E624F"/>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D420B7"/>
    <w:rPr>
      <w:b/>
      <w:bCs/>
    </w:rPr>
  </w:style>
  <w:style w:type="character" w:customStyle="1" w:styleId="CommentSubjectChar">
    <w:name w:val="Comment Subject Char"/>
    <w:basedOn w:val="CommentTextChar"/>
    <w:link w:val="CommentSubject"/>
    <w:uiPriority w:val="99"/>
    <w:semiHidden/>
    <w:rsid w:val="00D420B7"/>
    <w:rPr>
      <w:b/>
      <w:bCs/>
      <w:sz w:val="20"/>
    </w:rPr>
  </w:style>
  <w:style w:type="paragraph" w:customStyle="1" w:styleId="EndNoteBibliographyTitle">
    <w:name w:val="EndNote Bibliography Title"/>
    <w:basedOn w:val="Normal"/>
    <w:link w:val="EndNoteBibliographyTitleChar"/>
    <w:rsid w:val="00701FAC"/>
    <w:pPr>
      <w:jc w:val="center"/>
    </w:pPr>
    <w:rPr>
      <w:noProof/>
    </w:rPr>
  </w:style>
  <w:style w:type="character" w:customStyle="1" w:styleId="EndNoteBibliographyTitleChar">
    <w:name w:val="EndNote Bibliography Title Char"/>
    <w:basedOn w:val="DefaultParagraphFont"/>
    <w:link w:val="EndNoteBibliographyTitle"/>
    <w:rsid w:val="00701FAC"/>
    <w:rPr>
      <w:noProof/>
    </w:rPr>
  </w:style>
  <w:style w:type="paragraph" w:customStyle="1" w:styleId="EndNoteBibliography">
    <w:name w:val="EndNote Bibliography"/>
    <w:basedOn w:val="Normal"/>
    <w:link w:val="EndNoteBibliographyChar"/>
    <w:rsid w:val="00701FAC"/>
    <w:pPr>
      <w:spacing w:line="240" w:lineRule="auto"/>
    </w:pPr>
    <w:rPr>
      <w:noProof/>
    </w:rPr>
  </w:style>
  <w:style w:type="character" w:customStyle="1" w:styleId="EndNoteBibliographyChar">
    <w:name w:val="EndNote Bibliography Char"/>
    <w:basedOn w:val="DefaultParagraphFont"/>
    <w:link w:val="EndNoteBibliography"/>
    <w:rsid w:val="00701FAC"/>
    <w:rPr>
      <w:noProof/>
    </w:rPr>
  </w:style>
  <w:style w:type="paragraph" w:styleId="ListParagraph">
    <w:name w:val="List Paragraph"/>
    <w:basedOn w:val="Normal"/>
    <w:uiPriority w:val="34"/>
    <w:qFormat/>
    <w:rsid w:val="000309B2"/>
    <w:pPr>
      <w:ind w:left="720"/>
      <w:contextualSpacing/>
    </w:pPr>
  </w:style>
  <w:style w:type="character" w:styleId="LineNumber">
    <w:name w:val="line number"/>
    <w:basedOn w:val="DefaultParagraphFont"/>
    <w:uiPriority w:val="99"/>
    <w:semiHidden/>
    <w:unhideWhenUsed/>
    <w:rsid w:val="00E34881"/>
  </w:style>
  <w:style w:type="paragraph" w:styleId="Header">
    <w:name w:val="header"/>
    <w:basedOn w:val="Normal"/>
    <w:link w:val="HeaderChar"/>
    <w:uiPriority w:val="99"/>
    <w:unhideWhenUsed/>
    <w:rsid w:val="00E34881"/>
    <w:pPr>
      <w:tabs>
        <w:tab w:val="center" w:pos="4513"/>
        <w:tab w:val="right" w:pos="9026"/>
      </w:tabs>
      <w:spacing w:line="240" w:lineRule="auto"/>
    </w:pPr>
  </w:style>
  <w:style w:type="character" w:customStyle="1" w:styleId="HeaderChar">
    <w:name w:val="Header Char"/>
    <w:basedOn w:val="DefaultParagraphFont"/>
    <w:link w:val="Header"/>
    <w:uiPriority w:val="99"/>
    <w:rsid w:val="00E34881"/>
  </w:style>
  <w:style w:type="paragraph" w:styleId="Footer">
    <w:name w:val="footer"/>
    <w:basedOn w:val="Normal"/>
    <w:link w:val="FooterChar"/>
    <w:uiPriority w:val="99"/>
    <w:unhideWhenUsed/>
    <w:rsid w:val="00E34881"/>
    <w:pPr>
      <w:tabs>
        <w:tab w:val="center" w:pos="4513"/>
        <w:tab w:val="right" w:pos="9026"/>
      </w:tabs>
      <w:spacing w:line="240" w:lineRule="auto"/>
    </w:pPr>
  </w:style>
  <w:style w:type="character" w:customStyle="1" w:styleId="FooterChar">
    <w:name w:val="Footer Char"/>
    <w:basedOn w:val="DefaultParagraphFont"/>
    <w:link w:val="Footer"/>
    <w:uiPriority w:val="99"/>
    <w:rsid w:val="00E34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0806"/>
  </w:style>
  <w:style w:type="paragraph" w:styleId="Heading1">
    <w:name w:val="heading 1"/>
    <w:basedOn w:val="Normal"/>
    <w:next w:val="Normal"/>
    <w:link w:val="Heading1Char"/>
    <w:rsid w:val="00F60806"/>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link w:val="Heading2Char"/>
    <w:rsid w:val="00F60806"/>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link w:val="Heading3Char"/>
    <w:rsid w:val="00F60806"/>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link w:val="Heading4Char"/>
    <w:rsid w:val="00F60806"/>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link w:val="Heading5Char"/>
    <w:rsid w:val="00F60806"/>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link w:val="Heading6Char"/>
    <w:rsid w:val="00F60806"/>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67C"/>
    <w:rPr>
      <w:rFonts w:ascii="Trebuchet MS" w:eastAsia="Trebuchet MS" w:hAnsi="Trebuchet MS" w:cs="Trebuchet MS"/>
      <w:sz w:val="32"/>
    </w:rPr>
  </w:style>
  <w:style w:type="character" w:customStyle="1" w:styleId="Heading2Char">
    <w:name w:val="Heading 2 Char"/>
    <w:basedOn w:val="DefaultParagraphFont"/>
    <w:link w:val="Heading2"/>
    <w:rsid w:val="0089067C"/>
    <w:rPr>
      <w:rFonts w:ascii="Trebuchet MS" w:eastAsia="Trebuchet MS" w:hAnsi="Trebuchet MS" w:cs="Trebuchet MS"/>
      <w:b/>
      <w:sz w:val="26"/>
    </w:rPr>
  </w:style>
  <w:style w:type="character" w:customStyle="1" w:styleId="Heading3Char">
    <w:name w:val="Heading 3 Char"/>
    <w:basedOn w:val="DefaultParagraphFont"/>
    <w:link w:val="Heading3"/>
    <w:rsid w:val="0089067C"/>
    <w:rPr>
      <w:rFonts w:ascii="Trebuchet MS" w:eastAsia="Trebuchet MS" w:hAnsi="Trebuchet MS" w:cs="Trebuchet MS"/>
      <w:b/>
      <w:color w:val="666666"/>
      <w:sz w:val="24"/>
    </w:rPr>
  </w:style>
  <w:style w:type="character" w:customStyle="1" w:styleId="Heading4Char">
    <w:name w:val="Heading 4 Char"/>
    <w:basedOn w:val="DefaultParagraphFont"/>
    <w:link w:val="Heading4"/>
    <w:rsid w:val="0089067C"/>
    <w:rPr>
      <w:rFonts w:ascii="Trebuchet MS" w:eastAsia="Trebuchet MS" w:hAnsi="Trebuchet MS" w:cs="Trebuchet MS"/>
      <w:color w:val="666666"/>
      <w:u w:val="single"/>
    </w:rPr>
  </w:style>
  <w:style w:type="character" w:customStyle="1" w:styleId="Heading5Char">
    <w:name w:val="Heading 5 Char"/>
    <w:basedOn w:val="DefaultParagraphFont"/>
    <w:link w:val="Heading5"/>
    <w:rsid w:val="0089067C"/>
    <w:rPr>
      <w:rFonts w:ascii="Trebuchet MS" w:eastAsia="Trebuchet MS" w:hAnsi="Trebuchet MS" w:cs="Trebuchet MS"/>
      <w:color w:val="666666"/>
    </w:rPr>
  </w:style>
  <w:style w:type="character" w:customStyle="1" w:styleId="Heading6Char">
    <w:name w:val="Heading 6 Char"/>
    <w:basedOn w:val="DefaultParagraphFont"/>
    <w:link w:val="Heading6"/>
    <w:rsid w:val="0089067C"/>
    <w:rPr>
      <w:rFonts w:ascii="Trebuchet MS" w:eastAsia="Trebuchet MS" w:hAnsi="Trebuchet MS" w:cs="Trebuchet MS"/>
      <w:i/>
      <w:color w:val="666666"/>
    </w:rPr>
  </w:style>
  <w:style w:type="paragraph" w:styleId="Title">
    <w:name w:val="Title"/>
    <w:basedOn w:val="Normal"/>
    <w:next w:val="Normal"/>
    <w:link w:val="TitleChar"/>
    <w:rsid w:val="00F60806"/>
    <w:pPr>
      <w:keepNext/>
      <w:keepLines/>
      <w:contextualSpacing/>
    </w:pPr>
    <w:rPr>
      <w:rFonts w:ascii="Trebuchet MS" w:eastAsia="Trebuchet MS" w:hAnsi="Trebuchet MS" w:cs="Trebuchet MS"/>
      <w:sz w:val="42"/>
    </w:rPr>
  </w:style>
  <w:style w:type="character" w:customStyle="1" w:styleId="TitleChar">
    <w:name w:val="Title Char"/>
    <w:basedOn w:val="DefaultParagraphFont"/>
    <w:link w:val="Title"/>
    <w:rsid w:val="0089067C"/>
    <w:rPr>
      <w:rFonts w:ascii="Trebuchet MS" w:eastAsia="Trebuchet MS" w:hAnsi="Trebuchet MS" w:cs="Trebuchet MS"/>
      <w:sz w:val="42"/>
    </w:rPr>
  </w:style>
  <w:style w:type="paragraph" w:styleId="Subtitle">
    <w:name w:val="Subtitle"/>
    <w:basedOn w:val="Normal"/>
    <w:next w:val="Normal"/>
    <w:link w:val="SubtitleChar"/>
    <w:rsid w:val="00F60806"/>
    <w:pPr>
      <w:keepNext/>
      <w:keepLines/>
      <w:spacing w:after="200"/>
      <w:contextualSpacing/>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89067C"/>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rsid w:val="00F60806"/>
    <w:pPr>
      <w:spacing w:line="240" w:lineRule="auto"/>
    </w:pPr>
    <w:rPr>
      <w:sz w:val="20"/>
    </w:rPr>
  </w:style>
  <w:style w:type="character" w:customStyle="1" w:styleId="CommentTextChar">
    <w:name w:val="Comment Text Char"/>
    <w:basedOn w:val="DefaultParagraphFont"/>
    <w:link w:val="CommentText"/>
    <w:uiPriority w:val="99"/>
    <w:semiHidden/>
    <w:rsid w:val="00F60806"/>
    <w:rPr>
      <w:sz w:val="20"/>
    </w:rPr>
  </w:style>
  <w:style w:type="character" w:styleId="CommentReference">
    <w:name w:val="annotation reference"/>
    <w:basedOn w:val="DefaultParagraphFont"/>
    <w:uiPriority w:val="99"/>
    <w:semiHidden/>
    <w:unhideWhenUsed/>
    <w:rsid w:val="00F60806"/>
    <w:rPr>
      <w:sz w:val="16"/>
      <w:szCs w:val="16"/>
    </w:rPr>
  </w:style>
  <w:style w:type="paragraph" w:styleId="BalloonText">
    <w:name w:val="Balloon Text"/>
    <w:basedOn w:val="Normal"/>
    <w:link w:val="BalloonTextChar"/>
    <w:uiPriority w:val="99"/>
    <w:semiHidden/>
    <w:unhideWhenUsed/>
    <w:rsid w:val="00FD21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137"/>
    <w:rPr>
      <w:rFonts w:ascii="Tahoma" w:hAnsi="Tahoma" w:cs="Tahoma"/>
      <w:sz w:val="16"/>
      <w:szCs w:val="16"/>
    </w:rPr>
  </w:style>
  <w:style w:type="character" w:styleId="Hyperlink">
    <w:name w:val="Hyperlink"/>
    <w:basedOn w:val="DefaultParagraphFont"/>
    <w:uiPriority w:val="99"/>
    <w:unhideWhenUsed/>
    <w:rsid w:val="003E624F"/>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D420B7"/>
    <w:rPr>
      <w:b/>
      <w:bCs/>
    </w:rPr>
  </w:style>
  <w:style w:type="character" w:customStyle="1" w:styleId="CommentSubjectChar">
    <w:name w:val="Comment Subject Char"/>
    <w:basedOn w:val="CommentTextChar"/>
    <w:link w:val="CommentSubject"/>
    <w:uiPriority w:val="99"/>
    <w:semiHidden/>
    <w:rsid w:val="00D420B7"/>
    <w:rPr>
      <w:b/>
      <w:bCs/>
      <w:sz w:val="20"/>
    </w:rPr>
  </w:style>
  <w:style w:type="paragraph" w:customStyle="1" w:styleId="EndNoteBibliographyTitle">
    <w:name w:val="EndNote Bibliography Title"/>
    <w:basedOn w:val="Normal"/>
    <w:link w:val="EndNoteBibliographyTitleChar"/>
    <w:rsid w:val="00701FAC"/>
    <w:pPr>
      <w:jc w:val="center"/>
    </w:pPr>
    <w:rPr>
      <w:noProof/>
    </w:rPr>
  </w:style>
  <w:style w:type="character" w:customStyle="1" w:styleId="EndNoteBibliographyTitleChar">
    <w:name w:val="EndNote Bibliography Title Char"/>
    <w:basedOn w:val="DefaultParagraphFont"/>
    <w:link w:val="EndNoteBibliographyTitle"/>
    <w:rsid w:val="00701FAC"/>
    <w:rPr>
      <w:noProof/>
    </w:rPr>
  </w:style>
  <w:style w:type="paragraph" w:customStyle="1" w:styleId="EndNoteBibliography">
    <w:name w:val="EndNote Bibliography"/>
    <w:basedOn w:val="Normal"/>
    <w:link w:val="EndNoteBibliographyChar"/>
    <w:rsid w:val="00701FAC"/>
    <w:pPr>
      <w:spacing w:line="240" w:lineRule="auto"/>
    </w:pPr>
    <w:rPr>
      <w:noProof/>
    </w:rPr>
  </w:style>
  <w:style w:type="character" w:customStyle="1" w:styleId="EndNoteBibliographyChar">
    <w:name w:val="EndNote Bibliography Char"/>
    <w:basedOn w:val="DefaultParagraphFont"/>
    <w:link w:val="EndNoteBibliography"/>
    <w:rsid w:val="00701FAC"/>
    <w:rPr>
      <w:noProof/>
    </w:rPr>
  </w:style>
  <w:style w:type="paragraph" w:styleId="ListParagraph">
    <w:name w:val="List Paragraph"/>
    <w:basedOn w:val="Normal"/>
    <w:uiPriority w:val="34"/>
    <w:qFormat/>
    <w:rsid w:val="000309B2"/>
    <w:pPr>
      <w:ind w:left="720"/>
      <w:contextualSpacing/>
    </w:pPr>
  </w:style>
  <w:style w:type="character" w:styleId="LineNumber">
    <w:name w:val="line number"/>
    <w:basedOn w:val="DefaultParagraphFont"/>
    <w:uiPriority w:val="99"/>
    <w:semiHidden/>
    <w:unhideWhenUsed/>
    <w:rsid w:val="00E34881"/>
  </w:style>
  <w:style w:type="paragraph" w:styleId="Header">
    <w:name w:val="header"/>
    <w:basedOn w:val="Normal"/>
    <w:link w:val="HeaderChar"/>
    <w:uiPriority w:val="99"/>
    <w:unhideWhenUsed/>
    <w:rsid w:val="00E34881"/>
    <w:pPr>
      <w:tabs>
        <w:tab w:val="center" w:pos="4513"/>
        <w:tab w:val="right" w:pos="9026"/>
      </w:tabs>
      <w:spacing w:line="240" w:lineRule="auto"/>
    </w:pPr>
  </w:style>
  <w:style w:type="character" w:customStyle="1" w:styleId="HeaderChar">
    <w:name w:val="Header Char"/>
    <w:basedOn w:val="DefaultParagraphFont"/>
    <w:link w:val="Header"/>
    <w:uiPriority w:val="99"/>
    <w:rsid w:val="00E34881"/>
  </w:style>
  <w:style w:type="paragraph" w:styleId="Footer">
    <w:name w:val="footer"/>
    <w:basedOn w:val="Normal"/>
    <w:link w:val="FooterChar"/>
    <w:uiPriority w:val="99"/>
    <w:unhideWhenUsed/>
    <w:rsid w:val="00E34881"/>
    <w:pPr>
      <w:tabs>
        <w:tab w:val="center" w:pos="4513"/>
        <w:tab w:val="right" w:pos="9026"/>
      </w:tabs>
      <w:spacing w:line="240" w:lineRule="auto"/>
    </w:pPr>
  </w:style>
  <w:style w:type="character" w:customStyle="1" w:styleId="FooterChar">
    <w:name w:val="Footer Char"/>
    <w:basedOn w:val="DefaultParagraphFont"/>
    <w:link w:val="Footer"/>
    <w:uiPriority w:val="99"/>
    <w:rsid w:val="00E3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Gray@Leedsmet.ac.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King@Leedsmet.ac.uk"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mmonds@Leedsmet.ac.uk" TargetMode="External"/><Relationship Id="rId5" Type="http://schemas.openxmlformats.org/officeDocument/2006/relationships/settings" Target="settings.xml"/><Relationship Id="rId15" Type="http://schemas.openxmlformats.org/officeDocument/2006/relationships/hyperlink" Target="mailto:J.OHara@Leedsmet.ac.uk" TargetMode="External"/><Relationship Id="rId10" Type="http://schemas.openxmlformats.org/officeDocument/2006/relationships/hyperlink" Target="mailto:K.Till@Leedsmet.ac.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Jones@Leedsmet.ac.uk" TargetMode="External"/><Relationship Id="rId14" Type="http://schemas.openxmlformats.org/officeDocument/2006/relationships/hyperlink" Target="mailto:C.B.Beggs@bradfor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21768-131A-4FD3-B434-08604CD4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3932</Words>
  <Characters>22415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Dehydration and Sodium Loss in Professional Rugby League Referees during Super League Matches.docx</vt:lpstr>
    </vt:vector>
  </TitlesOfParts>
  <Company>Leeds Metropolitan University</Company>
  <LinksUpToDate>false</LinksUpToDate>
  <CharactersWithSpaces>26295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Dehydration and Sodium Loss in Professional Rugby League Referees during Super League Matches.docx</dc:title>
  <dc:creator>Jones, Benjamin</dc:creator>
  <cp:lastModifiedBy>sheppa03</cp:lastModifiedBy>
  <cp:revision>2</cp:revision>
  <cp:lastPrinted>2014-09-17T09:04:00Z</cp:lastPrinted>
  <dcterms:created xsi:type="dcterms:W3CDTF">2015-01-19T13:00:00Z</dcterms:created>
  <dcterms:modified xsi:type="dcterms:W3CDTF">2015-01-19T13:00:00Z</dcterms:modified>
</cp:coreProperties>
</file>